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E7FCA" w14:textId="77777777" w:rsidR="00590F3F" w:rsidRPr="00FE36BD" w:rsidRDefault="00590F3F" w:rsidP="00590F3F">
      <w:pPr>
        <w:spacing w:line="360" w:lineRule="auto"/>
        <w:jc w:val="both"/>
        <w:rPr>
          <w:rFonts w:ascii="Arial" w:hAnsi="Arial" w:cs="Arial"/>
          <w:b/>
          <w:bCs/>
          <w:u w:val="single"/>
        </w:rPr>
      </w:pPr>
      <w:r w:rsidRPr="00FE36BD">
        <w:rPr>
          <w:rFonts w:ascii="Arial" w:hAnsi="Arial" w:cs="Arial"/>
          <w:b/>
          <w:bCs/>
          <w:u w:val="single"/>
        </w:rPr>
        <w:t>EXTENDED DATA FIGURES:</w:t>
      </w:r>
    </w:p>
    <w:p w14:paraId="5BC927FF" w14:textId="77777777" w:rsidR="00590F3F" w:rsidRPr="00093E7A" w:rsidRDefault="00590F3F" w:rsidP="00590F3F">
      <w:pPr>
        <w:spacing w:line="360" w:lineRule="auto"/>
        <w:jc w:val="both"/>
        <w:rPr>
          <w:rFonts w:ascii="Arial" w:hAnsi="Arial" w:cs="Arial"/>
          <w:b/>
          <w:bCs/>
        </w:rPr>
      </w:pPr>
      <w:r w:rsidRPr="00093E7A">
        <w:rPr>
          <w:rFonts w:ascii="Arial" w:hAnsi="Arial" w:cs="Arial"/>
          <w:noProof/>
        </w:rPr>
        <w:drawing>
          <wp:inline distT="0" distB="0" distL="0" distR="0" wp14:anchorId="13E4954C" wp14:editId="434044E6">
            <wp:extent cx="5892800" cy="6654800"/>
            <wp:effectExtent l="0" t="0" r="0" b="0"/>
            <wp:docPr id="1307118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118253" name="Picture 130711825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92800" cy="6654800"/>
                    </a:xfrm>
                    <a:prstGeom prst="rect">
                      <a:avLst/>
                    </a:prstGeom>
                  </pic:spPr>
                </pic:pic>
              </a:graphicData>
            </a:graphic>
          </wp:inline>
        </w:drawing>
      </w:r>
    </w:p>
    <w:p w14:paraId="4F1043A4" w14:textId="77777777" w:rsidR="00590F3F" w:rsidRPr="00093E7A" w:rsidRDefault="00590F3F" w:rsidP="00590F3F">
      <w:pPr>
        <w:spacing w:line="360" w:lineRule="auto"/>
        <w:jc w:val="both"/>
        <w:rPr>
          <w:rFonts w:ascii="Arial" w:hAnsi="Arial" w:cs="Arial"/>
        </w:rPr>
      </w:pPr>
      <w:r w:rsidRPr="00093E7A">
        <w:rPr>
          <w:rFonts w:ascii="Arial" w:hAnsi="Arial" w:cs="Arial"/>
          <w:b/>
          <w:bCs/>
        </w:rPr>
        <w:t>Extended Data Figure 1. SARS-CoV-2-specific B cells in the pharyngeal tissues and blood post-vaccination and post-infection</w:t>
      </w:r>
    </w:p>
    <w:p w14:paraId="3DFFDAE5" w14:textId="77777777" w:rsidR="00590F3F" w:rsidRPr="00093E7A" w:rsidRDefault="00590F3F" w:rsidP="00590F3F">
      <w:pPr>
        <w:spacing w:before="240" w:line="360" w:lineRule="auto"/>
        <w:ind w:left="450" w:hanging="450"/>
        <w:jc w:val="both"/>
        <w:rPr>
          <w:rFonts w:ascii="Arial" w:hAnsi="Arial" w:cs="Arial"/>
        </w:rPr>
      </w:pPr>
      <w:r w:rsidRPr="00093E7A">
        <w:rPr>
          <w:rFonts w:ascii="Arial" w:hAnsi="Arial" w:cs="Arial"/>
        </w:rPr>
        <w:lastRenderedPageBreak/>
        <w:t>(a) Days from the latest immunologic exposure (vaccination or infection) to surgery. Comparisons of the 2 groups were done with the two-sided Mann-Whitney U test (INF N = 11, VAC N = 10). Medians ± quartiles are shown in the box plots.</w:t>
      </w:r>
    </w:p>
    <w:p w14:paraId="1B7D67BF" w14:textId="77777777" w:rsidR="00590F3F" w:rsidRPr="00093E7A" w:rsidRDefault="00590F3F" w:rsidP="00590F3F">
      <w:pPr>
        <w:spacing w:line="360" w:lineRule="auto"/>
        <w:ind w:left="450" w:hanging="450"/>
        <w:jc w:val="both"/>
        <w:rPr>
          <w:rFonts w:ascii="Arial" w:hAnsi="Arial" w:cs="Arial"/>
        </w:rPr>
      </w:pPr>
      <w:r w:rsidRPr="00093E7A">
        <w:rPr>
          <w:rFonts w:ascii="Arial" w:hAnsi="Arial" w:cs="Arial"/>
        </w:rPr>
        <w:t>(b) Representative flow plots of omicron-specific (Omi</w:t>
      </w:r>
      <w:r w:rsidRPr="00093E7A">
        <w:rPr>
          <w:rFonts w:ascii="Arial" w:hAnsi="Arial" w:cs="Arial"/>
          <w:vertAlign w:val="superscript"/>
        </w:rPr>
        <w:t>+</w:t>
      </w:r>
      <w:r w:rsidRPr="00093E7A">
        <w:rPr>
          <w:rFonts w:ascii="Arial" w:hAnsi="Arial" w:cs="Arial"/>
        </w:rPr>
        <w:t xml:space="preserve">) B cells in PBMCs, adenoids and tonsils of CON, INF and VAC participants. </w:t>
      </w:r>
    </w:p>
    <w:p w14:paraId="3501DB16" w14:textId="77777777" w:rsidR="00590F3F" w:rsidRPr="00093E7A" w:rsidRDefault="00590F3F" w:rsidP="00590F3F">
      <w:pPr>
        <w:spacing w:line="360" w:lineRule="auto"/>
        <w:ind w:left="450" w:hanging="450"/>
        <w:jc w:val="both"/>
        <w:rPr>
          <w:rFonts w:ascii="Arial" w:hAnsi="Arial" w:cs="Arial"/>
        </w:rPr>
      </w:pPr>
      <w:r w:rsidRPr="00093E7A">
        <w:rPr>
          <w:rFonts w:ascii="Arial" w:hAnsi="Arial" w:cs="Arial"/>
        </w:rPr>
        <w:t>(c) Frequencies of Omi</w:t>
      </w:r>
      <w:r w:rsidRPr="00093E7A">
        <w:rPr>
          <w:rFonts w:ascii="Arial" w:hAnsi="Arial" w:cs="Arial"/>
          <w:vertAlign w:val="superscript"/>
        </w:rPr>
        <w:t>+</w:t>
      </w:r>
      <w:r w:rsidRPr="00093E7A">
        <w:rPr>
          <w:rFonts w:ascii="Arial" w:hAnsi="Arial" w:cs="Arial"/>
        </w:rPr>
        <w:t xml:space="preserve"> CD19</w:t>
      </w:r>
      <w:r w:rsidRPr="00093E7A">
        <w:rPr>
          <w:rFonts w:ascii="Arial" w:hAnsi="Arial" w:cs="Arial"/>
          <w:vertAlign w:val="superscript"/>
        </w:rPr>
        <w:t>+</w:t>
      </w:r>
      <w:r w:rsidRPr="00093E7A">
        <w:rPr>
          <w:rFonts w:ascii="Arial" w:hAnsi="Arial" w:cs="Arial"/>
        </w:rPr>
        <w:t xml:space="preserve"> B cells in PBMCs, adenoids and tonsils of CON, INF and VAC participants (Same samples as Figure.1f).</w:t>
      </w:r>
    </w:p>
    <w:p w14:paraId="233EA686"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(d) Percentages of Omi</w:t>
      </w:r>
      <w:r w:rsidRPr="00093E7A">
        <w:rPr>
          <w:rFonts w:ascii="Arial" w:hAnsi="Arial" w:cs="Arial"/>
          <w:vertAlign w:val="superscript"/>
        </w:rPr>
        <w:t>+</w:t>
      </w:r>
      <w:r w:rsidRPr="00093E7A">
        <w:rPr>
          <w:rFonts w:ascii="Arial" w:hAnsi="Arial" w:cs="Arial"/>
        </w:rPr>
        <w:t xml:space="preserve"> cells among WA-1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 cells in PBMCs, adenoids and tonsils (Same samples as in Figure.1f).</w:t>
      </w:r>
    </w:p>
    <w:p w14:paraId="358719C1"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(e) Percentages of IgA, IgG and IgM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in PBMCs, adenoids and tonsils of INF and VAC participants (Same samples as Figure.1k).</w:t>
      </w:r>
    </w:p>
    <w:p w14:paraId="1AF3C7FF"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(f) Composition of cMBCs (CD27</w:t>
      </w:r>
      <w:r w:rsidRPr="00093E7A">
        <w:rPr>
          <w:rFonts w:ascii="Arial" w:hAnsi="Arial" w:cs="Arial"/>
          <w:vertAlign w:val="superscript"/>
        </w:rPr>
        <w:t>+</w:t>
      </w:r>
      <w:r w:rsidRPr="00093E7A">
        <w:rPr>
          <w:rFonts w:ascii="Arial" w:hAnsi="Arial" w:cs="Arial"/>
        </w:rPr>
        <w:t>CD21</w:t>
      </w:r>
      <w:r w:rsidRPr="00093E7A">
        <w:rPr>
          <w:rFonts w:ascii="Arial" w:hAnsi="Arial" w:cs="Arial"/>
          <w:vertAlign w:val="superscript"/>
        </w:rPr>
        <w:t>+</w:t>
      </w:r>
      <w:r w:rsidRPr="00093E7A">
        <w:rPr>
          <w:rFonts w:ascii="Arial" w:hAnsi="Arial" w:cs="Arial"/>
        </w:rPr>
        <w:t>), acMBCs (CD27</w:t>
      </w:r>
      <w:r w:rsidRPr="00093E7A">
        <w:rPr>
          <w:rFonts w:ascii="Arial" w:hAnsi="Arial" w:cs="Arial"/>
          <w:vertAlign w:val="superscript"/>
        </w:rPr>
        <w:t>+</w:t>
      </w:r>
      <w:r w:rsidRPr="00093E7A">
        <w:rPr>
          <w:rFonts w:ascii="Arial" w:hAnsi="Arial" w:cs="Arial"/>
        </w:rPr>
        <w:t>CD21</w:t>
      </w:r>
      <w:r w:rsidRPr="00093E7A">
        <w:rPr>
          <w:rFonts w:ascii="Arial" w:hAnsi="Arial" w:cs="Arial"/>
          <w:vertAlign w:val="superscript"/>
        </w:rPr>
        <w:t>-</w:t>
      </w:r>
      <w:r w:rsidRPr="00093E7A">
        <w:rPr>
          <w:rFonts w:ascii="Arial" w:hAnsi="Arial" w:cs="Arial"/>
        </w:rPr>
        <w:t>) and atMBCs (CD27</w:t>
      </w:r>
      <w:r w:rsidRPr="00093E7A">
        <w:rPr>
          <w:rFonts w:ascii="Arial" w:hAnsi="Arial" w:cs="Arial"/>
          <w:vertAlign w:val="superscript"/>
        </w:rPr>
        <w:t>-</w:t>
      </w:r>
      <w:r w:rsidRPr="00093E7A">
        <w:rPr>
          <w:rFonts w:ascii="Arial" w:hAnsi="Arial" w:cs="Arial"/>
        </w:rPr>
        <w:t>CD21</w:t>
      </w:r>
      <w:r w:rsidRPr="00093E7A">
        <w:rPr>
          <w:rFonts w:ascii="Arial" w:hAnsi="Arial" w:cs="Arial"/>
          <w:vertAlign w:val="superscript"/>
        </w:rPr>
        <w:t>-</w:t>
      </w:r>
      <w:r w:rsidRPr="00093E7A">
        <w:rPr>
          <w:rFonts w:ascii="Arial" w:hAnsi="Arial" w:cs="Arial"/>
        </w:rPr>
        <w:t>) and CD27</w:t>
      </w:r>
      <w:r w:rsidRPr="00093E7A">
        <w:rPr>
          <w:rFonts w:ascii="Arial" w:hAnsi="Arial" w:cs="Arial"/>
          <w:vertAlign w:val="superscript"/>
        </w:rPr>
        <w:t>-</w:t>
      </w:r>
      <w:r w:rsidRPr="00093E7A">
        <w:rPr>
          <w:rFonts w:ascii="Arial" w:hAnsi="Arial" w:cs="Arial"/>
        </w:rPr>
        <w:t>CD21</w:t>
      </w:r>
      <w:r w:rsidRPr="00093E7A">
        <w:rPr>
          <w:rFonts w:ascii="Arial" w:hAnsi="Arial" w:cs="Arial"/>
          <w:vertAlign w:val="superscript"/>
        </w:rPr>
        <w:t>+</w:t>
      </w:r>
      <w:r w:rsidRPr="00093E7A">
        <w:rPr>
          <w:rFonts w:ascii="Arial" w:hAnsi="Arial" w:cs="Arial"/>
        </w:rPr>
        <w:t xml:space="preserve"> MBCs among B</w:t>
      </w:r>
      <w:r w:rsidRPr="00093E7A">
        <w:rPr>
          <w:rFonts w:ascii="Arial" w:hAnsi="Arial" w:cs="Arial"/>
          <w:vertAlign w:val="subscript"/>
        </w:rPr>
        <w:t>SM</w:t>
      </w:r>
      <w:r w:rsidRPr="00093E7A">
        <w:rPr>
          <w:rFonts w:ascii="Arial" w:hAnsi="Arial" w:cs="Arial"/>
        </w:rPr>
        <w:t xml:space="preserve"> in PBMCs, adenoids, and tonsils of INF and VAC participants. Upper panel: representative flow plot showing gating with CD21 and CD27. Samples with &lt; 10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were excluded from this analysis (Same samples as Figure 1k). Mean percentages are shown (Supplemental Table 4).</w:t>
      </w:r>
    </w:p>
    <w:p w14:paraId="154C5509"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(g) Percentage of each B</w:t>
      </w:r>
      <w:r w:rsidRPr="00093E7A">
        <w:rPr>
          <w:rFonts w:ascii="Arial" w:hAnsi="Arial" w:cs="Arial"/>
          <w:vertAlign w:val="subscript"/>
        </w:rPr>
        <w:t>SM</w:t>
      </w:r>
      <w:r w:rsidRPr="00093E7A">
        <w:rPr>
          <w:rFonts w:ascii="Arial" w:hAnsi="Arial" w:cs="Arial"/>
        </w:rPr>
        <w:t xml:space="preserve"> subpopulation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cells in PBMCs, adenoids, and tonsils of INF and VAC participants (Same samples as Figure. 1k). </w:t>
      </w:r>
    </w:p>
    <w:p w14:paraId="2C66F41E"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(h) Summary of correlations of serum neutralizing titers to WA-1 and percentages of each type of B</w:t>
      </w:r>
      <w:r w:rsidRPr="00093E7A">
        <w:rPr>
          <w:rFonts w:ascii="Arial" w:hAnsi="Arial" w:cs="Arial"/>
          <w:vertAlign w:val="subscript"/>
        </w:rPr>
        <w:t>SM</w:t>
      </w:r>
      <w:r w:rsidRPr="00093E7A">
        <w:rPr>
          <w:rFonts w:ascii="Arial" w:hAnsi="Arial" w:cs="Arial"/>
        </w:rPr>
        <w:t xml:space="preserve">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in PBMCs, adenoids, and tonsils. INF and VAC participants are combined (Samples with ≥ 10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and available neutralizing titers to WA.1 were used in this assay. PBMC N = 22, adenoid N= 21, tonsil N = 27). Correlations were assessed with Spearman’s rank correlation. Correlation coefficients (r values) are indicated by color shown in the bar and absolute r values indicated by size of the circle. Significant p values are indicated as * p&lt;0.05, ** p&lt;0.01. </w:t>
      </w:r>
    </w:p>
    <w:p w14:paraId="04AFDF12" w14:textId="77777777" w:rsidR="00590F3F" w:rsidRPr="00093E7A" w:rsidRDefault="00590F3F" w:rsidP="00590F3F">
      <w:pPr>
        <w:spacing w:after="240" w:line="360" w:lineRule="auto"/>
        <w:ind w:left="360" w:hanging="360"/>
        <w:jc w:val="both"/>
        <w:rPr>
          <w:rFonts w:ascii="Arial" w:hAnsi="Arial" w:cs="Arial"/>
        </w:rPr>
      </w:pPr>
      <w:r w:rsidRPr="00093E7A">
        <w:rPr>
          <w:rFonts w:ascii="Arial" w:hAnsi="Arial" w:cs="Arial"/>
        </w:rPr>
        <w:t>(i) Correlations of percentages of CD21</w:t>
      </w:r>
      <w:r w:rsidRPr="00093E7A">
        <w:rPr>
          <w:rFonts w:ascii="Arial" w:hAnsi="Arial" w:cs="Arial"/>
          <w:vertAlign w:val="superscript"/>
        </w:rPr>
        <w:t>-</w:t>
      </w:r>
      <w:r w:rsidRPr="00093E7A">
        <w:rPr>
          <w:rFonts w:ascii="Arial" w:hAnsi="Arial" w:cs="Arial"/>
        </w:rPr>
        <w:t xml:space="preserve"> cells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cells and days from last exposure in PBMCs, adenoids and tonsils in INF and VAC participants. Samples with ≥ 10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with available dates were used in this analysis (PBMC INF N = 9, VAC N = 9; adenoid INF N = 5, VAC N = 8; tonsil INF N =10, VAC N = 6). Correlations were assessed with Spearman’s rank correlation.</w:t>
      </w:r>
    </w:p>
    <w:p w14:paraId="6A0D638B" w14:textId="77777777" w:rsidR="00590F3F" w:rsidRPr="00093E7A" w:rsidRDefault="00590F3F" w:rsidP="00590F3F">
      <w:pPr>
        <w:spacing w:line="360" w:lineRule="auto"/>
        <w:jc w:val="both"/>
        <w:rPr>
          <w:rFonts w:ascii="Arial" w:hAnsi="Arial" w:cs="Arial"/>
        </w:rPr>
      </w:pPr>
      <w:r w:rsidRPr="00093E7A">
        <w:rPr>
          <w:rFonts w:ascii="Arial" w:hAnsi="Arial" w:cs="Arial"/>
          <w:i/>
          <w:iCs/>
        </w:rPr>
        <w:lastRenderedPageBreak/>
        <w:t>P</w:t>
      </w:r>
      <w:r w:rsidRPr="00093E7A">
        <w:rPr>
          <w:rFonts w:ascii="Arial" w:hAnsi="Arial" w:cs="Arial"/>
        </w:rPr>
        <w:t xml:space="preserve"> values obtained from linear model correcting for participant ages (in blue) or from two-sided Mann-Whitney U test (in black) are shown in panels c, d, e, and g. </w:t>
      </w:r>
      <w:r w:rsidRPr="00093E7A">
        <w:rPr>
          <w:rFonts w:ascii="Arial" w:hAnsi="Arial" w:cs="Arial"/>
          <w:i/>
          <w:iCs/>
        </w:rPr>
        <w:t>P</w:t>
      </w:r>
      <w:r w:rsidRPr="00093E7A">
        <w:rPr>
          <w:rFonts w:ascii="Arial" w:hAnsi="Arial" w:cs="Arial"/>
        </w:rPr>
        <w:t xml:space="preserve"> &lt; 0.05 were considered significant. Medians ± quartiles are shown in the box plots.</w:t>
      </w:r>
    </w:p>
    <w:p w14:paraId="1EB0B991" w14:textId="77777777" w:rsidR="00590F3F" w:rsidRPr="00093E7A" w:rsidRDefault="00590F3F" w:rsidP="00590F3F">
      <w:pPr>
        <w:spacing w:before="240" w:line="360" w:lineRule="auto"/>
        <w:jc w:val="both"/>
        <w:rPr>
          <w:rFonts w:ascii="Arial" w:hAnsi="Arial" w:cs="Arial"/>
          <w:b/>
          <w:bCs/>
        </w:rPr>
      </w:pPr>
    </w:p>
    <w:p w14:paraId="7CCBC2FE" w14:textId="77777777" w:rsidR="00590F3F" w:rsidRPr="00093E7A" w:rsidRDefault="00590F3F" w:rsidP="00590F3F">
      <w:pPr>
        <w:spacing w:before="240" w:line="360" w:lineRule="auto"/>
        <w:jc w:val="both"/>
        <w:rPr>
          <w:rFonts w:ascii="Arial" w:hAnsi="Arial" w:cs="Arial"/>
          <w:b/>
          <w:bCs/>
        </w:rPr>
      </w:pPr>
      <w:r w:rsidRPr="00093E7A">
        <w:rPr>
          <w:rFonts w:ascii="Arial" w:hAnsi="Arial" w:cs="Arial"/>
          <w:noProof/>
        </w:rPr>
        <w:lastRenderedPageBreak/>
        <w:drawing>
          <wp:inline distT="0" distB="0" distL="0" distR="0" wp14:anchorId="139FFF8D" wp14:editId="7C1B8F73">
            <wp:extent cx="5854700" cy="7289800"/>
            <wp:effectExtent l="0" t="0" r="0" b="0"/>
            <wp:docPr id="16170805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8054" name="Picture 16170805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54700" cy="7289800"/>
                    </a:xfrm>
                    <a:prstGeom prst="rect">
                      <a:avLst/>
                    </a:prstGeom>
                  </pic:spPr>
                </pic:pic>
              </a:graphicData>
            </a:graphic>
          </wp:inline>
        </w:drawing>
      </w:r>
      <w:r w:rsidRPr="00093E7A">
        <w:rPr>
          <w:rFonts w:ascii="Arial" w:hAnsi="Arial" w:cs="Arial"/>
          <w:b/>
          <w:bCs/>
        </w:rPr>
        <w:t>Extended Data Figure 2. Unsupervised analyses of S1</w:t>
      </w:r>
      <w:r w:rsidRPr="00093E7A">
        <w:rPr>
          <w:rFonts w:ascii="Arial" w:hAnsi="Arial" w:cs="Arial"/>
          <w:b/>
          <w:bCs/>
          <w:vertAlign w:val="superscript"/>
        </w:rPr>
        <w:t>+</w:t>
      </w:r>
      <w:r w:rsidRPr="00093E7A">
        <w:rPr>
          <w:rFonts w:ascii="Arial" w:hAnsi="Arial" w:cs="Arial"/>
          <w:b/>
          <w:bCs/>
        </w:rPr>
        <w:t>RBD</w:t>
      </w:r>
      <w:r w:rsidRPr="00093E7A">
        <w:rPr>
          <w:rFonts w:ascii="Arial" w:hAnsi="Arial" w:cs="Arial"/>
          <w:b/>
          <w:bCs/>
          <w:vertAlign w:val="superscript"/>
        </w:rPr>
        <w:t>+</w:t>
      </w:r>
      <w:r w:rsidRPr="00093E7A">
        <w:rPr>
          <w:rFonts w:ascii="Arial" w:hAnsi="Arial" w:cs="Arial"/>
          <w:b/>
          <w:bCs/>
        </w:rPr>
        <w:t xml:space="preserve"> B</w:t>
      </w:r>
      <w:r w:rsidRPr="00093E7A">
        <w:rPr>
          <w:rFonts w:ascii="Arial" w:hAnsi="Arial" w:cs="Arial"/>
          <w:b/>
          <w:bCs/>
          <w:vertAlign w:val="subscript"/>
        </w:rPr>
        <w:t xml:space="preserve"> </w:t>
      </w:r>
      <w:r w:rsidRPr="00093E7A">
        <w:rPr>
          <w:rFonts w:ascii="Arial" w:hAnsi="Arial" w:cs="Arial"/>
          <w:b/>
          <w:bCs/>
        </w:rPr>
        <w:t>cells from PBMC and tissues of INF and VAC participants</w:t>
      </w:r>
    </w:p>
    <w:p w14:paraId="300489E1" w14:textId="77777777" w:rsidR="00590F3F" w:rsidRPr="00093E7A" w:rsidRDefault="00590F3F" w:rsidP="00590F3F">
      <w:pPr>
        <w:pStyle w:val="ListParagraph"/>
        <w:numPr>
          <w:ilvl w:val="0"/>
          <w:numId w:val="1"/>
        </w:numPr>
        <w:spacing w:before="240" w:line="360" w:lineRule="auto"/>
        <w:ind w:left="360"/>
        <w:jc w:val="both"/>
        <w:rPr>
          <w:rFonts w:ascii="Arial" w:hAnsi="Arial" w:cs="Arial"/>
        </w:rPr>
      </w:pPr>
      <w:r w:rsidRPr="00093E7A">
        <w:rPr>
          <w:rFonts w:ascii="Arial" w:hAnsi="Arial" w:cs="Arial"/>
        </w:rPr>
        <w:lastRenderedPageBreak/>
        <w:t>Comparison of frequencies of each cluster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 cells in PBMC by group (INF N = 15, VAC N = 10, Supplemental Table 5). P values obtained from linear model correcting for participant ages (in blue) and from two-sided Mann-Whitney U test (in black) are shown. </w:t>
      </w:r>
      <w:r w:rsidRPr="00093E7A">
        <w:rPr>
          <w:rFonts w:ascii="Arial" w:hAnsi="Arial" w:cs="Arial"/>
          <w:i/>
          <w:iCs/>
        </w:rPr>
        <w:t>P</w:t>
      </w:r>
      <w:r w:rsidRPr="00093E7A">
        <w:rPr>
          <w:rFonts w:ascii="Arial" w:hAnsi="Arial" w:cs="Arial"/>
        </w:rPr>
        <w:t xml:space="preserve"> &lt; 0.05 was considered significant.</w:t>
      </w:r>
    </w:p>
    <w:p w14:paraId="392A3D1A" w14:textId="77777777" w:rsidR="00590F3F" w:rsidRPr="00093E7A" w:rsidRDefault="00590F3F" w:rsidP="00590F3F">
      <w:pPr>
        <w:pStyle w:val="ListParagraph"/>
        <w:numPr>
          <w:ilvl w:val="0"/>
          <w:numId w:val="1"/>
        </w:numPr>
        <w:spacing w:before="240" w:line="360" w:lineRule="auto"/>
        <w:ind w:left="360"/>
        <w:jc w:val="both"/>
        <w:rPr>
          <w:rFonts w:ascii="Arial" w:hAnsi="Arial" w:cs="Arial"/>
        </w:rPr>
      </w:pPr>
      <w:r w:rsidRPr="00093E7A">
        <w:rPr>
          <w:rFonts w:ascii="Arial" w:hAnsi="Arial" w:cs="Arial"/>
        </w:rPr>
        <w:t>Expression of IgD and CD38 among clusters (shown in Figure 3a-b) from unsupervised analyses of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 cells from tissues. Right: representative flow plot of CD38 and IgD indicating different B cell populations.</w:t>
      </w:r>
    </w:p>
    <w:p w14:paraId="2476E969" w14:textId="77777777" w:rsidR="00590F3F" w:rsidRPr="00093E7A" w:rsidRDefault="00590F3F" w:rsidP="00590F3F">
      <w:pPr>
        <w:pStyle w:val="ListParagraph"/>
        <w:numPr>
          <w:ilvl w:val="0"/>
          <w:numId w:val="1"/>
        </w:numPr>
        <w:spacing w:before="240" w:line="360" w:lineRule="auto"/>
        <w:ind w:left="360"/>
        <w:jc w:val="both"/>
        <w:rPr>
          <w:rFonts w:ascii="Arial" w:hAnsi="Arial" w:cs="Arial"/>
        </w:rPr>
      </w:pPr>
      <w:r w:rsidRPr="00093E7A">
        <w:rPr>
          <w:rFonts w:ascii="Arial" w:hAnsi="Arial" w:cs="Arial"/>
        </w:rPr>
        <w:t>Expression of CXCR3 and CD21 among clusters (shown in Figure 3a-b) from unsupervised analyses of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 cells from tissues.</w:t>
      </w:r>
    </w:p>
    <w:p w14:paraId="00E52841"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(d) Comparisons of cluster frequencies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 cells in INF and VAC groups according to tissue type (INF N = 14, VAC N = 9; tonsil: INF N = 22, VAC N = 7, Supplemental Table 6). P values obtained from linear model correcting for participant ages (in blue) and from two-sided Mann-Whitney U test (in black) are shown. </w:t>
      </w:r>
      <w:r w:rsidRPr="00093E7A">
        <w:rPr>
          <w:rFonts w:ascii="Arial" w:hAnsi="Arial" w:cs="Arial"/>
          <w:i/>
          <w:iCs/>
        </w:rPr>
        <w:t>P</w:t>
      </w:r>
      <w:r w:rsidRPr="00093E7A">
        <w:rPr>
          <w:rFonts w:ascii="Arial" w:hAnsi="Arial" w:cs="Arial"/>
        </w:rPr>
        <w:t xml:space="preserve"> &lt; 0.05 was considered significant. Medians ± quartiles are shown in the box plots.</w:t>
      </w:r>
    </w:p>
    <w:p w14:paraId="7246078C"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(e) Percentages of CXCR3</w:t>
      </w:r>
      <w:r w:rsidRPr="00093E7A">
        <w:rPr>
          <w:rFonts w:ascii="Arial" w:hAnsi="Arial" w:cs="Arial"/>
          <w:vertAlign w:val="superscript"/>
        </w:rPr>
        <w:t>+</w:t>
      </w:r>
      <w:r w:rsidRPr="00093E7A">
        <w:rPr>
          <w:rFonts w:ascii="Arial" w:hAnsi="Arial" w:cs="Arial"/>
        </w:rPr>
        <w:t>IgA</w:t>
      </w:r>
      <w:r w:rsidRPr="00093E7A">
        <w:rPr>
          <w:rFonts w:ascii="Arial" w:hAnsi="Arial" w:cs="Arial"/>
          <w:vertAlign w:val="superscript"/>
        </w:rPr>
        <w:t xml:space="preserve">+ </w:t>
      </w:r>
      <w:r w:rsidRPr="00093E7A">
        <w:rPr>
          <w:rFonts w:ascii="Arial" w:hAnsi="Arial" w:cs="Arial"/>
        </w:rPr>
        <w:t>(</w:t>
      </w:r>
      <w:r>
        <w:rPr>
          <w:rFonts w:ascii="Arial" w:hAnsi="Arial" w:cs="Arial"/>
        </w:rPr>
        <w:t>upper panel</w:t>
      </w:r>
      <w:r w:rsidRPr="00093E7A">
        <w:rPr>
          <w:rFonts w:ascii="Arial" w:hAnsi="Arial" w:cs="Arial"/>
        </w:rPr>
        <w:t>) and CXCR3</w:t>
      </w:r>
      <w:r w:rsidRPr="00093E7A">
        <w:rPr>
          <w:rFonts w:ascii="Arial" w:hAnsi="Arial" w:cs="Arial"/>
          <w:vertAlign w:val="superscript"/>
        </w:rPr>
        <w:t>+</w:t>
      </w:r>
      <w:r w:rsidRPr="00093E7A">
        <w:rPr>
          <w:rFonts w:ascii="Arial" w:hAnsi="Arial" w:cs="Arial"/>
        </w:rPr>
        <w:t>IgG</w:t>
      </w:r>
      <w:r w:rsidRPr="00093E7A">
        <w:rPr>
          <w:rFonts w:ascii="Arial" w:hAnsi="Arial" w:cs="Arial"/>
          <w:vertAlign w:val="superscript"/>
        </w:rPr>
        <w:t xml:space="preserve">+ </w:t>
      </w:r>
      <w:r w:rsidRPr="00093E7A">
        <w:rPr>
          <w:rFonts w:ascii="Arial" w:hAnsi="Arial" w:cs="Arial"/>
        </w:rPr>
        <w:t>(</w:t>
      </w:r>
      <w:r>
        <w:rPr>
          <w:rFonts w:ascii="Arial" w:hAnsi="Arial" w:cs="Arial"/>
        </w:rPr>
        <w:t>lower panel</w:t>
      </w:r>
      <w:r w:rsidRPr="00093E7A">
        <w:rPr>
          <w:rFonts w:ascii="Arial" w:hAnsi="Arial" w:cs="Arial"/>
        </w:rPr>
        <w:t>) cells among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in subjects with matched PBMCs, adenoids and tonsils from INF and VAC groups (INF = 5, VAC = 6).</w:t>
      </w:r>
      <w:r w:rsidRPr="00093E7A">
        <w:rPr>
          <w:rFonts w:ascii="Arial" w:hAnsi="Arial" w:cs="Arial"/>
          <w:i/>
          <w:iCs/>
        </w:rPr>
        <w:t xml:space="preserve"> P </w:t>
      </w:r>
      <w:r w:rsidRPr="00093E7A">
        <w:rPr>
          <w:rFonts w:ascii="Arial" w:hAnsi="Arial" w:cs="Arial"/>
        </w:rPr>
        <w:t xml:space="preserve">values were calculated with paired two-sided Wilcoxon signed ranks test. </w:t>
      </w:r>
    </w:p>
    <w:p w14:paraId="039C8013" w14:textId="77777777" w:rsidR="00590F3F" w:rsidRPr="00093E7A" w:rsidRDefault="00590F3F" w:rsidP="00590F3F">
      <w:pPr>
        <w:spacing w:line="360" w:lineRule="auto"/>
        <w:jc w:val="both"/>
        <w:rPr>
          <w:rFonts w:ascii="Arial" w:hAnsi="Arial" w:cs="Arial"/>
          <w:b/>
          <w:bCs/>
        </w:rPr>
      </w:pPr>
    </w:p>
    <w:p w14:paraId="25E9FB72" w14:textId="77777777" w:rsidR="00590F3F" w:rsidRPr="00093E7A" w:rsidRDefault="00590F3F" w:rsidP="00590F3F">
      <w:pPr>
        <w:spacing w:line="360" w:lineRule="auto"/>
        <w:jc w:val="both"/>
        <w:rPr>
          <w:rFonts w:ascii="Arial" w:hAnsi="Arial" w:cs="Arial"/>
          <w:b/>
          <w:bCs/>
        </w:rPr>
      </w:pPr>
      <w:r w:rsidRPr="00093E7A">
        <w:rPr>
          <w:rFonts w:ascii="Arial" w:hAnsi="Arial" w:cs="Arial"/>
          <w:noProof/>
        </w:rPr>
        <w:lastRenderedPageBreak/>
        <w:drawing>
          <wp:inline distT="0" distB="0" distL="0" distR="0" wp14:anchorId="485B16B4" wp14:editId="6982CED4">
            <wp:extent cx="5537200" cy="3403600"/>
            <wp:effectExtent l="0" t="0" r="0" b="0"/>
            <wp:docPr id="6262503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50390" name="Picture 626250390"/>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37200" cy="3403600"/>
                    </a:xfrm>
                    <a:prstGeom prst="rect">
                      <a:avLst/>
                    </a:prstGeom>
                  </pic:spPr>
                </pic:pic>
              </a:graphicData>
            </a:graphic>
          </wp:inline>
        </w:drawing>
      </w:r>
    </w:p>
    <w:p w14:paraId="1C601424" w14:textId="77777777" w:rsidR="00590F3F" w:rsidRPr="00093E7A" w:rsidRDefault="00590F3F" w:rsidP="00590F3F">
      <w:pPr>
        <w:spacing w:line="360" w:lineRule="auto"/>
        <w:jc w:val="both"/>
        <w:rPr>
          <w:rFonts w:ascii="Arial" w:hAnsi="Arial" w:cs="Arial"/>
          <w:b/>
          <w:bCs/>
        </w:rPr>
      </w:pPr>
      <w:r w:rsidRPr="00093E7A">
        <w:rPr>
          <w:rFonts w:ascii="Arial" w:hAnsi="Arial" w:cs="Arial"/>
          <w:b/>
          <w:bCs/>
        </w:rPr>
        <w:t>Extended Data Figure 3. Characterization of P2 (CXCR3</w:t>
      </w:r>
      <w:r w:rsidRPr="00093E7A">
        <w:rPr>
          <w:rFonts w:ascii="Arial" w:hAnsi="Arial" w:cs="Arial"/>
          <w:b/>
          <w:bCs/>
          <w:vertAlign w:val="superscript"/>
        </w:rPr>
        <w:t>+</w:t>
      </w:r>
      <w:r w:rsidRPr="00093E7A">
        <w:rPr>
          <w:rFonts w:ascii="Arial" w:hAnsi="Arial" w:cs="Arial"/>
          <w:b/>
          <w:bCs/>
        </w:rPr>
        <w:t>CD21</w:t>
      </w:r>
      <w:r w:rsidRPr="00093E7A">
        <w:rPr>
          <w:rFonts w:ascii="Arial" w:hAnsi="Arial" w:cs="Arial"/>
          <w:b/>
          <w:bCs/>
          <w:vertAlign w:val="superscript"/>
        </w:rPr>
        <w:t>+</w:t>
      </w:r>
      <w:r w:rsidRPr="00093E7A">
        <w:rPr>
          <w:rFonts w:ascii="Arial" w:hAnsi="Arial" w:cs="Arial"/>
          <w:b/>
          <w:bCs/>
        </w:rPr>
        <w:t>) B</w:t>
      </w:r>
      <w:r w:rsidRPr="00093E7A">
        <w:rPr>
          <w:rFonts w:ascii="Arial" w:hAnsi="Arial" w:cs="Arial"/>
          <w:b/>
          <w:bCs/>
          <w:vertAlign w:val="subscript"/>
        </w:rPr>
        <w:t>SM</w:t>
      </w:r>
    </w:p>
    <w:p w14:paraId="2CF166BF" w14:textId="77777777" w:rsidR="00590F3F" w:rsidRPr="00093E7A" w:rsidRDefault="00590F3F" w:rsidP="00590F3F">
      <w:pPr>
        <w:pStyle w:val="ListParagraph"/>
        <w:numPr>
          <w:ilvl w:val="0"/>
          <w:numId w:val="2"/>
        </w:numPr>
        <w:spacing w:before="240" w:line="360" w:lineRule="auto"/>
        <w:ind w:left="360"/>
        <w:jc w:val="both"/>
        <w:rPr>
          <w:rFonts w:ascii="Arial" w:hAnsi="Arial" w:cs="Arial"/>
        </w:rPr>
      </w:pPr>
      <w:r w:rsidRPr="00093E7A">
        <w:rPr>
          <w:rFonts w:ascii="Arial" w:hAnsi="Arial" w:cs="Arial"/>
        </w:rPr>
        <w:t>Representative gating of P1 to P4 B</w:t>
      </w:r>
      <w:r w:rsidRPr="00093E7A">
        <w:rPr>
          <w:rFonts w:ascii="Arial" w:hAnsi="Arial" w:cs="Arial"/>
          <w:vertAlign w:val="subscript"/>
        </w:rPr>
        <w:t>SM</w:t>
      </w:r>
      <w:r w:rsidRPr="00093E7A">
        <w:rPr>
          <w:rFonts w:ascii="Arial" w:hAnsi="Arial" w:cs="Arial"/>
        </w:rPr>
        <w:t xml:space="preserve"> based on CD27 and CD21 expression in PBMC and tonsil to define cMBC, atMBC and acMBC.</w:t>
      </w:r>
    </w:p>
    <w:p w14:paraId="43FF73AB" w14:textId="77777777" w:rsidR="00590F3F" w:rsidRPr="00093E7A" w:rsidRDefault="00590F3F" w:rsidP="00590F3F">
      <w:pPr>
        <w:pStyle w:val="ListParagraph"/>
        <w:numPr>
          <w:ilvl w:val="0"/>
          <w:numId w:val="2"/>
        </w:numPr>
        <w:spacing w:after="240" w:line="360" w:lineRule="auto"/>
        <w:ind w:left="360"/>
        <w:jc w:val="both"/>
        <w:rPr>
          <w:rFonts w:ascii="Arial" w:hAnsi="Arial" w:cs="Arial"/>
        </w:rPr>
      </w:pPr>
      <w:r w:rsidRPr="00093E7A">
        <w:rPr>
          <w:rFonts w:ascii="Arial" w:hAnsi="Arial" w:cs="Arial"/>
        </w:rPr>
        <w:t>Percentage of CD69</w:t>
      </w:r>
      <w:r w:rsidRPr="00093E7A">
        <w:rPr>
          <w:rFonts w:ascii="Arial" w:hAnsi="Arial" w:cs="Arial"/>
          <w:vertAlign w:val="superscript"/>
        </w:rPr>
        <w:t>+</w:t>
      </w:r>
      <w:r w:rsidRPr="00093E7A">
        <w:rPr>
          <w:rFonts w:ascii="Arial" w:hAnsi="Arial" w:cs="Arial"/>
        </w:rPr>
        <w:t xml:space="preserve"> cells among bulk P1 to P4 B</w:t>
      </w:r>
      <w:r w:rsidRPr="00093E7A">
        <w:rPr>
          <w:rFonts w:ascii="Arial" w:hAnsi="Arial" w:cs="Arial"/>
          <w:vertAlign w:val="subscript"/>
        </w:rPr>
        <w:t>SM</w:t>
      </w:r>
      <w:r w:rsidRPr="00093E7A">
        <w:rPr>
          <w:rFonts w:ascii="Arial" w:hAnsi="Arial" w:cs="Arial"/>
        </w:rPr>
        <w:t xml:space="preserve"> populations in PBMCs, adenoids and tonsils of INF and VAC participants (PBMC: INF N = 15, VAC N = 10; adenoid: INF N = 14, VAC N = 9; tonsil: INF N = 22, VAC N = 7). CD69</w:t>
      </w:r>
      <w:r w:rsidRPr="00093E7A">
        <w:rPr>
          <w:rFonts w:ascii="Arial" w:hAnsi="Arial" w:cs="Arial"/>
          <w:vertAlign w:val="superscript"/>
        </w:rPr>
        <w:t>+</w:t>
      </w:r>
      <w:r w:rsidRPr="00093E7A">
        <w:rPr>
          <w:rFonts w:ascii="Arial" w:hAnsi="Arial" w:cs="Arial"/>
        </w:rPr>
        <w:t xml:space="preserve"> P2 population was compared to the other types of B</w:t>
      </w:r>
      <w:r w:rsidRPr="00093E7A">
        <w:rPr>
          <w:rFonts w:ascii="Arial" w:hAnsi="Arial" w:cs="Arial"/>
          <w:vertAlign w:val="subscript"/>
        </w:rPr>
        <w:t>SM</w:t>
      </w:r>
      <w:r w:rsidRPr="00093E7A">
        <w:rPr>
          <w:rFonts w:ascii="Arial" w:hAnsi="Arial" w:cs="Arial"/>
        </w:rPr>
        <w:t xml:space="preserve">. </w:t>
      </w:r>
      <w:r w:rsidRPr="00093E7A">
        <w:rPr>
          <w:rFonts w:ascii="Arial" w:hAnsi="Arial" w:cs="Arial"/>
          <w:i/>
          <w:iCs/>
        </w:rPr>
        <w:t xml:space="preserve">P </w:t>
      </w:r>
      <w:r w:rsidRPr="00093E7A">
        <w:rPr>
          <w:rFonts w:ascii="Arial" w:hAnsi="Arial" w:cs="Arial"/>
        </w:rPr>
        <w:t xml:space="preserve">values were calculated with paired two-sided Wilcoxon signed ranks test. </w:t>
      </w:r>
      <w:r w:rsidRPr="00093E7A">
        <w:rPr>
          <w:rFonts w:ascii="Arial" w:hAnsi="Arial" w:cs="Arial"/>
          <w:i/>
          <w:iCs/>
        </w:rPr>
        <w:t>P</w:t>
      </w:r>
      <w:r w:rsidRPr="00093E7A">
        <w:rPr>
          <w:rFonts w:ascii="Arial" w:hAnsi="Arial" w:cs="Arial"/>
        </w:rPr>
        <w:t xml:space="preserve"> &lt; 0.05 were considered significant.</w:t>
      </w:r>
      <w:r w:rsidRPr="00093E7A" w:rsidDel="00851AD4">
        <w:rPr>
          <w:rFonts w:ascii="Arial" w:hAnsi="Arial" w:cs="Arial"/>
          <w:strike/>
        </w:rPr>
        <w:t xml:space="preserve"> </w:t>
      </w:r>
    </w:p>
    <w:p w14:paraId="3A054F7F" w14:textId="77777777" w:rsidR="00590F3F" w:rsidRPr="00093E7A" w:rsidRDefault="00590F3F" w:rsidP="00590F3F">
      <w:pPr>
        <w:spacing w:after="240" w:line="360" w:lineRule="auto"/>
        <w:jc w:val="both"/>
        <w:rPr>
          <w:rFonts w:ascii="Arial" w:hAnsi="Arial" w:cs="Arial"/>
          <w:strike/>
        </w:rPr>
      </w:pPr>
      <w:r w:rsidRPr="00093E7A">
        <w:rPr>
          <w:rFonts w:ascii="Arial" w:hAnsi="Arial" w:cs="Arial"/>
          <w:noProof/>
        </w:rPr>
        <w:lastRenderedPageBreak/>
        <w:drawing>
          <wp:inline distT="0" distB="0" distL="0" distR="0" wp14:anchorId="5A459A3E" wp14:editId="3B3B26B3">
            <wp:extent cx="5943600" cy="7145020"/>
            <wp:effectExtent l="0" t="0" r="0" b="5080"/>
            <wp:docPr id="146063729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37290" name="Picture 146063729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145020"/>
                    </a:xfrm>
                    <a:prstGeom prst="rect">
                      <a:avLst/>
                    </a:prstGeom>
                  </pic:spPr>
                </pic:pic>
              </a:graphicData>
            </a:graphic>
          </wp:inline>
        </w:drawing>
      </w:r>
    </w:p>
    <w:p w14:paraId="78C795F2" w14:textId="77777777" w:rsidR="00590F3F" w:rsidRPr="002442EE" w:rsidRDefault="00590F3F" w:rsidP="00590F3F">
      <w:pPr>
        <w:spacing w:after="240" w:line="360" w:lineRule="auto"/>
        <w:jc w:val="both"/>
        <w:rPr>
          <w:rFonts w:ascii="Arial" w:hAnsi="Arial" w:cs="Arial"/>
        </w:rPr>
      </w:pPr>
    </w:p>
    <w:p w14:paraId="1BD06AD0" w14:textId="77777777" w:rsidR="00590F3F" w:rsidRPr="00093E7A" w:rsidRDefault="00590F3F" w:rsidP="00590F3F">
      <w:pPr>
        <w:spacing w:line="360" w:lineRule="auto"/>
        <w:jc w:val="both"/>
        <w:rPr>
          <w:rFonts w:ascii="Arial" w:hAnsi="Arial" w:cs="Arial"/>
          <w:b/>
          <w:bCs/>
        </w:rPr>
      </w:pPr>
      <w:r w:rsidRPr="00093E7A">
        <w:rPr>
          <w:rFonts w:ascii="Arial" w:hAnsi="Arial" w:cs="Arial"/>
          <w:b/>
          <w:bCs/>
        </w:rPr>
        <w:lastRenderedPageBreak/>
        <w:t>Extended Data Figure 4. Characterization of tissue S1</w:t>
      </w:r>
      <w:r w:rsidRPr="00093E7A">
        <w:rPr>
          <w:rFonts w:ascii="Arial" w:hAnsi="Arial" w:cs="Arial"/>
          <w:b/>
          <w:bCs/>
          <w:vertAlign w:val="superscript"/>
        </w:rPr>
        <w:t>+</w:t>
      </w:r>
      <w:r w:rsidRPr="00093E7A">
        <w:rPr>
          <w:rFonts w:ascii="Arial" w:hAnsi="Arial" w:cs="Arial"/>
          <w:b/>
          <w:bCs/>
        </w:rPr>
        <w:t xml:space="preserve"> B cells with CITE-seq and ATAC-seq</w:t>
      </w:r>
    </w:p>
    <w:p w14:paraId="259E77D2" w14:textId="77777777" w:rsidR="00590F3F" w:rsidRPr="00093E7A" w:rsidRDefault="00590F3F" w:rsidP="00590F3F">
      <w:pPr>
        <w:pStyle w:val="ListParagraph"/>
        <w:numPr>
          <w:ilvl w:val="0"/>
          <w:numId w:val="3"/>
        </w:numPr>
        <w:spacing w:before="240" w:line="360" w:lineRule="auto"/>
        <w:ind w:left="360"/>
        <w:jc w:val="both"/>
        <w:rPr>
          <w:rFonts w:ascii="Arial" w:hAnsi="Arial" w:cs="Arial"/>
        </w:rPr>
      </w:pPr>
      <w:r w:rsidRPr="00093E7A">
        <w:rPr>
          <w:rFonts w:ascii="Arial" w:hAnsi="Arial" w:cs="Arial"/>
        </w:rPr>
        <w:t xml:space="preserve">RNA counts for </w:t>
      </w:r>
      <w:r w:rsidRPr="00093E7A">
        <w:rPr>
          <w:rFonts w:ascii="Arial" w:hAnsi="Arial" w:cs="Arial"/>
          <w:i/>
          <w:iCs/>
        </w:rPr>
        <w:t>CXCR3</w:t>
      </w:r>
      <w:r w:rsidRPr="00093E7A">
        <w:rPr>
          <w:rFonts w:ascii="Arial" w:hAnsi="Arial" w:cs="Arial"/>
        </w:rPr>
        <w:t xml:space="preserve"> (red) and log-transformed and normalized CXCR3 surface protein levels (blue) from CITE-seq in S1</w:t>
      </w:r>
      <w:r w:rsidRPr="00093E7A">
        <w:rPr>
          <w:rFonts w:ascii="Arial" w:hAnsi="Arial" w:cs="Arial"/>
          <w:vertAlign w:val="superscript"/>
        </w:rPr>
        <w:t>+</w:t>
      </w:r>
      <w:r w:rsidRPr="00093E7A">
        <w:rPr>
          <w:rFonts w:ascii="Arial" w:hAnsi="Arial" w:cs="Arial"/>
        </w:rPr>
        <w:t xml:space="preserve"> and S1</w:t>
      </w:r>
      <w:r w:rsidRPr="00093E7A">
        <w:rPr>
          <w:rFonts w:ascii="Arial" w:hAnsi="Arial" w:cs="Arial"/>
          <w:vertAlign w:val="superscript"/>
        </w:rPr>
        <w:t>-</w:t>
      </w:r>
      <w:r w:rsidRPr="00093E7A">
        <w:rPr>
          <w:rFonts w:ascii="Arial" w:hAnsi="Arial" w:cs="Arial"/>
        </w:rPr>
        <w:t xml:space="preserve"> B cells in INF and VAC tissues. An equal number of subject- and tissue-matched cells were sampled from each cell type (S1</w:t>
      </w:r>
      <w:r w:rsidRPr="00093E7A">
        <w:rPr>
          <w:rFonts w:ascii="Arial" w:hAnsi="Arial" w:cs="Arial"/>
          <w:vertAlign w:val="superscript"/>
        </w:rPr>
        <w:t>−</w:t>
      </w:r>
      <w:r w:rsidRPr="00093E7A">
        <w:rPr>
          <w:rFonts w:ascii="Arial" w:hAnsi="Arial" w:cs="Arial"/>
        </w:rPr>
        <w:t xml:space="preserve"> or S1</w:t>
      </w:r>
      <w:r w:rsidRPr="00093E7A">
        <w:rPr>
          <w:rFonts w:ascii="Arial" w:hAnsi="Arial" w:cs="Arial"/>
          <w:vertAlign w:val="superscript"/>
        </w:rPr>
        <w:t>+</w:t>
      </w:r>
      <w:r w:rsidRPr="00093E7A">
        <w:rPr>
          <w:rFonts w:ascii="Arial" w:hAnsi="Arial" w:cs="Arial"/>
        </w:rPr>
        <w:t>) from both INF and VAC subjects. S1</w:t>
      </w:r>
      <w:r w:rsidRPr="00093E7A">
        <w:rPr>
          <w:rFonts w:ascii="Arial" w:hAnsi="Arial" w:cs="Arial"/>
          <w:vertAlign w:val="superscript"/>
        </w:rPr>
        <w:t>−</w:t>
      </w:r>
      <w:r w:rsidRPr="00093E7A">
        <w:rPr>
          <w:rFonts w:ascii="Arial" w:hAnsi="Arial" w:cs="Arial"/>
        </w:rPr>
        <w:t xml:space="preserve"> and S1</w:t>
      </w:r>
      <w:r w:rsidRPr="00093E7A">
        <w:rPr>
          <w:rFonts w:ascii="Arial" w:hAnsi="Arial" w:cs="Arial"/>
          <w:vertAlign w:val="superscript"/>
        </w:rPr>
        <w:t>+</w:t>
      </w:r>
      <w:r w:rsidRPr="00093E7A">
        <w:rPr>
          <w:rFonts w:ascii="Arial" w:hAnsi="Arial" w:cs="Arial"/>
        </w:rPr>
        <w:t xml:space="preserve"> cells was then down sampled to the maximum equal number across groups. </w:t>
      </w:r>
    </w:p>
    <w:p w14:paraId="4B6766FD"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Percentages of each B cell subset manually gated based on surface antibody expression among S1</w:t>
      </w:r>
      <w:r w:rsidRPr="00093E7A">
        <w:rPr>
          <w:rFonts w:ascii="Arial" w:hAnsi="Arial" w:cs="Arial"/>
          <w:vertAlign w:val="superscript"/>
        </w:rPr>
        <w:t>+</w:t>
      </w:r>
      <w:r w:rsidRPr="00093E7A">
        <w:rPr>
          <w:rFonts w:ascii="Arial" w:hAnsi="Arial" w:cs="Arial"/>
        </w:rPr>
        <w:t xml:space="preserve"> or S1</w:t>
      </w:r>
      <w:r w:rsidRPr="00093E7A">
        <w:rPr>
          <w:rFonts w:ascii="Arial" w:hAnsi="Arial" w:cs="Arial"/>
          <w:vertAlign w:val="superscript"/>
        </w:rPr>
        <w:t>-</w:t>
      </w:r>
      <w:r w:rsidRPr="00093E7A">
        <w:rPr>
          <w:rFonts w:ascii="Arial" w:hAnsi="Arial" w:cs="Arial"/>
        </w:rPr>
        <w:t xml:space="preserve"> cells of INF and VAC participants, compared with two-sided Mann-Whitney U test.  Medians ± quartiles are shown in the box plots.</w:t>
      </w:r>
    </w:p>
    <w:p w14:paraId="58E6DE7C"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PCA of P1 to P4 B</w:t>
      </w:r>
      <w:r w:rsidRPr="00093E7A">
        <w:rPr>
          <w:rFonts w:ascii="Arial" w:hAnsi="Arial" w:cs="Arial"/>
          <w:vertAlign w:val="subscript"/>
        </w:rPr>
        <w:t xml:space="preserve">SM </w:t>
      </w:r>
      <w:r w:rsidRPr="00093E7A">
        <w:rPr>
          <w:rFonts w:ascii="Arial" w:hAnsi="Arial" w:cs="Arial"/>
        </w:rPr>
        <w:t>from tissue based on transcriptome from CITE-seq. Each point represents an B</w:t>
      </w:r>
      <w:r w:rsidRPr="00093E7A">
        <w:rPr>
          <w:rFonts w:ascii="Arial" w:hAnsi="Arial" w:cs="Arial"/>
          <w:vertAlign w:val="subscript"/>
        </w:rPr>
        <w:t>SM</w:t>
      </w:r>
      <w:r w:rsidRPr="00093E7A">
        <w:rPr>
          <w:rFonts w:ascii="Arial" w:hAnsi="Arial" w:cs="Arial"/>
        </w:rPr>
        <w:t xml:space="preserve"> subset from an individual’s tissue sample</w:t>
      </w:r>
      <w:r w:rsidRPr="00093E7A">
        <w:rPr>
          <w:rFonts w:ascii="Arial" w:hAnsi="Arial" w:cs="Arial"/>
          <w:vertAlign w:val="subscript"/>
        </w:rPr>
        <w:t>.</w:t>
      </w:r>
    </w:p>
    <w:p w14:paraId="2BF22E70"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Heatmap of top differentially expressed genes among P1 to P4 tissue B</w:t>
      </w:r>
      <w:r w:rsidRPr="00093E7A">
        <w:rPr>
          <w:rFonts w:ascii="Arial" w:hAnsi="Arial" w:cs="Arial"/>
          <w:vertAlign w:val="subscript"/>
        </w:rPr>
        <w:t>SM</w:t>
      </w:r>
      <w:r w:rsidRPr="00093E7A">
        <w:rPr>
          <w:rFonts w:ascii="Arial" w:hAnsi="Arial" w:cs="Arial"/>
        </w:rPr>
        <w:t xml:space="preserve"> subsets from CITE-seq. Panels a-d use same samples as Figure 5</w:t>
      </w:r>
      <w:r>
        <w:rPr>
          <w:rFonts w:ascii="Arial" w:hAnsi="Arial" w:cs="Arial"/>
        </w:rPr>
        <w:t>e</w:t>
      </w:r>
      <w:r w:rsidRPr="00093E7A">
        <w:rPr>
          <w:rFonts w:ascii="Arial" w:hAnsi="Arial" w:cs="Arial"/>
        </w:rPr>
        <w:t>.</w:t>
      </w:r>
    </w:p>
    <w:p w14:paraId="04EC4E0A"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PCA of epigenomic profiles from ATAC-seq from P1 to P4 tonsil B</w:t>
      </w:r>
      <w:r w:rsidRPr="00093E7A">
        <w:rPr>
          <w:rFonts w:ascii="Arial" w:hAnsi="Arial" w:cs="Arial"/>
          <w:vertAlign w:val="subscript"/>
        </w:rPr>
        <w:t>SM</w:t>
      </w:r>
      <w:r w:rsidRPr="00093E7A">
        <w:rPr>
          <w:rFonts w:ascii="Arial" w:hAnsi="Arial" w:cs="Arial"/>
        </w:rPr>
        <w:t>, showing the variation in library-size normalized counts of consensus peaks. Consensus peaks are defined as those present in at least two samples. Each point represents a B</w:t>
      </w:r>
      <w:r w:rsidRPr="00093E7A">
        <w:rPr>
          <w:rFonts w:ascii="Arial" w:hAnsi="Arial" w:cs="Arial"/>
          <w:vertAlign w:val="subscript"/>
        </w:rPr>
        <w:t>SM</w:t>
      </w:r>
      <w:r w:rsidRPr="00093E7A">
        <w:rPr>
          <w:rFonts w:ascii="Arial" w:hAnsi="Arial" w:cs="Arial"/>
        </w:rPr>
        <w:t xml:space="preserve"> subset from an individual tonsil sample, colored by the type of B</w:t>
      </w:r>
      <w:r w:rsidRPr="00093E7A">
        <w:rPr>
          <w:rFonts w:ascii="Arial" w:hAnsi="Arial" w:cs="Arial"/>
          <w:vertAlign w:val="subscript"/>
        </w:rPr>
        <w:t xml:space="preserve">SM </w:t>
      </w:r>
      <w:r w:rsidRPr="00093E7A">
        <w:rPr>
          <w:rFonts w:ascii="Arial" w:hAnsi="Arial" w:cs="Arial"/>
        </w:rPr>
        <w:t xml:space="preserve">(N = 3 tonsils, samples are listed in Supplemental Table 2). </w:t>
      </w:r>
    </w:p>
    <w:p w14:paraId="787A96D1"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Top 25 enriched motifs based on differential peaks identified by comparing peaks combined from P3 and P4 populations with those from P1 and P2. True positives (TP) refer to accurately identified motif occurrences within the given sequence dataset.</w:t>
      </w:r>
    </w:p>
    <w:p w14:paraId="11F8D12E"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Differentially accessible regions (DARs) between P1 B</w:t>
      </w:r>
      <w:r w:rsidRPr="00093E7A">
        <w:rPr>
          <w:rFonts w:ascii="Arial" w:hAnsi="Arial" w:cs="Arial"/>
          <w:vertAlign w:val="subscript"/>
        </w:rPr>
        <w:t xml:space="preserve">SM </w:t>
      </w:r>
      <w:r w:rsidRPr="00093E7A">
        <w:rPr>
          <w:rFonts w:ascii="Arial" w:hAnsi="Arial" w:cs="Arial"/>
        </w:rPr>
        <w:t>and P2 B</w:t>
      </w:r>
      <w:r w:rsidRPr="00093E7A">
        <w:rPr>
          <w:rFonts w:ascii="Arial" w:hAnsi="Arial" w:cs="Arial"/>
          <w:vertAlign w:val="subscript"/>
        </w:rPr>
        <w:t>SM</w:t>
      </w:r>
      <w:r w:rsidRPr="00093E7A">
        <w:rPr>
          <w:rFonts w:ascii="Arial" w:hAnsi="Arial" w:cs="Arial"/>
        </w:rPr>
        <w:t xml:space="preserve"> with FDR &lt; 0.1. Top 20 peaks are labeled with their corresponding gene names (one peak lacked annotation, Supplemental Table 10).</w:t>
      </w:r>
    </w:p>
    <w:p w14:paraId="117D91ED"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 xml:space="preserve">Pathway enrichment analysis by Genomic Regions Enrichment of Annotations Tool (GREAT) </w:t>
      </w:r>
      <w:r>
        <w:rPr>
          <w:rFonts w:ascii="Arial" w:hAnsi="Arial" w:cs="Arial"/>
        </w:rPr>
        <w:t>using</w:t>
      </w:r>
      <w:r w:rsidRPr="00093E7A">
        <w:rPr>
          <w:rFonts w:ascii="Arial" w:hAnsi="Arial" w:cs="Arial"/>
        </w:rPr>
        <w:t xml:space="preserve"> DARs enriched in P1 compared to P2.</w:t>
      </w:r>
    </w:p>
    <w:p w14:paraId="1953FE20"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t xml:space="preserve">ATAC-seq genome tracks at the </w:t>
      </w:r>
      <w:r w:rsidRPr="00093E7A">
        <w:rPr>
          <w:rFonts w:ascii="Arial" w:hAnsi="Arial" w:cs="Arial"/>
          <w:i/>
          <w:iCs/>
        </w:rPr>
        <w:t>IRF4</w:t>
      </w:r>
      <w:r w:rsidRPr="00093E7A">
        <w:rPr>
          <w:rFonts w:ascii="Arial" w:hAnsi="Arial" w:cs="Arial"/>
        </w:rPr>
        <w:t xml:space="preserve"> and </w:t>
      </w:r>
      <w:r w:rsidRPr="00093E7A">
        <w:rPr>
          <w:rFonts w:ascii="Arial" w:hAnsi="Arial" w:cs="Arial"/>
          <w:i/>
          <w:iCs/>
        </w:rPr>
        <w:t xml:space="preserve">PRDM1 </w:t>
      </w:r>
      <w:r w:rsidRPr="00093E7A">
        <w:rPr>
          <w:rFonts w:ascii="Arial" w:hAnsi="Arial" w:cs="Arial"/>
        </w:rPr>
        <w:t>loci in sorted tonsil B</w:t>
      </w:r>
      <w:r w:rsidRPr="00093E7A">
        <w:rPr>
          <w:rFonts w:ascii="Arial" w:hAnsi="Arial" w:cs="Arial"/>
          <w:vertAlign w:val="subscript"/>
        </w:rPr>
        <w:t>SM</w:t>
      </w:r>
      <w:r w:rsidRPr="00093E7A">
        <w:rPr>
          <w:rFonts w:ascii="Arial" w:hAnsi="Arial" w:cs="Arial"/>
        </w:rPr>
        <w:t xml:space="preserve"> from representative P1 to P4 populations described in e-h and memory B cells (MBC) and plasma cell (PC) subsets from published tonsil sc-ATAC-seq dataset</w:t>
      </w:r>
      <w:r>
        <w:rPr>
          <w:rFonts w:ascii="Arial" w:hAnsi="Arial" w:cs="Arial"/>
        </w:rPr>
        <w:fldChar w:fldCharType="begin">
          <w:fldData xml:space="preserve">PEVuZE5vdGU+PENpdGU+PEF1dGhvcj5NYXNzb25pLUJhZG9zYTwvQXV0aG9yPjxZZWFyPjIwMjQ8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PEVuZE5vdGU+PENpdGU+PEF1dGhvcj5NYXNzb25pLUJhZG9zYTwvQXV0aG9yPjxZZWFyPjIwMjQ8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323480">
        <w:rPr>
          <w:rFonts w:ascii="Arial" w:hAnsi="Arial" w:cs="Arial"/>
          <w:noProof/>
          <w:vertAlign w:val="superscript"/>
        </w:rPr>
        <w:t>91</w:t>
      </w:r>
      <w:r>
        <w:rPr>
          <w:rFonts w:ascii="Arial" w:hAnsi="Arial" w:cs="Arial"/>
        </w:rPr>
        <w:fldChar w:fldCharType="end"/>
      </w:r>
      <w:r w:rsidRPr="00093E7A">
        <w:rPr>
          <w:rFonts w:ascii="Arial" w:hAnsi="Arial" w:cs="Arial"/>
        </w:rPr>
        <w:t>.</w:t>
      </w:r>
    </w:p>
    <w:p w14:paraId="4648E0F9" w14:textId="77777777" w:rsidR="00590F3F" w:rsidRPr="00093E7A" w:rsidRDefault="00590F3F" w:rsidP="00590F3F">
      <w:pPr>
        <w:pStyle w:val="ListParagraph"/>
        <w:numPr>
          <w:ilvl w:val="0"/>
          <w:numId w:val="3"/>
        </w:numPr>
        <w:spacing w:line="360" w:lineRule="auto"/>
        <w:ind w:left="360"/>
        <w:jc w:val="both"/>
        <w:rPr>
          <w:rFonts w:ascii="Arial" w:hAnsi="Arial" w:cs="Arial"/>
        </w:rPr>
      </w:pPr>
      <w:r w:rsidRPr="00093E7A">
        <w:rPr>
          <w:rFonts w:ascii="Arial" w:hAnsi="Arial" w:cs="Arial"/>
        </w:rPr>
        <w:lastRenderedPageBreak/>
        <w:t>Proportion of IRF4-binding complex motifs (AICE, ISRE, and EICE) among DARs differentially enriched in either P1 or P2. Two-tailed Fisher's exact test was used for statistical analysis.</w:t>
      </w:r>
    </w:p>
    <w:p w14:paraId="74EB9801" w14:textId="77777777" w:rsidR="00590F3F" w:rsidRPr="00093E7A" w:rsidRDefault="00590F3F" w:rsidP="00590F3F">
      <w:pPr>
        <w:rPr>
          <w:rFonts w:ascii="Arial" w:hAnsi="Arial" w:cs="Arial"/>
        </w:rPr>
      </w:pPr>
      <w:r w:rsidRPr="00093E7A">
        <w:rPr>
          <w:rFonts w:ascii="Arial" w:hAnsi="Arial" w:cs="Arial"/>
        </w:rPr>
        <w:br w:type="page"/>
      </w:r>
    </w:p>
    <w:p w14:paraId="0D335F9E" w14:textId="77777777" w:rsidR="00590F3F" w:rsidRPr="00093E7A" w:rsidRDefault="00590F3F" w:rsidP="00590F3F">
      <w:pPr>
        <w:spacing w:line="360" w:lineRule="auto"/>
        <w:jc w:val="both"/>
        <w:rPr>
          <w:rFonts w:ascii="Arial" w:hAnsi="Arial" w:cs="Arial"/>
          <w:b/>
          <w:bCs/>
        </w:rPr>
      </w:pPr>
      <w:r w:rsidRPr="00093E7A">
        <w:rPr>
          <w:rFonts w:ascii="Arial" w:hAnsi="Arial" w:cs="Arial"/>
          <w:noProof/>
        </w:rPr>
        <w:lastRenderedPageBreak/>
        <w:drawing>
          <wp:inline distT="0" distB="0" distL="0" distR="0" wp14:anchorId="67486343" wp14:editId="5F14F10E">
            <wp:extent cx="5740400" cy="6388100"/>
            <wp:effectExtent l="0" t="0" r="0" b="0"/>
            <wp:docPr id="822776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77669" name="Picture 8227766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40400" cy="6388100"/>
                    </a:xfrm>
                    <a:prstGeom prst="rect">
                      <a:avLst/>
                    </a:prstGeom>
                  </pic:spPr>
                </pic:pic>
              </a:graphicData>
            </a:graphic>
          </wp:inline>
        </w:drawing>
      </w:r>
    </w:p>
    <w:p w14:paraId="06E7F09E" w14:textId="77777777" w:rsidR="00590F3F" w:rsidRPr="00093E7A" w:rsidRDefault="00590F3F" w:rsidP="00590F3F">
      <w:pPr>
        <w:spacing w:line="360" w:lineRule="auto"/>
        <w:jc w:val="both"/>
        <w:rPr>
          <w:rFonts w:ascii="Arial" w:hAnsi="Arial" w:cs="Arial"/>
          <w:b/>
          <w:bCs/>
        </w:rPr>
      </w:pPr>
      <w:r w:rsidRPr="00093E7A">
        <w:rPr>
          <w:rFonts w:ascii="Arial" w:hAnsi="Arial" w:cs="Arial"/>
          <w:b/>
          <w:bCs/>
        </w:rPr>
        <w:t>Extended Data Figure 5. Single cell BCR repertoire analysis of S1</w:t>
      </w:r>
      <w:r w:rsidRPr="00093E7A">
        <w:rPr>
          <w:rFonts w:ascii="Arial" w:hAnsi="Arial" w:cs="Arial"/>
          <w:b/>
          <w:bCs/>
          <w:vertAlign w:val="superscript"/>
        </w:rPr>
        <w:t>+</w:t>
      </w:r>
      <w:r w:rsidRPr="00093E7A">
        <w:rPr>
          <w:rFonts w:ascii="Arial" w:hAnsi="Arial" w:cs="Arial"/>
          <w:b/>
          <w:bCs/>
        </w:rPr>
        <w:t xml:space="preserve"> and S1</w:t>
      </w:r>
      <w:r w:rsidRPr="00093E7A">
        <w:rPr>
          <w:rFonts w:ascii="Arial" w:hAnsi="Arial" w:cs="Arial"/>
          <w:b/>
          <w:bCs/>
          <w:vertAlign w:val="superscript"/>
        </w:rPr>
        <w:t xml:space="preserve">- </w:t>
      </w:r>
      <w:r w:rsidRPr="00093E7A">
        <w:rPr>
          <w:rFonts w:ascii="Arial" w:hAnsi="Arial" w:cs="Arial"/>
          <w:b/>
          <w:bCs/>
        </w:rPr>
        <w:t>B cells</w:t>
      </w:r>
      <w:r w:rsidRPr="00093E7A">
        <w:rPr>
          <w:rFonts w:ascii="Arial" w:hAnsi="Arial" w:cs="Arial"/>
          <w:b/>
          <w:bCs/>
          <w:strike/>
        </w:rPr>
        <w:t xml:space="preserve"> </w:t>
      </w:r>
      <w:r w:rsidRPr="00093E7A">
        <w:rPr>
          <w:rFonts w:ascii="Arial" w:hAnsi="Arial" w:cs="Arial"/>
          <w:b/>
          <w:bCs/>
        </w:rPr>
        <w:t>in INF and VAC tissues</w:t>
      </w:r>
    </w:p>
    <w:p w14:paraId="0B068411" w14:textId="77777777" w:rsidR="00590F3F" w:rsidRPr="00093E7A" w:rsidRDefault="00590F3F" w:rsidP="00590F3F">
      <w:pPr>
        <w:pStyle w:val="ListParagraph"/>
        <w:numPr>
          <w:ilvl w:val="0"/>
          <w:numId w:val="6"/>
        </w:numPr>
        <w:spacing w:before="240" w:line="360" w:lineRule="auto"/>
        <w:jc w:val="both"/>
        <w:rPr>
          <w:rFonts w:ascii="Arial" w:hAnsi="Arial" w:cs="Arial"/>
          <w:b/>
          <w:bCs/>
        </w:rPr>
      </w:pPr>
      <w:r w:rsidRPr="00093E7A">
        <w:rPr>
          <w:rFonts w:ascii="Arial" w:hAnsi="Arial" w:cs="Arial"/>
        </w:rPr>
        <w:t>Composition of isotypes in each B cell subset among S1</w:t>
      </w:r>
      <w:r w:rsidRPr="00093E7A">
        <w:rPr>
          <w:rFonts w:ascii="Arial" w:hAnsi="Arial" w:cs="Arial"/>
          <w:vertAlign w:val="superscript"/>
        </w:rPr>
        <w:t>+</w:t>
      </w:r>
      <w:r w:rsidRPr="00093E7A">
        <w:rPr>
          <w:rFonts w:ascii="Arial" w:hAnsi="Arial" w:cs="Arial"/>
        </w:rPr>
        <w:t xml:space="preserve"> or S1</w:t>
      </w:r>
      <w:r w:rsidRPr="00093E7A">
        <w:rPr>
          <w:rFonts w:ascii="Arial" w:hAnsi="Arial" w:cs="Arial"/>
          <w:vertAlign w:val="superscript"/>
        </w:rPr>
        <w:t xml:space="preserve">- </w:t>
      </w:r>
      <w:r w:rsidRPr="00093E7A">
        <w:rPr>
          <w:rFonts w:ascii="Arial" w:hAnsi="Arial" w:cs="Arial"/>
        </w:rPr>
        <w:t xml:space="preserve">cells from PBMCs, adenoids, and tonsils of VAC and INF participants. Mean percentages are shown (same samples as Figure 5a). </w:t>
      </w:r>
    </w:p>
    <w:p w14:paraId="1405292A" w14:textId="77777777" w:rsidR="00590F3F" w:rsidRPr="00093E7A" w:rsidRDefault="00590F3F" w:rsidP="00590F3F">
      <w:pPr>
        <w:pStyle w:val="ListParagraph"/>
        <w:numPr>
          <w:ilvl w:val="0"/>
          <w:numId w:val="6"/>
        </w:numPr>
        <w:spacing w:line="360" w:lineRule="auto"/>
        <w:jc w:val="both"/>
        <w:rPr>
          <w:rFonts w:ascii="Arial" w:hAnsi="Arial" w:cs="Arial"/>
          <w:color w:val="000000" w:themeColor="text1"/>
        </w:rPr>
      </w:pPr>
      <w:r w:rsidRPr="00093E7A">
        <w:rPr>
          <w:rFonts w:ascii="Arial" w:hAnsi="Arial" w:cs="Arial"/>
        </w:rPr>
        <w:lastRenderedPageBreak/>
        <w:t>Median SHM frequency among tissue specific S1</w:t>
      </w:r>
      <w:r w:rsidRPr="00093E7A">
        <w:rPr>
          <w:rFonts w:ascii="Arial" w:hAnsi="Arial" w:cs="Arial"/>
          <w:vertAlign w:val="superscript"/>
        </w:rPr>
        <w:t>+</w:t>
      </w:r>
      <w:r w:rsidRPr="00093E7A">
        <w:rPr>
          <w:rFonts w:ascii="Arial" w:hAnsi="Arial" w:cs="Arial"/>
        </w:rPr>
        <w:t>IgG</w:t>
      </w:r>
      <w:r w:rsidRPr="00093E7A">
        <w:rPr>
          <w:rFonts w:ascii="Arial" w:hAnsi="Arial" w:cs="Arial"/>
          <w:vertAlign w:val="superscript"/>
        </w:rPr>
        <w:t xml:space="preserve">+ </w:t>
      </w:r>
      <w:r w:rsidRPr="00093E7A">
        <w:rPr>
          <w:rFonts w:ascii="Arial" w:hAnsi="Arial" w:cs="Arial"/>
        </w:rPr>
        <w:t>B</w:t>
      </w:r>
      <w:r w:rsidRPr="00093E7A">
        <w:rPr>
          <w:rFonts w:ascii="Arial" w:hAnsi="Arial" w:cs="Arial"/>
          <w:vertAlign w:val="subscript"/>
        </w:rPr>
        <w:t>SM</w:t>
      </w:r>
      <w:r w:rsidRPr="00093E7A">
        <w:rPr>
          <w:rFonts w:ascii="Arial" w:hAnsi="Arial" w:cs="Arial"/>
        </w:rPr>
        <w:t xml:space="preserve"> or S1</w:t>
      </w:r>
      <w:r w:rsidRPr="00093E7A">
        <w:rPr>
          <w:rFonts w:ascii="Arial" w:hAnsi="Arial" w:cs="Arial"/>
          <w:vertAlign w:val="superscript"/>
        </w:rPr>
        <w:t>+</w:t>
      </w:r>
      <w:r w:rsidRPr="00093E7A">
        <w:rPr>
          <w:rFonts w:ascii="Arial" w:hAnsi="Arial" w:cs="Arial"/>
        </w:rPr>
        <w:t>IgG</w:t>
      </w:r>
      <w:r w:rsidRPr="00093E7A">
        <w:rPr>
          <w:rFonts w:ascii="Arial" w:hAnsi="Arial" w:cs="Arial"/>
          <w:vertAlign w:val="superscript"/>
        </w:rPr>
        <w:t xml:space="preserve">+ </w:t>
      </w:r>
      <w:r w:rsidRPr="00093E7A">
        <w:rPr>
          <w:rFonts w:ascii="Arial" w:hAnsi="Arial" w:cs="Arial"/>
        </w:rPr>
        <w:t xml:space="preserve">GCB populations of VAC versus INF participants (adenoid and tonsil are both shown). Only </w:t>
      </w:r>
      <w:r w:rsidRPr="00093E7A">
        <w:rPr>
          <w:rFonts w:ascii="Arial" w:hAnsi="Arial" w:cs="Arial"/>
          <w:color w:val="000000" w:themeColor="text1"/>
        </w:rPr>
        <w:t>samples with at least 10 cells in analyzed population are included (B</w:t>
      </w:r>
      <w:r w:rsidRPr="00093E7A">
        <w:rPr>
          <w:rFonts w:ascii="Arial" w:hAnsi="Arial" w:cs="Arial"/>
          <w:color w:val="000000" w:themeColor="text1"/>
          <w:vertAlign w:val="subscript"/>
        </w:rPr>
        <w:t>SM</w:t>
      </w:r>
      <w:r w:rsidRPr="00093E7A">
        <w:rPr>
          <w:rFonts w:ascii="Arial" w:hAnsi="Arial" w:cs="Arial"/>
          <w:color w:val="000000" w:themeColor="text1"/>
        </w:rPr>
        <w:t>: S1</w:t>
      </w:r>
      <w:r w:rsidRPr="00093E7A">
        <w:rPr>
          <w:rFonts w:ascii="Arial" w:hAnsi="Arial" w:cs="Arial"/>
          <w:color w:val="000000" w:themeColor="text1"/>
          <w:vertAlign w:val="superscript"/>
        </w:rPr>
        <w:t>+</w:t>
      </w:r>
      <w:r w:rsidRPr="00093E7A">
        <w:rPr>
          <w:rFonts w:ascii="Arial" w:hAnsi="Arial" w:cs="Arial"/>
          <w:color w:val="000000" w:themeColor="text1"/>
        </w:rPr>
        <w:t xml:space="preserve"> INF N = 12, VAC N = 5; S</w:t>
      </w:r>
      <w:r w:rsidRPr="00093E7A">
        <w:rPr>
          <w:rFonts w:ascii="Arial" w:hAnsi="Arial" w:cs="Arial"/>
          <w:color w:val="000000" w:themeColor="text1"/>
          <w:vertAlign w:val="superscript"/>
        </w:rPr>
        <w:t>-</w:t>
      </w:r>
      <w:r w:rsidRPr="00093E7A">
        <w:rPr>
          <w:rFonts w:ascii="Arial" w:hAnsi="Arial" w:cs="Arial"/>
          <w:color w:val="000000" w:themeColor="text1"/>
        </w:rPr>
        <w:t xml:space="preserve"> INF N = 12, VAC N = 5; GC: S1</w:t>
      </w:r>
      <w:r w:rsidRPr="00093E7A">
        <w:rPr>
          <w:rFonts w:ascii="Arial" w:hAnsi="Arial" w:cs="Arial"/>
          <w:color w:val="000000" w:themeColor="text1"/>
          <w:vertAlign w:val="superscript"/>
        </w:rPr>
        <w:t>+</w:t>
      </w:r>
      <w:r w:rsidRPr="00093E7A">
        <w:rPr>
          <w:rFonts w:ascii="Arial" w:hAnsi="Arial" w:cs="Arial"/>
          <w:color w:val="000000" w:themeColor="text1"/>
        </w:rPr>
        <w:t xml:space="preserve"> INF N = 8, VAC = 3, S1</w:t>
      </w:r>
      <w:r w:rsidRPr="00093E7A">
        <w:rPr>
          <w:rFonts w:ascii="Arial" w:hAnsi="Arial" w:cs="Arial"/>
          <w:color w:val="000000" w:themeColor="text1"/>
          <w:vertAlign w:val="superscript"/>
        </w:rPr>
        <w:t xml:space="preserve">- </w:t>
      </w:r>
      <w:r w:rsidRPr="00093E7A">
        <w:rPr>
          <w:rFonts w:ascii="Arial" w:hAnsi="Arial" w:cs="Arial"/>
          <w:color w:val="000000" w:themeColor="text1"/>
        </w:rPr>
        <w:t>INF N = 12, VAC N = 5).</w:t>
      </w:r>
    </w:p>
    <w:p w14:paraId="2508F173" w14:textId="77777777" w:rsidR="00590F3F" w:rsidRPr="00093E7A" w:rsidRDefault="00590F3F" w:rsidP="00590F3F">
      <w:pPr>
        <w:pStyle w:val="ListParagraph"/>
        <w:numPr>
          <w:ilvl w:val="0"/>
          <w:numId w:val="6"/>
        </w:numPr>
        <w:spacing w:line="360" w:lineRule="auto"/>
        <w:jc w:val="both"/>
        <w:rPr>
          <w:rFonts w:ascii="Arial" w:hAnsi="Arial" w:cs="Arial"/>
        </w:rPr>
      </w:pPr>
      <w:r w:rsidRPr="00093E7A">
        <w:rPr>
          <w:rFonts w:ascii="Arial" w:hAnsi="Arial" w:cs="Arial"/>
        </w:rPr>
        <w:t>CDR3 amino acid lengths of S1</w:t>
      </w:r>
      <w:r w:rsidRPr="00093E7A">
        <w:rPr>
          <w:rFonts w:ascii="Arial" w:hAnsi="Arial" w:cs="Arial"/>
          <w:vertAlign w:val="superscript"/>
        </w:rPr>
        <w:t>+</w:t>
      </w:r>
      <w:r w:rsidRPr="00093E7A">
        <w:rPr>
          <w:rFonts w:ascii="Arial" w:hAnsi="Arial" w:cs="Arial"/>
        </w:rPr>
        <w:t xml:space="preserve"> cells of VAC and INF adenoids and tonsils (same samples as Figure 5a). </w:t>
      </w:r>
    </w:p>
    <w:p w14:paraId="63237D4D" w14:textId="77777777" w:rsidR="00590F3F" w:rsidRPr="00093E7A" w:rsidRDefault="00590F3F" w:rsidP="00590F3F">
      <w:pPr>
        <w:pStyle w:val="ListParagraph"/>
        <w:numPr>
          <w:ilvl w:val="0"/>
          <w:numId w:val="6"/>
        </w:numPr>
        <w:spacing w:line="360" w:lineRule="auto"/>
        <w:jc w:val="both"/>
        <w:rPr>
          <w:rFonts w:ascii="Arial" w:hAnsi="Arial" w:cs="Arial"/>
        </w:rPr>
      </w:pPr>
      <w:r w:rsidRPr="00093E7A">
        <w:rPr>
          <w:rFonts w:ascii="Arial" w:hAnsi="Arial" w:cs="Arial"/>
        </w:rPr>
        <w:t>Mean CDR3 amino acid lengths of S1</w:t>
      </w:r>
      <w:r w:rsidRPr="00093E7A">
        <w:rPr>
          <w:rFonts w:ascii="Arial" w:hAnsi="Arial" w:cs="Arial"/>
          <w:vertAlign w:val="superscript"/>
        </w:rPr>
        <w:t>+</w:t>
      </w:r>
      <w:r w:rsidRPr="00093E7A">
        <w:rPr>
          <w:rFonts w:ascii="Arial" w:hAnsi="Arial" w:cs="Arial"/>
        </w:rPr>
        <w:t xml:space="preserve"> cells from B cell subsets of VAC versus INF adenoids and tonsils.</w:t>
      </w:r>
      <w:r w:rsidRPr="00093E7A">
        <w:rPr>
          <w:rFonts w:ascii="Arial" w:hAnsi="Arial" w:cs="Arial"/>
          <w:i/>
          <w:iCs/>
        </w:rPr>
        <w:t xml:space="preserve"> P</w:t>
      </w:r>
      <w:r w:rsidRPr="00093E7A">
        <w:rPr>
          <w:rFonts w:ascii="Arial" w:hAnsi="Arial" w:cs="Arial"/>
        </w:rPr>
        <w:t xml:space="preserve"> values were calculated with two-sided Mann-Whitney U test in panels b and d.</w:t>
      </w:r>
    </w:p>
    <w:p w14:paraId="638AD979" w14:textId="77777777" w:rsidR="00590F3F" w:rsidRPr="00093E7A" w:rsidRDefault="00590F3F" w:rsidP="00590F3F">
      <w:pPr>
        <w:tabs>
          <w:tab w:val="left" w:pos="720"/>
        </w:tabs>
        <w:spacing w:line="360" w:lineRule="auto"/>
        <w:ind w:left="450" w:hanging="450"/>
        <w:jc w:val="both"/>
        <w:rPr>
          <w:rFonts w:ascii="Arial" w:hAnsi="Arial" w:cs="Arial"/>
          <w:color w:val="000000" w:themeColor="text1"/>
        </w:rPr>
      </w:pPr>
      <w:r w:rsidRPr="00093E7A">
        <w:rPr>
          <w:rFonts w:ascii="Arial" w:hAnsi="Arial" w:cs="Arial"/>
        </w:rPr>
        <w:t xml:space="preserve">(e-f) </w:t>
      </w:r>
      <w:r w:rsidRPr="00093E7A">
        <w:rPr>
          <w:rFonts w:ascii="Arial" w:hAnsi="Arial" w:cs="Arial"/>
          <w:color w:val="000000" w:themeColor="text1"/>
        </w:rPr>
        <w:t>Degree of clonal overlap measured with pairwise transition index (pTrans) between clones in S1</w:t>
      </w:r>
      <w:r w:rsidRPr="00093E7A">
        <w:rPr>
          <w:rFonts w:ascii="Arial" w:hAnsi="Arial" w:cs="Arial"/>
          <w:color w:val="000000" w:themeColor="text1"/>
          <w:vertAlign w:val="superscript"/>
        </w:rPr>
        <w:t>-</w:t>
      </w:r>
      <w:r w:rsidRPr="00093E7A">
        <w:rPr>
          <w:rFonts w:ascii="Arial" w:hAnsi="Arial" w:cs="Arial"/>
          <w:color w:val="000000" w:themeColor="text1"/>
        </w:rPr>
        <w:t xml:space="preserve"> P2 B</w:t>
      </w:r>
      <w:r w:rsidRPr="00093E7A">
        <w:rPr>
          <w:rFonts w:ascii="Arial" w:hAnsi="Arial" w:cs="Arial"/>
          <w:color w:val="000000" w:themeColor="text1"/>
          <w:vertAlign w:val="subscript"/>
        </w:rPr>
        <w:t>SM</w:t>
      </w:r>
      <w:r w:rsidRPr="00093E7A">
        <w:rPr>
          <w:rFonts w:ascii="Arial" w:hAnsi="Arial" w:cs="Arial"/>
          <w:color w:val="000000" w:themeColor="text1"/>
        </w:rPr>
        <w:t xml:space="preserve"> and clones in other S1</w:t>
      </w:r>
      <w:r w:rsidRPr="00093E7A">
        <w:rPr>
          <w:rFonts w:ascii="Arial" w:hAnsi="Arial" w:cs="Arial"/>
          <w:color w:val="000000" w:themeColor="text1"/>
          <w:vertAlign w:val="superscript"/>
        </w:rPr>
        <w:t>-</w:t>
      </w:r>
      <w:r w:rsidRPr="00093E7A">
        <w:rPr>
          <w:rFonts w:ascii="Arial" w:hAnsi="Arial" w:cs="Arial"/>
          <w:color w:val="000000" w:themeColor="text1"/>
        </w:rPr>
        <w:t xml:space="preserve"> B cell subsets (e) and S1</w:t>
      </w:r>
      <w:r w:rsidRPr="00093E7A">
        <w:rPr>
          <w:rFonts w:ascii="Arial" w:hAnsi="Arial" w:cs="Arial"/>
          <w:color w:val="000000" w:themeColor="text1"/>
          <w:vertAlign w:val="superscript"/>
        </w:rPr>
        <w:t>-</w:t>
      </w:r>
      <w:r w:rsidRPr="00093E7A">
        <w:rPr>
          <w:rFonts w:ascii="Arial" w:hAnsi="Arial" w:cs="Arial"/>
          <w:color w:val="000000" w:themeColor="text1"/>
        </w:rPr>
        <w:t xml:space="preserve"> P3 B</w:t>
      </w:r>
      <w:r w:rsidRPr="00093E7A">
        <w:rPr>
          <w:rFonts w:ascii="Arial" w:hAnsi="Arial" w:cs="Arial"/>
          <w:color w:val="000000" w:themeColor="text1"/>
          <w:vertAlign w:val="subscript"/>
        </w:rPr>
        <w:t>SM</w:t>
      </w:r>
      <w:r w:rsidRPr="00093E7A">
        <w:rPr>
          <w:rFonts w:ascii="Arial" w:hAnsi="Arial" w:cs="Arial"/>
          <w:color w:val="000000" w:themeColor="text1"/>
        </w:rPr>
        <w:t xml:space="preserve"> and clones in other S1</w:t>
      </w:r>
      <w:r w:rsidRPr="00093E7A">
        <w:rPr>
          <w:rFonts w:ascii="Arial" w:hAnsi="Arial" w:cs="Arial"/>
          <w:color w:val="000000" w:themeColor="text1"/>
          <w:vertAlign w:val="superscript"/>
        </w:rPr>
        <w:t>-</w:t>
      </w:r>
      <w:r w:rsidRPr="00093E7A">
        <w:rPr>
          <w:rFonts w:ascii="Arial" w:hAnsi="Arial" w:cs="Arial"/>
          <w:color w:val="000000" w:themeColor="text1"/>
        </w:rPr>
        <w:t xml:space="preserve"> B cell subsets (f) (tonsils and adenoids of </w:t>
      </w:r>
      <w:r w:rsidRPr="00093E7A">
        <w:rPr>
          <w:rFonts w:ascii="Arial" w:hAnsi="Arial" w:cs="Arial"/>
        </w:rPr>
        <w:t>8 INF and 4 VAC donors</w:t>
      </w:r>
      <w:r w:rsidRPr="00093E7A">
        <w:rPr>
          <w:rFonts w:ascii="Arial" w:hAnsi="Arial" w:cs="Arial"/>
          <w:color w:val="000000" w:themeColor="text1"/>
        </w:rPr>
        <w:t>).</w:t>
      </w:r>
    </w:p>
    <w:p w14:paraId="60C5E360" w14:textId="77777777" w:rsidR="00590F3F" w:rsidRDefault="00590F3F" w:rsidP="00590F3F">
      <w:pPr>
        <w:spacing w:line="360" w:lineRule="auto"/>
        <w:ind w:left="360" w:hanging="360"/>
        <w:jc w:val="both"/>
        <w:rPr>
          <w:rFonts w:ascii="Arial" w:hAnsi="Arial" w:cs="Arial"/>
          <w:color w:val="000000" w:themeColor="text1"/>
        </w:rPr>
      </w:pPr>
      <w:r w:rsidRPr="00093E7A">
        <w:rPr>
          <w:rFonts w:ascii="Arial" w:hAnsi="Arial" w:cs="Arial"/>
          <w:color w:val="000000" w:themeColor="text1"/>
        </w:rPr>
        <w:t>(g) Heatmap of clonal overlap between adenoid and tonsil from donors with both tissues included (N = 5). Off-diagonal elements are colored by the Jaccard index of clonal overlap between the two tissues and are labeled by the raw number of overlapping clones. Diagonal elements are labeled by the total number of clones within a particular subset.</w:t>
      </w:r>
    </w:p>
    <w:p w14:paraId="22B0D3B6" w14:textId="77777777" w:rsidR="00590F3F" w:rsidRPr="005D001B" w:rsidRDefault="00590F3F" w:rsidP="00590F3F">
      <w:pPr>
        <w:spacing w:line="360" w:lineRule="auto"/>
        <w:jc w:val="both"/>
        <w:rPr>
          <w:rFonts w:ascii="Arial" w:hAnsi="Arial" w:cs="Arial"/>
          <w:color w:val="000000" w:themeColor="text1"/>
        </w:rPr>
      </w:pPr>
      <w:r w:rsidRPr="00093E7A">
        <w:rPr>
          <w:rFonts w:ascii="Arial" w:hAnsi="Arial" w:cs="Arial"/>
          <w:i/>
          <w:iCs/>
        </w:rPr>
        <w:t>P</w:t>
      </w:r>
      <w:r w:rsidRPr="00093E7A">
        <w:rPr>
          <w:rFonts w:ascii="Arial" w:hAnsi="Arial" w:cs="Arial"/>
        </w:rPr>
        <w:t xml:space="preserve"> values were calculated with two-sided Wilcoxon signed ranks test (paired) in b and </w:t>
      </w:r>
      <w:r>
        <w:rPr>
          <w:rFonts w:ascii="Arial" w:hAnsi="Arial" w:cs="Arial"/>
        </w:rPr>
        <w:t>d</w:t>
      </w:r>
      <w:r w:rsidRPr="00093E7A">
        <w:rPr>
          <w:rFonts w:ascii="Arial" w:hAnsi="Arial" w:cs="Arial"/>
        </w:rPr>
        <w:t>.</w:t>
      </w:r>
      <w:r>
        <w:rPr>
          <w:rFonts w:ascii="Arial" w:hAnsi="Arial" w:cs="Arial"/>
        </w:rPr>
        <w:t xml:space="preserve"> </w:t>
      </w:r>
      <w:r w:rsidRPr="005D001B">
        <w:rPr>
          <w:rFonts w:ascii="Arial" w:hAnsi="Arial" w:cs="Arial"/>
        </w:rPr>
        <w:t>Medians ± quartiles are shown in the box plots.</w:t>
      </w:r>
    </w:p>
    <w:p w14:paraId="74B6ADED" w14:textId="77777777" w:rsidR="00590F3F" w:rsidRPr="00093E7A" w:rsidRDefault="00590F3F" w:rsidP="00590F3F">
      <w:pPr>
        <w:spacing w:line="360" w:lineRule="auto"/>
        <w:jc w:val="both"/>
        <w:rPr>
          <w:rFonts w:ascii="Arial" w:hAnsi="Arial" w:cs="Arial"/>
          <w:b/>
          <w:bCs/>
        </w:rPr>
      </w:pPr>
    </w:p>
    <w:p w14:paraId="1F3B61DF" w14:textId="77777777" w:rsidR="00590F3F" w:rsidRPr="00093E7A" w:rsidRDefault="00590F3F" w:rsidP="00590F3F">
      <w:pPr>
        <w:spacing w:line="360" w:lineRule="auto"/>
        <w:jc w:val="both"/>
        <w:rPr>
          <w:rFonts w:ascii="Arial" w:hAnsi="Arial" w:cs="Arial"/>
          <w:b/>
          <w:bCs/>
        </w:rPr>
      </w:pPr>
      <w:r w:rsidRPr="00093E7A">
        <w:rPr>
          <w:rFonts w:ascii="Arial" w:hAnsi="Arial" w:cs="Arial"/>
          <w:noProof/>
        </w:rPr>
        <w:lastRenderedPageBreak/>
        <w:drawing>
          <wp:inline distT="0" distB="0" distL="0" distR="0" wp14:anchorId="41709F9F" wp14:editId="18A86211">
            <wp:extent cx="5422900" cy="3721100"/>
            <wp:effectExtent l="0" t="0" r="0" b="0"/>
            <wp:docPr id="140775288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52889" name="Picture 140775288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22900" cy="3721100"/>
                    </a:xfrm>
                    <a:prstGeom prst="rect">
                      <a:avLst/>
                    </a:prstGeom>
                  </pic:spPr>
                </pic:pic>
              </a:graphicData>
            </a:graphic>
          </wp:inline>
        </w:drawing>
      </w:r>
    </w:p>
    <w:p w14:paraId="44267CC1" w14:textId="77777777" w:rsidR="00590F3F" w:rsidRPr="00093E7A" w:rsidRDefault="00590F3F" w:rsidP="00590F3F">
      <w:pPr>
        <w:spacing w:line="360" w:lineRule="auto"/>
        <w:jc w:val="both"/>
        <w:rPr>
          <w:rFonts w:ascii="Arial" w:hAnsi="Arial" w:cs="Arial"/>
          <w:b/>
          <w:bCs/>
        </w:rPr>
      </w:pPr>
      <w:r w:rsidRPr="00093E7A">
        <w:rPr>
          <w:rFonts w:ascii="Arial" w:hAnsi="Arial" w:cs="Arial"/>
          <w:b/>
          <w:bCs/>
        </w:rPr>
        <w:t>Extended Data Figure 6. Response to BCR stimulation among B</w:t>
      </w:r>
      <w:r w:rsidRPr="00093E7A">
        <w:rPr>
          <w:rFonts w:ascii="Arial" w:hAnsi="Arial" w:cs="Arial"/>
          <w:b/>
          <w:bCs/>
          <w:vertAlign w:val="subscript"/>
        </w:rPr>
        <w:t xml:space="preserve">SM </w:t>
      </w:r>
      <w:r w:rsidRPr="00093E7A">
        <w:rPr>
          <w:rFonts w:ascii="Arial" w:hAnsi="Arial" w:cs="Arial"/>
          <w:b/>
          <w:bCs/>
        </w:rPr>
        <w:t>subsets</w:t>
      </w:r>
    </w:p>
    <w:p w14:paraId="138CE2AA" w14:textId="77777777" w:rsidR="00590F3F" w:rsidRPr="00093E7A" w:rsidRDefault="00590F3F" w:rsidP="00590F3F">
      <w:pPr>
        <w:pStyle w:val="ListParagraph"/>
        <w:numPr>
          <w:ilvl w:val="0"/>
          <w:numId w:val="5"/>
        </w:numPr>
        <w:spacing w:before="240" w:line="360" w:lineRule="auto"/>
        <w:jc w:val="both"/>
        <w:rPr>
          <w:rFonts w:ascii="Arial" w:hAnsi="Arial" w:cs="Arial"/>
        </w:rPr>
      </w:pPr>
      <w:r w:rsidRPr="00093E7A">
        <w:rPr>
          <w:rFonts w:ascii="Arial" w:hAnsi="Arial" w:cs="Arial"/>
        </w:rPr>
        <w:t>Phosphorylation of Syk and PLC</w:t>
      </w:r>
      <w:r w:rsidRPr="00093E7A">
        <w:rPr>
          <w:rFonts w:ascii="Arial" w:hAnsi="Arial" w:cs="Arial"/>
        </w:rPr>
        <w:sym w:font="Symbol" w:char="F067"/>
      </w:r>
      <w:r w:rsidRPr="00093E7A">
        <w:rPr>
          <w:rFonts w:ascii="Arial" w:hAnsi="Arial" w:cs="Arial"/>
        </w:rPr>
        <w:t>2 in bulk (total) B</w:t>
      </w:r>
      <w:r w:rsidRPr="00093E7A">
        <w:rPr>
          <w:rFonts w:ascii="Arial" w:hAnsi="Arial" w:cs="Arial"/>
          <w:vertAlign w:val="subscript"/>
        </w:rPr>
        <w:t>SM</w:t>
      </w:r>
      <w:r w:rsidRPr="00093E7A">
        <w:rPr>
          <w:rFonts w:ascii="Arial" w:hAnsi="Arial" w:cs="Arial"/>
        </w:rPr>
        <w:t xml:space="preserve"> subsets, concatenated by group, with and without 2 minute stimulation with soluble anti-IgG, -IgA, and -IgM. Representative plots are shown (same samples as Figure 7a).</w:t>
      </w:r>
    </w:p>
    <w:p w14:paraId="1EE0527A"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(b-c) Percentage of cells expressing either or both p-Syk and/or p-PLC</w:t>
      </w:r>
      <w:r w:rsidRPr="00093E7A">
        <w:rPr>
          <w:rFonts w:ascii="Arial" w:hAnsi="Arial" w:cs="Arial"/>
        </w:rPr>
        <w:sym w:font="Symbol" w:char="F067"/>
      </w:r>
      <w:r w:rsidRPr="00093E7A">
        <w:rPr>
          <w:rFonts w:ascii="Arial" w:hAnsi="Arial" w:cs="Arial"/>
        </w:rPr>
        <w:t xml:space="preserve">2 among P1 versus P2 </w:t>
      </w:r>
      <w:r>
        <w:rPr>
          <w:rFonts w:ascii="Arial" w:hAnsi="Arial" w:cs="Arial"/>
        </w:rPr>
        <w:t xml:space="preserve">total </w:t>
      </w:r>
      <w:r w:rsidRPr="00093E7A">
        <w:rPr>
          <w:rFonts w:ascii="Arial" w:hAnsi="Arial" w:cs="Arial"/>
        </w:rPr>
        <w:t>B</w:t>
      </w:r>
      <w:r w:rsidRPr="00093E7A">
        <w:rPr>
          <w:rFonts w:ascii="Arial" w:hAnsi="Arial" w:cs="Arial"/>
          <w:vertAlign w:val="subscript"/>
        </w:rPr>
        <w:t>SM</w:t>
      </w:r>
      <w:r w:rsidRPr="00093E7A">
        <w:rPr>
          <w:rFonts w:ascii="Arial" w:hAnsi="Arial" w:cs="Arial"/>
        </w:rPr>
        <w:t xml:space="preserve"> (b) or P1 to P4 subpopulations in </w:t>
      </w:r>
      <w:r>
        <w:rPr>
          <w:rFonts w:ascii="Arial" w:hAnsi="Arial" w:cs="Arial"/>
        </w:rPr>
        <w:t xml:space="preserve">total </w:t>
      </w:r>
      <w:r w:rsidRPr="00093E7A">
        <w:rPr>
          <w:rFonts w:ascii="Arial" w:hAnsi="Arial" w:cs="Arial"/>
        </w:rPr>
        <w:t>GCB (c) after BCR stimulation (percentages of p-Syk and/or p-PLC</w:t>
      </w:r>
      <w:r>
        <w:rPr>
          <w:rFonts w:ascii="Arial" w:hAnsi="Arial" w:cs="Arial"/>
        </w:rPr>
        <w:sym w:font="Symbol" w:char="F067"/>
      </w:r>
      <w:r w:rsidRPr="00093E7A">
        <w:rPr>
          <w:rFonts w:ascii="Arial" w:hAnsi="Arial" w:cs="Arial"/>
        </w:rPr>
        <w:t xml:space="preserve">2 from untreated conditions were subtracted from stimulated conditions) (same samples as Figure 7a). </w:t>
      </w:r>
    </w:p>
    <w:p w14:paraId="1EC8C712" w14:textId="77777777" w:rsidR="00590F3F" w:rsidRPr="00093E7A" w:rsidRDefault="00590F3F" w:rsidP="00590F3F">
      <w:pPr>
        <w:spacing w:after="160" w:line="360" w:lineRule="auto"/>
        <w:ind w:left="360" w:hanging="360"/>
        <w:jc w:val="both"/>
        <w:rPr>
          <w:rFonts w:ascii="Arial" w:hAnsi="Arial" w:cs="Arial"/>
          <w:b/>
          <w:bCs/>
          <w:color w:val="000000" w:themeColor="text1"/>
        </w:rPr>
      </w:pPr>
      <w:r w:rsidRPr="00093E7A">
        <w:rPr>
          <w:rFonts w:ascii="Arial" w:hAnsi="Arial" w:cs="Arial"/>
        </w:rPr>
        <w:t>(d) gMFI of surface IgG on S1</w:t>
      </w:r>
      <w:r w:rsidRPr="00093E7A">
        <w:rPr>
          <w:rFonts w:ascii="Arial" w:hAnsi="Arial" w:cs="Arial"/>
          <w:vertAlign w:val="superscript"/>
        </w:rPr>
        <w:t>+</w:t>
      </w:r>
      <w:r w:rsidRPr="00093E7A">
        <w:rPr>
          <w:rFonts w:ascii="Arial" w:hAnsi="Arial" w:cs="Arial"/>
        </w:rPr>
        <w:t>RBD</w:t>
      </w:r>
      <w:r w:rsidRPr="00093E7A">
        <w:rPr>
          <w:rFonts w:ascii="Arial" w:hAnsi="Arial" w:cs="Arial"/>
          <w:vertAlign w:val="superscript"/>
        </w:rPr>
        <w:t>+</w:t>
      </w:r>
      <w:r w:rsidRPr="00093E7A">
        <w:rPr>
          <w:rFonts w:ascii="Arial" w:hAnsi="Arial" w:cs="Arial"/>
        </w:rPr>
        <w:t xml:space="preserve"> and bulk B</w:t>
      </w:r>
      <w:r w:rsidRPr="00093E7A">
        <w:rPr>
          <w:rFonts w:ascii="Arial" w:hAnsi="Arial" w:cs="Arial"/>
          <w:vertAlign w:val="subscript"/>
        </w:rPr>
        <w:t>SM</w:t>
      </w:r>
      <w:r w:rsidRPr="00093E7A">
        <w:rPr>
          <w:rFonts w:ascii="Arial" w:hAnsi="Arial" w:cs="Arial"/>
        </w:rPr>
        <w:t xml:space="preserve"> of PBMCs, adenoids and tonsils from INF and VAC </w:t>
      </w:r>
      <w:r w:rsidRPr="00093E7A">
        <w:rPr>
          <w:rFonts w:ascii="Arial" w:hAnsi="Arial" w:cs="Arial"/>
          <w:color w:val="000000" w:themeColor="text1"/>
        </w:rPr>
        <w:t>participants. Samples with ≥</w:t>
      </w:r>
      <w:r w:rsidRPr="00093E7A">
        <w:rPr>
          <w:rFonts w:ascii="Arial" w:hAnsi="Arial" w:cs="Arial"/>
          <w:b/>
          <w:bCs/>
          <w:color w:val="000000" w:themeColor="text1"/>
        </w:rPr>
        <w:t xml:space="preserve"> </w:t>
      </w:r>
      <w:r w:rsidRPr="00093E7A">
        <w:rPr>
          <w:rFonts w:ascii="Arial" w:hAnsi="Arial" w:cs="Arial"/>
          <w:color w:val="000000" w:themeColor="text1"/>
        </w:rPr>
        <w:t>10 IgG</w:t>
      </w:r>
      <w:r w:rsidRPr="00093E7A">
        <w:rPr>
          <w:rFonts w:ascii="Arial" w:hAnsi="Arial" w:cs="Arial"/>
          <w:color w:val="000000" w:themeColor="text1"/>
          <w:vertAlign w:val="superscript"/>
        </w:rPr>
        <w:t>+</w:t>
      </w:r>
      <w:r w:rsidRPr="00093E7A">
        <w:rPr>
          <w:rFonts w:ascii="Arial" w:hAnsi="Arial" w:cs="Arial"/>
          <w:color w:val="000000" w:themeColor="text1"/>
        </w:rPr>
        <w:t xml:space="preserve"> S1</w:t>
      </w:r>
      <w:r w:rsidRPr="00093E7A">
        <w:rPr>
          <w:rFonts w:ascii="Arial" w:hAnsi="Arial" w:cs="Arial"/>
          <w:color w:val="000000" w:themeColor="text1"/>
          <w:vertAlign w:val="superscript"/>
        </w:rPr>
        <w:t>+</w:t>
      </w:r>
      <w:r w:rsidRPr="00093E7A">
        <w:rPr>
          <w:rFonts w:ascii="Arial" w:hAnsi="Arial" w:cs="Arial"/>
          <w:color w:val="000000" w:themeColor="text1"/>
        </w:rPr>
        <w:t>RBD</w:t>
      </w:r>
      <w:r w:rsidRPr="00093E7A">
        <w:rPr>
          <w:rFonts w:ascii="Arial" w:hAnsi="Arial" w:cs="Arial"/>
          <w:color w:val="000000" w:themeColor="text1"/>
          <w:vertAlign w:val="superscript"/>
        </w:rPr>
        <w:t>+</w:t>
      </w:r>
      <w:r w:rsidRPr="00093E7A">
        <w:rPr>
          <w:rFonts w:ascii="Arial" w:hAnsi="Arial" w:cs="Arial"/>
          <w:color w:val="000000" w:themeColor="text1"/>
        </w:rPr>
        <w:t xml:space="preserve"> B</w:t>
      </w:r>
      <w:r w:rsidRPr="00093E7A">
        <w:rPr>
          <w:rFonts w:ascii="Arial" w:hAnsi="Arial" w:cs="Arial"/>
          <w:color w:val="000000" w:themeColor="text1"/>
          <w:vertAlign w:val="subscript"/>
        </w:rPr>
        <w:t xml:space="preserve">SM </w:t>
      </w:r>
      <w:r w:rsidRPr="00093E7A">
        <w:rPr>
          <w:rFonts w:ascii="Arial" w:hAnsi="Arial" w:cs="Arial"/>
          <w:color w:val="000000" w:themeColor="text1"/>
        </w:rPr>
        <w:t xml:space="preserve">cells were used in this analysis (PBMC: INF N = 13, VAC N = 9; adenoid: INF N = 14, VAC N = 8; tonsil: INF N = 21, VAC N = 6). </w:t>
      </w:r>
      <w:r w:rsidRPr="00093E7A">
        <w:rPr>
          <w:rFonts w:ascii="Arial" w:hAnsi="Arial" w:cs="Arial"/>
        </w:rPr>
        <w:t>Medians ± quartiles are shown in the box plots.</w:t>
      </w:r>
    </w:p>
    <w:p w14:paraId="1789D296" w14:textId="77777777" w:rsidR="00590F3F" w:rsidRPr="00093E7A" w:rsidRDefault="00590F3F" w:rsidP="00590F3F">
      <w:pPr>
        <w:spacing w:before="240" w:line="360" w:lineRule="auto"/>
        <w:jc w:val="both"/>
        <w:rPr>
          <w:rFonts w:ascii="Arial" w:hAnsi="Arial" w:cs="Arial"/>
        </w:rPr>
      </w:pPr>
      <w:r w:rsidRPr="00093E7A">
        <w:rPr>
          <w:rFonts w:ascii="Arial" w:hAnsi="Arial" w:cs="Arial"/>
          <w:i/>
          <w:iCs/>
        </w:rPr>
        <w:t>P</w:t>
      </w:r>
      <w:r w:rsidRPr="00093E7A">
        <w:rPr>
          <w:rFonts w:ascii="Arial" w:hAnsi="Arial" w:cs="Arial"/>
        </w:rPr>
        <w:t xml:space="preserve"> values were calculated with two-sided Wilcoxon signed ranks test (paired) in b and c.</w:t>
      </w:r>
      <w:r w:rsidRPr="00093E7A">
        <w:rPr>
          <w:rFonts w:ascii="Arial" w:hAnsi="Arial" w:cs="Arial"/>
          <w:i/>
          <w:iCs/>
        </w:rPr>
        <w:t xml:space="preserve"> </w:t>
      </w:r>
      <w:r w:rsidRPr="00093E7A">
        <w:rPr>
          <w:rFonts w:ascii="Arial" w:hAnsi="Arial" w:cs="Arial"/>
        </w:rPr>
        <w:t>In</w:t>
      </w:r>
      <w:r w:rsidRPr="00093E7A">
        <w:rPr>
          <w:rFonts w:ascii="Arial" w:hAnsi="Arial" w:cs="Arial"/>
          <w:i/>
          <w:iCs/>
        </w:rPr>
        <w:t xml:space="preserve"> </w:t>
      </w:r>
      <w:r w:rsidRPr="00093E7A">
        <w:rPr>
          <w:rFonts w:ascii="Arial" w:hAnsi="Arial" w:cs="Arial"/>
        </w:rPr>
        <w:t xml:space="preserve">panel d, p values obtained from linear model correcting for participant ages (in blue) </w:t>
      </w:r>
      <w:r w:rsidRPr="00093E7A">
        <w:rPr>
          <w:rFonts w:ascii="Arial" w:hAnsi="Arial" w:cs="Arial"/>
        </w:rPr>
        <w:lastRenderedPageBreak/>
        <w:t>and from two-sided Mann-Whitney U test</w:t>
      </w:r>
      <w:r w:rsidRPr="00093E7A" w:rsidDel="00160943">
        <w:rPr>
          <w:rFonts w:ascii="Arial" w:hAnsi="Arial" w:cs="Arial"/>
        </w:rPr>
        <w:t xml:space="preserve"> </w:t>
      </w:r>
      <w:r w:rsidRPr="00093E7A">
        <w:rPr>
          <w:rFonts w:ascii="Arial" w:hAnsi="Arial" w:cs="Arial"/>
        </w:rPr>
        <w:t xml:space="preserve">(in black) are shown. </w:t>
      </w:r>
      <w:r w:rsidRPr="00093E7A">
        <w:rPr>
          <w:rFonts w:ascii="Arial" w:hAnsi="Arial" w:cs="Arial"/>
          <w:i/>
          <w:iCs/>
        </w:rPr>
        <w:t>P</w:t>
      </w:r>
      <w:r w:rsidRPr="00093E7A">
        <w:rPr>
          <w:rFonts w:ascii="Arial" w:hAnsi="Arial" w:cs="Arial"/>
        </w:rPr>
        <w:t xml:space="preserve"> &lt; 0.05 were considered significant.</w:t>
      </w:r>
    </w:p>
    <w:p w14:paraId="1D607E30" w14:textId="77777777" w:rsidR="00590F3F" w:rsidRPr="00093E7A" w:rsidRDefault="00590F3F" w:rsidP="00590F3F">
      <w:pPr>
        <w:rPr>
          <w:rFonts w:ascii="Arial" w:hAnsi="Arial" w:cs="Arial"/>
        </w:rPr>
      </w:pPr>
      <w:r w:rsidRPr="00093E7A">
        <w:rPr>
          <w:rFonts w:ascii="Arial" w:hAnsi="Arial" w:cs="Arial"/>
        </w:rPr>
        <w:br w:type="page"/>
      </w:r>
    </w:p>
    <w:p w14:paraId="19D5CC09" w14:textId="77777777" w:rsidR="00590F3F" w:rsidRPr="00093E7A" w:rsidRDefault="00590F3F" w:rsidP="00590F3F">
      <w:pPr>
        <w:spacing w:line="360" w:lineRule="auto"/>
        <w:jc w:val="both"/>
        <w:rPr>
          <w:rFonts w:ascii="Arial" w:hAnsi="Arial" w:cs="Arial"/>
          <w:b/>
          <w:bCs/>
        </w:rPr>
      </w:pPr>
      <w:r w:rsidRPr="00093E7A">
        <w:rPr>
          <w:rFonts w:ascii="Arial" w:hAnsi="Arial" w:cs="Arial"/>
          <w:noProof/>
        </w:rPr>
        <w:lastRenderedPageBreak/>
        <w:drawing>
          <wp:inline distT="0" distB="0" distL="0" distR="0" wp14:anchorId="0EC6EEB6" wp14:editId="00C06901">
            <wp:extent cx="5943600" cy="7254875"/>
            <wp:effectExtent l="0" t="0" r="0" b="0"/>
            <wp:docPr id="117955971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559710" name="Picture 11795597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254875"/>
                    </a:xfrm>
                    <a:prstGeom prst="rect">
                      <a:avLst/>
                    </a:prstGeom>
                  </pic:spPr>
                </pic:pic>
              </a:graphicData>
            </a:graphic>
          </wp:inline>
        </w:drawing>
      </w:r>
    </w:p>
    <w:p w14:paraId="3A012B85" w14:textId="77777777" w:rsidR="00590F3F" w:rsidRPr="00093E7A" w:rsidRDefault="00590F3F" w:rsidP="00590F3F">
      <w:pPr>
        <w:spacing w:line="360" w:lineRule="auto"/>
        <w:jc w:val="both"/>
        <w:rPr>
          <w:rFonts w:ascii="Arial" w:hAnsi="Arial" w:cs="Arial"/>
          <w:b/>
          <w:bCs/>
        </w:rPr>
      </w:pPr>
      <w:r w:rsidRPr="00093E7A">
        <w:rPr>
          <w:rFonts w:ascii="Arial" w:hAnsi="Arial" w:cs="Arial"/>
          <w:b/>
          <w:bCs/>
        </w:rPr>
        <w:t>Extended Data Figure 7. Spatial analyses of CXCR3</w:t>
      </w:r>
      <w:r w:rsidRPr="00093E7A">
        <w:rPr>
          <w:rFonts w:ascii="Arial" w:hAnsi="Arial" w:cs="Arial"/>
          <w:b/>
          <w:bCs/>
          <w:vertAlign w:val="superscript"/>
        </w:rPr>
        <w:t>+</w:t>
      </w:r>
      <w:r w:rsidRPr="00093E7A">
        <w:rPr>
          <w:rFonts w:ascii="Arial" w:hAnsi="Arial" w:cs="Arial"/>
          <w:b/>
          <w:bCs/>
        </w:rPr>
        <w:t xml:space="preserve"> B</w:t>
      </w:r>
      <w:r w:rsidRPr="00093E7A">
        <w:rPr>
          <w:rFonts w:ascii="Arial" w:hAnsi="Arial" w:cs="Arial"/>
          <w:b/>
          <w:bCs/>
          <w:vertAlign w:val="subscript"/>
        </w:rPr>
        <w:t>SM</w:t>
      </w:r>
      <w:r w:rsidRPr="00093E7A">
        <w:rPr>
          <w:rFonts w:ascii="Arial" w:hAnsi="Arial" w:cs="Arial"/>
          <w:b/>
          <w:bCs/>
        </w:rPr>
        <w:t xml:space="preserve"> in mucosal pharyngeal tissues </w:t>
      </w:r>
    </w:p>
    <w:p w14:paraId="59EF5446" w14:textId="77777777" w:rsidR="00590F3F" w:rsidRPr="00093E7A" w:rsidRDefault="00590F3F" w:rsidP="00590F3F">
      <w:pPr>
        <w:pStyle w:val="ListParagraph"/>
        <w:numPr>
          <w:ilvl w:val="0"/>
          <w:numId w:val="4"/>
        </w:numPr>
        <w:spacing w:before="240" w:after="160" w:line="360" w:lineRule="auto"/>
        <w:ind w:left="360"/>
        <w:jc w:val="both"/>
        <w:rPr>
          <w:rFonts w:ascii="Arial" w:hAnsi="Arial" w:cs="Arial"/>
        </w:rPr>
      </w:pPr>
      <w:r w:rsidRPr="00093E7A">
        <w:rPr>
          <w:rFonts w:ascii="Arial" w:hAnsi="Arial" w:cs="Arial"/>
        </w:rPr>
        <w:lastRenderedPageBreak/>
        <w:t>Percentages of CXCR3</w:t>
      </w:r>
      <w:r w:rsidRPr="00093E7A">
        <w:rPr>
          <w:rFonts w:ascii="Arial" w:hAnsi="Arial" w:cs="Arial"/>
          <w:vertAlign w:val="superscript"/>
        </w:rPr>
        <w:t>+</w:t>
      </w:r>
      <w:r w:rsidRPr="00093E7A">
        <w:rPr>
          <w:rFonts w:ascii="Arial" w:hAnsi="Arial" w:cs="Arial"/>
        </w:rPr>
        <w:t>CCR6</w:t>
      </w:r>
      <w:r w:rsidRPr="00093E7A">
        <w:rPr>
          <w:rFonts w:ascii="Arial" w:hAnsi="Arial" w:cs="Arial"/>
          <w:vertAlign w:val="superscript"/>
        </w:rPr>
        <w:t>-</w:t>
      </w:r>
      <w:r w:rsidRPr="00093E7A">
        <w:rPr>
          <w:rFonts w:ascii="Arial" w:hAnsi="Arial" w:cs="Arial"/>
        </w:rPr>
        <w:t>CD57</w:t>
      </w:r>
      <w:r w:rsidRPr="00093E7A">
        <w:rPr>
          <w:rFonts w:ascii="Arial" w:hAnsi="Arial" w:cs="Arial"/>
          <w:vertAlign w:val="superscript"/>
        </w:rPr>
        <w:t>+</w:t>
      </w:r>
      <w:r w:rsidRPr="00093E7A">
        <w:rPr>
          <w:rFonts w:ascii="Arial" w:hAnsi="Arial" w:cs="Arial"/>
        </w:rPr>
        <w:t>PD1</w:t>
      </w:r>
      <w:r w:rsidRPr="00093E7A">
        <w:rPr>
          <w:rFonts w:ascii="Arial" w:hAnsi="Arial" w:cs="Arial"/>
          <w:vertAlign w:val="superscript"/>
        </w:rPr>
        <w:t>hi</w:t>
      </w:r>
      <w:r w:rsidRPr="00093E7A">
        <w:rPr>
          <w:rFonts w:ascii="Arial" w:hAnsi="Arial" w:cs="Arial"/>
        </w:rPr>
        <w:t xml:space="preserve"> and CXCR3</w:t>
      </w:r>
      <w:r w:rsidRPr="00093E7A">
        <w:rPr>
          <w:rFonts w:ascii="Arial" w:hAnsi="Arial" w:cs="Arial"/>
          <w:vertAlign w:val="superscript"/>
        </w:rPr>
        <w:t>+</w:t>
      </w:r>
      <w:r w:rsidRPr="00093E7A">
        <w:rPr>
          <w:rFonts w:ascii="Arial" w:hAnsi="Arial" w:cs="Arial"/>
        </w:rPr>
        <w:t>CCR6</w:t>
      </w:r>
      <w:r w:rsidRPr="00093E7A">
        <w:rPr>
          <w:rFonts w:ascii="Arial" w:hAnsi="Arial" w:cs="Arial"/>
          <w:vertAlign w:val="superscript"/>
        </w:rPr>
        <w:t>-</w:t>
      </w:r>
      <w:r w:rsidRPr="00093E7A">
        <w:rPr>
          <w:rFonts w:ascii="Arial" w:hAnsi="Arial" w:cs="Arial"/>
        </w:rPr>
        <w:t>pre-Tfh among CD4</w:t>
      </w:r>
      <w:r w:rsidRPr="00093E7A">
        <w:rPr>
          <w:rFonts w:ascii="Arial" w:hAnsi="Arial" w:cs="Arial"/>
          <w:vertAlign w:val="superscript"/>
        </w:rPr>
        <w:t>+</w:t>
      </w:r>
      <w:r w:rsidRPr="00093E7A">
        <w:rPr>
          <w:rFonts w:ascii="Arial" w:hAnsi="Arial" w:cs="Arial"/>
        </w:rPr>
        <w:t xml:space="preserve"> T cells in CON, INF and VAC tonsils (CON N = 12, INF N = 22, VAC N = 6. Samples are listed in Supplemental Table 2). Comparisons of VAC versus CON were not statistically significant and are not shown.</w:t>
      </w:r>
    </w:p>
    <w:p w14:paraId="4D80DBCB" w14:textId="77777777" w:rsidR="00590F3F" w:rsidRPr="00093E7A" w:rsidRDefault="00590F3F" w:rsidP="00590F3F">
      <w:pPr>
        <w:pStyle w:val="ListParagraph"/>
        <w:numPr>
          <w:ilvl w:val="0"/>
          <w:numId w:val="4"/>
        </w:numPr>
        <w:spacing w:line="360" w:lineRule="auto"/>
        <w:ind w:left="360"/>
        <w:jc w:val="both"/>
        <w:rPr>
          <w:rFonts w:ascii="Arial" w:hAnsi="Arial" w:cs="Arial"/>
        </w:rPr>
      </w:pPr>
      <w:r w:rsidRPr="00093E7A">
        <w:rPr>
          <w:rFonts w:ascii="Arial" w:hAnsi="Arial" w:cs="Arial"/>
        </w:rPr>
        <w:t>Percentages of CD14</w:t>
      </w:r>
      <w:r w:rsidRPr="00093E7A">
        <w:rPr>
          <w:rFonts w:ascii="Cambria Math" w:hAnsi="Cambria Math" w:cs="Cambria Math"/>
        </w:rPr>
        <w:t>⁺</w:t>
      </w:r>
      <w:r w:rsidRPr="00093E7A">
        <w:rPr>
          <w:rFonts w:ascii="Arial" w:hAnsi="Arial" w:cs="Arial"/>
        </w:rPr>
        <w:t xml:space="preserve"> monocytes/macrophages, cDC and pDC among CD45</w:t>
      </w:r>
      <w:r w:rsidRPr="00093E7A">
        <w:rPr>
          <w:rFonts w:ascii="Arial" w:hAnsi="Arial" w:cs="Arial"/>
          <w:vertAlign w:val="superscript"/>
        </w:rPr>
        <w:t xml:space="preserve">+ </w:t>
      </w:r>
      <w:r w:rsidRPr="00093E7A">
        <w:rPr>
          <w:rFonts w:ascii="Arial" w:hAnsi="Arial" w:cs="Arial"/>
        </w:rPr>
        <w:t>cells in CON, INF and VAC PBMCs</w:t>
      </w:r>
      <w:r>
        <w:rPr>
          <w:rFonts w:ascii="Arial" w:hAnsi="Arial" w:cs="Arial"/>
        </w:rPr>
        <w:t>, adenoids</w:t>
      </w:r>
      <w:r w:rsidRPr="00093E7A">
        <w:rPr>
          <w:rFonts w:ascii="Arial" w:hAnsi="Arial" w:cs="Arial"/>
        </w:rPr>
        <w:t xml:space="preserve"> and tonsils (PBMC CON N = 11, INF N = 12, VAC N = 10; adenoid CON N = 10, INF N = 14, VAC N = 9; tonsil CON N = 12, INF N = 22, VAC N = 6).</w:t>
      </w:r>
    </w:p>
    <w:p w14:paraId="637CD6D5" w14:textId="77777777" w:rsidR="00590F3F" w:rsidRPr="00093E7A" w:rsidRDefault="00590F3F" w:rsidP="00590F3F">
      <w:pPr>
        <w:pStyle w:val="ListParagraph"/>
        <w:numPr>
          <w:ilvl w:val="0"/>
          <w:numId w:val="4"/>
        </w:numPr>
        <w:spacing w:after="160" w:line="360" w:lineRule="auto"/>
        <w:ind w:left="360"/>
        <w:jc w:val="both"/>
        <w:rPr>
          <w:rFonts w:ascii="Arial" w:hAnsi="Arial" w:cs="Arial"/>
        </w:rPr>
      </w:pPr>
      <w:r w:rsidRPr="00093E7A">
        <w:rPr>
          <w:rFonts w:ascii="Arial" w:hAnsi="Arial" w:cs="Arial"/>
        </w:rPr>
        <w:t>gMFI of HLA-DR expression on CD14</w:t>
      </w:r>
      <w:r w:rsidRPr="00093E7A">
        <w:rPr>
          <w:rFonts w:ascii="Cambria Math" w:hAnsi="Cambria Math" w:cs="Cambria Math"/>
        </w:rPr>
        <w:t>⁺</w:t>
      </w:r>
      <w:r w:rsidRPr="00093E7A">
        <w:rPr>
          <w:rFonts w:ascii="Arial" w:hAnsi="Arial" w:cs="Arial"/>
        </w:rPr>
        <w:t xml:space="preserve"> monocytes/macrophages, cDCs, and pDCs among CON, INF, and VAC PBMCs and tonsils (same samples as in c). </w:t>
      </w:r>
    </w:p>
    <w:p w14:paraId="474A8C49" w14:textId="77777777" w:rsidR="00590F3F" w:rsidRPr="00093E7A" w:rsidRDefault="00590F3F" w:rsidP="00590F3F">
      <w:pPr>
        <w:pStyle w:val="ListParagraph"/>
        <w:numPr>
          <w:ilvl w:val="0"/>
          <w:numId w:val="4"/>
        </w:numPr>
        <w:spacing w:line="360" w:lineRule="auto"/>
        <w:ind w:left="360"/>
        <w:jc w:val="both"/>
        <w:rPr>
          <w:rFonts w:ascii="Arial" w:hAnsi="Arial" w:cs="Arial"/>
        </w:rPr>
      </w:pPr>
      <w:r w:rsidRPr="00093E7A">
        <w:rPr>
          <w:rFonts w:ascii="Arial" w:hAnsi="Arial" w:cs="Arial"/>
        </w:rPr>
        <w:t>Correlation between the percentages of CXCR3</w:t>
      </w:r>
      <w:r w:rsidRPr="00093E7A">
        <w:rPr>
          <w:rFonts w:ascii="Cambria Math" w:hAnsi="Cambria Math" w:cs="Cambria Math"/>
        </w:rPr>
        <w:t>⁺</w:t>
      </w:r>
      <w:r w:rsidRPr="00093E7A">
        <w:rPr>
          <w:rFonts w:ascii="Arial" w:hAnsi="Arial" w:cs="Arial"/>
        </w:rPr>
        <w:t xml:space="preserve"> B</w:t>
      </w:r>
      <w:r w:rsidRPr="00093E7A">
        <w:rPr>
          <w:rFonts w:ascii="Arial" w:hAnsi="Arial" w:cs="Arial"/>
          <w:vertAlign w:val="subscript"/>
        </w:rPr>
        <w:t>SM</w:t>
      </w:r>
      <w:r w:rsidRPr="00093E7A">
        <w:rPr>
          <w:rFonts w:ascii="Arial" w:hAnsi="Arial" w:cs="Arial"/>
        </w:rPr>
        <w:t xml:space="preserve"> among S1</w:t>
      </w:r>
      <w:r w:rsidRPr="00093E7A">
        <w:rPr>
          <w:rFonts w:ascii="Cambria Math" w:hAnsi="Cambria Math" w:cs="Cambria Math"/>
        </w:rPr>
        <w:t>⁺</w:t>
      </w:r>
      <w:r w:rsidRPr="00093E7A">
        <w:rPr>
          <w:rFonts w:ascii="Arial" w:hAnsi="Arial" w:cs="Arial"/>
        </w:rPr>
        <w:t>RBD</w:t>
      </w:r>
      <w:r w:rsidRPr="00093E7A">
        <w:rPr>
          <w:rFonts w:ascii="Cambria Math" w:hAnsi="Cambria Math" w:cs="Cambria Math"/>
        </w:rPr>
        <w:t>⁺</w:t>
      </w:r>
      <w:r w:rsidRPr="00093E7A">
        <w:rPr>
          <w:rFonts w:ascii="Arial" w:hAnsi="Arial" w:cs="Arial"/>
        </w:rPr>
        <w:t xml:space="preserve"> or total B cells and the percentages of CXCR3</w:t>
      </w:r>
      <w:r w:rsidRPr="00093E7A">
        <w:rPr>
          <w:rFonts w:ascii="Cambria Math" w:hAnsi="Cambria Math" w:cs="Cambria Math"/>
        </w:rPr>
        <w:t>⁺</w:t>
      </w:r>
      <w:r w:rsidRPr="00093E7A">
        <w:rPr>
          <w:rFonts w:ascii="Arial" w:hAnsi="Arial" w:cs="Arial"/>
        </w:rPr>
        <w:t>CCR6</w:t>
      </w:r>
      <w:r w:rsidRPr="00093E7A">
        <w:rPr>
          <w:rFonts w:ascii="Cambria Math" w:hAnsi="Cambria Math" w:cs="Cambria Math"/>
        </w:rPr>
        <w:t>⁻</w:t>
      </w:r>
      <w:r w:rsidRPr="00093E7A">
        <w:rPr>
          <w:rFonts w:ascii="Arial" w:hAnsi="Arial" w:cs="Arial"/>
        </w:rPr>
        <w:t>CD57</w:t>
      </w:r>
      <w:r w:rsidRPr="00093E7A">
        <w:rPr>
          <w:rFonts w:ascii="Cambria Math" w:hAnsi="Cambria Math" w:cs="Cambria Math"/>
        </w:rPr>
        <w:t>⁺</w:t>
      </w:r>
      <w:r w:rsidRPr="00093E7A">
        <w:rPr>
          <w:rFonts w:ascii="Arial" w:hAnsi="Arial" w:cs="Arial"/>
        </w:rPr>
        <w:t>PD-1</w:t>
      </w:r>
      <w:r w:rsidRPr="00093E7A">
        <w:rPr>
          <w:rFonts w:ascii="Arial" w:hAnsi="Arial" w:cs="Arial"/>
          <w:vertAlign w:val="superscript"/>
        </w:rPr>
        <w:t>hi</w:t>
      </w:r>
      <w:r w:rsidRPr="00093E7A">
        <w:rPr>
          <w:rFonts w:ascii="Arial" w:hAnsi="Arial" w:cs="Arial"/>
        </w:rPr>
        <w:t xml:space="preserve"> CD4 T cells and CXCR3</w:t>
      </w:r>
      <w:r w:rsidRPr="00093E7A">
        <w:rPr>
          <w:rFonts w:ascii="Cambria Math" w:hAnsi="Cambria Math" w:cs="Cambria Math"/>
        </w:rPr>
        <w:t>⁺</w:t>
      </w:r>
      <w:r w:rsidRPr="00093E7A">
        <w:rPr>
          <w:rFonts w:ascii="Arial" w:hAnsi="Arial" w:cs="Arial"/>
        </w:rPr>
        <w:t>CCR6</w:t>
      </w:r>
      <w:r w:rsidRPr="00093E7A">
        <w:rPr>
          <w:rFonts w:ascii="Cambria Math" w:hAnsi="Cambria Math" w:cs="Cambria Math"/>
        </w:rPr>
        <w:t>⁻</w:t>
      </w:r>
      <w:r w:rsidRPr="00093E7A">
        <w:rPr>
          <w:rFonts w:ascii="Arial" w:hAnsi="Arial" w:cs="Arial"/>
        </w:rPr>
        <w:t xml:space="preserve"> pre-Tfh cells in adenoids and tonsils (Adenoid N = 46, tonsil N = 56). Correlations were assessed with Spearman’s rank correlation.</w:t>
      </w:r>
    </w:p>
    <w:p w14:paraId="11F49D5F" w14:textId="77777777" w:rsidR="00590F3F" w:rsidRPr="00093E7A" w:rsidRDefault="00590F3F" w:rsidP="00590F3F">
      <w:pPr>
        <w:spacing w:line="360" w:lineRule="auto"/>
        <w:ind w:left="360" w:hanging="360"/>
        <w:jc w:val="both"/>
        <w:rPr>
          <w:rFonts w:ascii="Arial" w:hAnsi="Arial" w:cs="Arial"/>
        </w:rPr>
      </w:pPr>
      <w:r w:rsidRPr="00093E7A">
        <w:rPr>
          <w:rFonts w:ascii="Arial" w:hAnsi="Arial" w:cs="Arial"/>
        </w:rPr>
        <w:t>(e-f) Percentages of CXCR3</w:t>
      </w:r>
      <w:r w:rsidRPr="00093E7A">
        <w:rPr>
          <w:rFonts w:ascii="Arial" w:hAnsi="Arial" w:cs="Arial"/>
          <w:vertAlign w:val="superscript"/>
        </w:rPr>
        <w:t>+</w:t>
      </w:r>
      <w:r w:rsidRPr="00093E7A">
        <w:rPr>
          <w:rFonts w:ascii="Arial" w:hAnsi="Arial" w:cs="Arial"/>
        </w:rPr>
        <w:t>BCL6</w:t>
      </w:r>
      <w:r w:rsidRPr="00093E7A">
        <w:rPr>
          <w:rFonts w:ascii="Arial" w:hAnsi="Arial" w:cs="Arial"/>
          <w:vertAlign w:val="superscript"/>
        </w:rPr>
        <w:t>-</w:t>
      </w:r>
      <w:r w:rsidRPr="00093E7A">
        <w:rPr>
          <w:rFonts w:ascii="Arial" w:hAnsi="Arial" w:cs="Arial"/>
        </w:rPr>
        <w:t>CD20</w:t>
      </w:r>
      <w:r w:rsidRPr="00093E7A">
        <w:rPr>
          <w:rFonts w:ascii="Arial" w:hAnsi="Arial" w:cs="Arial"/>
          <w:vertAlign w:val="superscript"/>
        </w:rPr>
        <w:t>+</w:t>
      </w:r>
      <w:r w:rsidRPr="00093E7A">
        <w:rPr>
          <w:rFonts w:ascii="Arial" w:hAnsi="Arial" w:cs="Arial"/>
        </w:rPr>
        <w:t xml:space="preserve"> or CXCR3</w:t>
      </w:r>
      <w:r w:rsidRPr="00093E7A">
        <w:rPr>
          <w:rFonts w:ascii="Arial" w:hAnsi="Arial" w:cs="Arial"/>
          <w:vertAlign w:val="superscript"/>
        </w:rPr>
        <w:t>-</w:t>
      </w:r>
      <w:r w:rsidRPr="00093E7A">
        <w:rPr>
          <w:rFonts w:ascii="Arial" w:hAnsi="Arial" w:cs="Arial"/>
        </w:rPr>
        <w:t>BCL6</w:t>
      </w:r>
      <w:r w:rsidRPr="00093E7A">
        <w:rPr>
          <w:rFonts w:ascii="Arial" w:hAnsi="Arial" w:cs="Arial"/>
          <w:vertAlign w:val="superscript"/>
        </w:rPr>
        <w:t>-</w:t>
      </w:r>
      <w:r w:rsidRPr="00093E7A">
        <w:rPr>
          <w:rFonts w:ascii="Arial" w:hAnsi="Arial" w:cs="Arial"/>
        </w:rPr>
        <w:t>CD20</w:t>
      </w:r>
      <w:r w:rsidRPr="00093E7A">
        <w:rPr>
          <w:rFonts w:ascii="Arial" w:hAnsi="Arial" w:cs="Arial"/>
          <w:vertAlign w:val="superscript"/>
        </w:rPr>
        <w:t>+</w:t>
      </w:r>
      <w:r w:rsidRPr="00093E7A">
        <w:rPr>
          <w:rFonts w:ascii="Arial" w:hAnsi="Arial" w:cs="Arial"/>
        </w:rPr>
        <w:t xml:space="preserve"> </w:t>
      </w:r>
      <w:r>
        <w:rPr>
          <w:rFonts w:ascii="Arial" w:hAnsi="Arial" w:cs="Arial"/>
        </w:rPr>
        <w:t>B</w:t>
      </w:r>
      <w:r w:rsidRPr="00093E7A">
        <w:rPr>
          <w:rFonts w:ascii="Arial" w:hAnsi="Arial" w:cs="Arial"/>
        </w:rPr>
        <w:t xml:space="preserve"> cell populations (e) and CXCR3</w:t>
      </w:r>
      <w:r w:rsidRPr="00093E7A">
        <w:rPr>
          <w:rFonts w:ascii="Arial" w:hAnsi="Arial" w:cs="Arial"/>
          <w:vertAlign w:val="superscript"/>
        </w:rPr>
        <w:t>+</w:t>
      </w:r>
      <w:r w:rsidRPr="00093E7A">
        <w:rPr>
          <w:rFonts w:ascii="Arial" w:hAnsi="Arial" w:cs="Arial"/>
        </w:rPr>
        <w:t>BCL6</w:t>
      </w:r>
      <w:r w:rsidRPr="00093E7A">
        <w:rPr>
          <w:rFonts w:ascii="Arial" w:hAnsi="Arial" w:cs="Arial"/>
          <w:vertAlign w:val="superscript"/>
        </w:rPr>
        <w:t>-</w:t>
      </w:r>
      <w:r w:rsidRPr="00093E7A">
        <w:rPr>
          <w:rFonts w:ascii="Arial" w:hAnsi="Arial" w:cs="Arial"/>
        </w:rPr>
        <w:t>CD4</w:t>
      </w:r>
      <w:r w:rsidRPr="00093E7A">
        <w:rPr>
          <w:rFonts w:ascii="Arial" w:hAnsi="Arial" w:cs="Arial"/>
          <w:vertAlign w:val="superscript"/>
        </w:rPr>
        <w:t>+</w:t>
      </w:r>
      <w:r w:rsidRPr="00093E7A">
        <w:rPr>
          <w:rFonts w:ascii="Arial" w:hAnsi="Arial" w:cs="Arial"/>
        </w:rPr>
        <w:t xml:space="preserve"> or CXCR3</w:t>
      </w:r>
      <w:r w:rsidRPr="00093E7A">
        <w:rPr>
          <w:rFonts w:ascii="Arial" w:hAnsi="Arial" w:cs="Arial"/>
          <w:vertAlign w:val="superscript"/>
        </w:rPr>
        <w:t>-</w:t>
      </w:r>
      <w:r w:rsidRPr="00093E7A">
        <w:rPr>
          <w:rFonts w:ascii="Arial" w:hAnsi="Arial" w:cs="Arial"/>
        </w:rPr>
        <w:t>BCL6</w:t>
      </w:r>
      <w:r w:rsidRPr="00093E7A">
        <w:rPr>
          <w:rFonts w:ascii="Arial" w:hAnsi="Arial" w:cs="Arial"/>
          <w:vertAlign w:val="superscript"/>
        </w:rPr>
        <w:t>-</w:t>
      </w:r>
      <w:r w:rsidRPr="00093E7A">
        <w:rPr>
          <w:rFonts w:ascii="Arial" w:hAnsi="Arial" w:cs="Arial"/>
        </w:rPr>
        <w:t>CD4</w:t>
      </w:r>
      <w:r w:rsidRPr="00093E7A">
        <w:rPr>
          <w:rFonts w:ascii="Arial" w:hAnsi="Arial" w:cs="Arial"/>
          <w:vertAlign w:val="superscript"/>
        </w:rPr>
        <w:t>+</w:t>
      </w:r>
      <w:r>
        <w:rPr>
          <w:rFonts w:ascii="Arial" w:hAnsi="Arial" w:cs="Arial"/>
          <w:vertAlign w:val="superscript"/>
        </w:rPr>
        <w:t xml:space="preserve"> </w:t>
      </w:r>
      <w:r>
        <w:rPr>
          <w:rFonts w:ascii="Arial" w:hAnsi="Arial" w:cs="Arial"/>
        </w:rPr>
        <w:t>T</w:t>
      </w:r>
      <w:r w:rsidRPr="00093E7A">
        <w:rPr>
          <w:rFonts w:ascii="Arial" w:hAnsi="Arial" w:cs="Arial"/>
        </w:rPr>
        <w:t xml:space="preserve"> cells populations (f) in distinct histological regions of tonsils and adenoids of one INF and one VAC subject by immunofluorescence and histocytometry (N = 4 tissues). </w:t>
      </w:r>
    </w:p>
    <w:p w14:paraId="7045F89C" w14:textId="77777777" w:rsidR="00590F3F" w:rsidRPr="00093E7A" w:rsidRDefault="00590F3F" w:rsidP="00590F3F">
      <w:pPr>
        <w:spacing w:line="360" w:lineRule="auto"/>
        <w:ind w:left="450" w:hanging="450"/>
        <w:jc w:val="both"/>
        <w:rPr>
          <w:rFonts w:ascii="Arial" w:hAnsi="Arial" w:cs="Arial"/>
        </w:rPr>
      </w:pPr>
      <w:r w:rsidRPr="00093E7A">
        <w:rPr>
          <w:rFonts w:ascii="Arial" w:hAnsi="Arial" w:cs="Arial"/>
        </w:rPr>
        <w:t>(g) Distribution of annotated cell types on UMAPs from adenoids and tonsils the same   subjects in e-f based on Xenium spatial transcriptomic analysis (human 5000 gene panel).</w:t>
      </w:r>
    </w:p>
    <w:p w14:paraId="475F743A" w14:textId="77777777" w:rsidR="00590F3F" w:rsidRPr="00093E7A" w:rsidRDefault="00590F3F" w:rsidP="00590F3F">
      <w:pPr>
        <w:spacing w:line="360" w:lineRule="auto"/>
        <w:ind w:left="450" w:hanging="450"/>
        <w:jc w:val="both"/>
        <w:rPr>
          <w:rFonts w:ascii="Arial" w:hAnsi="Arial" w:cs="Arial"/>
          <w:i/>
          <w:iCs/>
        </w:rPr>
      </w:pPr>
      <w:r w:rsidRPr="00093E7A">
        <w:rPr>
          <w:rFonts w:ascii="Arial" w:hAnsi="Arial" w:cs="Arial"/>
        </w:rPr>
        <w:t xml:space="preserve">(h) Scaled expression of </w:t>
      </w:r>
      <w:r w:rsidRPr="00093E7A">
        <w:rPr>
          <w:rFonts w:ascii="Arial" w:hAnsi="Arial" w:cs="Arial"/>
          <w:i/>
          <w:iCs/>
        </w:rPr>
        <w:t>CXCL9</w:t>
      </w:r>
      <w:r w:rsidRPr="00093E7A">
        <w:rPr>
          <w:rFonts w:ascii="Arial" w:hAnsi="Arial" w:cs="Arial"/>
        </w:rPr>
        <w:t xml:space="preserve">, </w:t>
      </w:r>
      <w:r w:rsidRPr="00093E7A">
        <w:rPr>
          <w:rFonts w:ascii="Arial" w:hAnsi="Arial" w:cs="Arial"/>
          <w:i/>
          <w:iCs/>
        </w:rPr>
        <w:t>CXCL10</w:t>
      </w:r>
      <w:r w:rsidRPr="00093E7A">
        <w:rPr>
          <w:rFonts w:ascii="Arial" w:hAnsi="Arial" w:cs="Arial"/>
        </w:rPr>
        <w:t xml:space="preserve">, and </w:t>
      </w:r>
      <w:r w:rsidRPr="00093E7A">
        <w:rPr>
          <w:rFonts w:ascii="Arial" w:hAnsi="Arial" w:cs="Arial"/>
          <w:i/>
          <w:iCs/>
        </w:rPr>
        <w:t>CXCL11</w:t>
      </w:r>
      <w:r w:rsidRPr="00093E7A">
        <w:rPr>
          <w:rFonts w:ascii="Arial" w:hAnsi="Arial" w:cs="Arial"/>
        </w:rPr>
        <w:t xml:space="preserve"> in each cell type from the spatially sequenced samples (N = 4 tissues).</w:t>
      </w:r>
    </w:p>
    <w:p w14:paraId="33FAC324" w14:textId="77777777" w:rsidR="00590F3F" w:rsidRPr="00093E7A" w:rsidRDefault="00590F3F" w:rsidP="00590F3F">
      <w:pPr>
        <w:spacing w:before="240" w:line="360" w:lineRule="auto"/>
        <w:jc w:val="both"/>
        <w:rPr>
          <w:rFonts w:ascii="Arial" w:hAnsi="Arial" w:cs="Arial"/>
        </w:rPr>
      </w:pPr>
      <w:r w:rsidRPr="00093E7A">
        <w:rPr>
          <w:rFonts w:ascii="Arial" w:hAnsi="Arial" w:cs="Arial"/>
        </w:rPr>
        <w:t>In</w:t>
      </w:r>
      <w:r w:rsidRPr="00093E7A">
        <w:rPr>
          <w:rFonts w:ascii="Arial" w:hAnsi="Arial" w:cs="Arial"/>
          <w:i/>
          <w:iCs/>
        </w:rPr>
        <w:t xml:space="preserve"> </w:t>
      </w:r>
      <w:r w:rsidRPr="00093E7A">
        <w:rPr>
          <w:rFonts w:ascii="Arial" w:hAnsi="Arial" w:cs="Arial"/>
        </w:rPr>
        <w:t>panels a and c, p values obtained from linear model correcting for participant ages (in blue) and from two-sided Mann-Whitney U test (in black) are shown. In b, p values obtained from two-sided Mann-Whitney U test are shown. Medians ± quartiles are shown in a - c. In e and f,</w:t>
      </w:r>
      <w:r w:rsidRPr="00093E7A">
        <w:rPr>
          <w:rFonts w:ascii="Arial" w:hAnsi="Arial" w:cs="Arial"/>
          <w:i/>
          <w:iCs/>
        </w:rPr>
        <w:t xml:space="preserve"> p</w:t>
      </w:r>
      <w:r w:rsidRPr="00093E7A">
        <w:rPr>
          <w:rFonts w:ascii="Arial" w:hAnsi="Arial" w:cs="Arial"/>
        </w:rPr>
        <w:t xml:space="preserve"> values were calculated with two-sided paired t test.</w:t>
      </w:r>
      <w:r w:rsidRPr="00093E7A">
        <w:rPr>
          <w:rFonts w:ascii="Arial" w:hAnsi="Arial" w:cs="Arial"/>
          <w:i/>
          <w:iCs/>
        </w:rPr>
        <w:t xml:space="preserve"> P</w:t>
      </w:r>
      <w:r w:rsidRPr="00093E7A">
        <w:rPr>
          <w:rFonts w:ascii="Arial" w:hAnsi="Arial" w:cs="Arial"/>
        </w:rPr>
        <w:t xml:space="preserve"> &lt; 0.05 were considered significant.</w:t>
      </w:r>
    </w:p>
    <w:p w14:paraId="361D0F66" w14:textId="77777777" w:rsidR="00590F3F" w:rsidRPr="00093E7A" w:rsidRDefault="00590F3F" w:rsidP="00590F3F">
      <w:pPr>
        <w:rPr>
          <w:rFonts w:ascii="Arial" w:hAnsi="Arial" w:cs="Arial"/>
        </w:rPr>
      </w:pPr>
      <w:r w:rsidRPr="00093E7A">
        <w:rPr>
          <w:rFonts w:ascii="Arial" w:hAnsi="Arial" w:cs="Arial"/>
        </w:rPr>
        <w:br w:type="page"/>
      </w:r>
    </w:p>
    <w:p w14:paraId="1B1A7581"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A405B"/>
    <w:multiLevelType w:val="hybridMultilevel"/>
    <w:tmpl w:val="AF3C1482"/>
    <w:lvl w:ilvl="0" w:tplc="E5C443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A47E8B"/>
    <w:multiLevelType w:val="hybridMultilevel"/>
    <w:tmpl w:val="82405C20"/>
    <w:lvl w:ilvl="0" w:tplc="EDDE1EB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FC18CB"/>
    <w:multiLevelType w:val="hybridMultilevel"/>
    <w:tmpl w:val="AF26E148"/>
    <w:lvl w:ilvl="0" w:tplc="FFFFFFFF">
      <w:start w:val="1"/>
      <w:numFmt w:val="lowerLetter"/>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EFE5A28"/>
    <w:multiLevelType w:val="hybridMultilevel"/>
    <w:tmpl w:val="1AC8E4D0"/>
    <w:lvl w:ilvl="0" w:tplc="9C12EC4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D7C4DE9"/>
    <w:multiLevelType w:val="hybridMultilevel"/>
    <w:tmpl w:val="BDF27AE4"/>
    <w:lvl w:ilvl="0" w:tplc="D812E8C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F67319"/>
    <w:multiLevelType w:val="hybridMultilevel"/>
    <w:tmpl w:val="5CB61486"/>
    <w:lvl w:ilvl="0" w:tplc="D3A0460E">
      <w:start w:val="1"/>
      <w:numFmt w:val="lowerLetter"/>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03258818">
    <w:abstractNumId w:val="1"/>
  </w:num>
  <w:num w:numId="2" w16cid:durableId="161699104">
    <w:abstractNumId w:val="4"/>
  </w:num>
  <w:num w:numId="3" w16cid:durableId="723337826">
    <w:abstractNumId w:val="0"/>
  </w:num>
  <w:num w:numId="4" w16cid:durableId="1720666797">
    <w:abstractNumId w:val="2"/>
  </w:num>
  <w:num w:numId="5" w16cid:durableId="1285621581">
    <w:abstractNumId w:val="3"/>
  </w:num>
  <w:num w:numId="6" w16cid:durableId="20566600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F3F"/>
    <w:rsid w:val="00195413"/>
    <w:rsid w:val="003D0186"/>
    <w:rsid w:val="00590F3F"/>
    <w:rsid w:val="007278E4"/>
    <w:rsid w:val="009C5AF0"/>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27D1E"/>
  <w15:chartTrackingRefBased/>
  <w15:docId w15:val="{50495EBA-992E-4E28-913C-6221112C4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F3F"/>
    <w:pPr>
      <w:spacing w:after="0" w:line="240" w:lineRule="auto"/>
    </w:pPr>
    <w:rPr>
      <w:kern w:val="0"/>
      <w14:ligatures w14:val="none"/>
    </w:rPr>
  </w:style>
  <w:style w:type="paragraph" w:styleId="Heading1">
    <w:name w:val="heading 1"/>
    <w:basedOn w:val="Normal"/>
    <w:next w:val="Normal"/>
    <w:link w:val="Heading1Char"/>
    <w:uiPriority w:val="9"/>
    <w:qFormat/>
    <w:rsid w:val="00590F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0F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0F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0F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0F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0F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F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F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F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F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0F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0F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0F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0F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0F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F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F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F3F"/>
    <w:rPr>
      <w:rFonts w:eastAsiaTheme="majorEastAsia" w:cstheme="majorBidi"/>
      <w:color w:val="272727" w:themeColor="text1" w:themeTint="D8"/>
    </w:rPr>
  </w:style>
  <w:style w:type="paragraph" w:styleId="Title">
    <w:name w:val="Title"/>
    <w:basedOn w:val="Normal"/>
    <w:next w:val="Normal"/>
    <w:link w:val="TitleChar"/>
    <w:uiPriority w:val="10"/>
    <w:qFormat/>
    <w:rsid w:val="00590F3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F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F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F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F3F"/>
    <w:pPr>
      <w:spacing w:before="160"/>
      <w:jc w:val="center"/>
    </w:pPr>
    <w:rPr>
      <w:i/>
      <w:iCs/>
      <w:color w:val="404040" w:themeColor="text1" w:themeTint="BF"/>
    </w:rPr>
  </w:style>
  <w:style w:type="character" w:customStyle="1" w:styleId="QuoteChar">
    <w:name w:val="Quote Char"/>
    <w:basedOn w:val="DefaultParagraphFont"/>
    <w:link w:val="Quote"/>
    <w:uiPriority w:val="29"/>
    <w:rsid w:val="00590F3F"/>
    <w:rPr>
      <w:i/>
      <w:iCs/>
      <w:color w:val="404040" w:themeColor="text1" w:themeTint="BF"/>
    </w:rPr>
  </w:style>
  <w:style w:type="paragraph" w:styleId="ListParagraph">
    <w:name w:val="List Paragraph"/>
    <w:basedOn w:val="Normal"/>
    <w:uiPriority w:val="34"/>
    <w:qFormat/>
    <w:rsid w:val="00590F3F"/>
    <w:pPr>
      <w:ind w:left="720"/>
      <w:contextualSpacing/>
    </w:pPr>
  </w:style>
  <w:style w:type="character" w:styleId="IntenseEmphasis">
    <w:name w:val="Intense Emphasis"/>
    <w:basedOn w:val="DefaultParagraphFont"/>
    <w:uiPriority w:val="21"/>
    <w:qFormat/>
    <w:rsid w:val="00590F3F"/>
    <w:rPr>
      <w:i/>
      <w:iCs/>
      <w:color w:val="0F4761" w:themeColor="accent1" w:themeShade="BF"/>
    </w:rPr>
  </w:style>
  <w:style w:type="paragraph" w:styleId="IntenseQuote">
    <w:name w:val="Intense Quote"/>
    <w:basedOn w:val="Normal"/>
    <w:next w:val="Normal"/>
    <w:link w:val="IntenseQuoteChar"/>
    <w:uiPriority w:val="30"/>
    <w:qFormat/>
    <w:rsid w:val="00590F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0F3F"/>
    <w:rPr>
      <w:i/>
      <w:iCs/>
      <w:color w:val="0F4761" w:themeColor="accent1" w:themeShade="BF"/>
    </w:rPr>
  </w:style>
  <w:style w:type="character" w:styleId="IntenseReference">
    <w:name w:val="Intense Reference"/>
    <w:basedOn w:val="DefaultParagraphFont"/>
    <w:uiPriority w:val="32"/>
    <w:qFormat/>
    <w:rsid w:val="00590F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1782</Words>
  <Characters>10164</Characters>
  <Application>Microsoft Office Word</Application>
  <DocSecurity>0</DocSecurity>
  <Lines>84</Lines>
  <Paragraphs>23</Paragraphs>
  <ScaleCrop>false</ScaleCrop>
  <Company>Springer Nature</Company>
  <LinksUpToDate>false</LinksUpToDate>
  <CharactersWithSpaces>11923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2025-09-04T08:19:00Z</dcterms:created>
  <dcterms:modified xsi:type="dcterms:W3CDTF">2025-09-04T08:20:00Z</dcterms:modified>
</cp:coreProperties>
</file>