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D8950" w14:textId="77777777" w:rsidR="00DE7051" w:rsidRDefault="00DE7051" w:rsidP="00DE7051">
      <w:pPr>
        <w:pStyle w:val="Heading1"/>
      </w:pPr>
      <w:r>
        <w:t>Appendix</w:t>
      </w:r>
    </w:p>
    <w:p w14:paraId="57297636" w14:textId="77777777" w:rsidR="00DE7051" w:rsidRDefault="00DE7051" w:rsidP="00DE7051"/>
    <w:p w14:paraId="6CA8DFA3" w14:textId="77777777" w:rsidR="00DE7051" w:rsidRDefault="00DE7051" w:rsidP="00DE7051">
      <w:pPr>
        <w:pStyle w:val="Heading2"/>
        <w:pBdr>
          <w:top w:val="nil"/>
          <w:left w:val="nil"/>
          <w:bottom w:val="nil"/>
          <w:right w:val="nil"/>
          <w:between w:val="nil"/>
        </w:pBdr>
        <w:sectPr w:rsidR="00DE7051" w:rsidSect="00DE7051">
          <w:pgSz w:w="12240" w:h="15840"/>
          <w:pgMar w:top="1440" w:right="1440" w:bottom="1440" w:left="1440" w:header="708" w:footer="708" w:gutter="0"/>
          <w:cols w:space="720"/>
        </w:sectPr>
      </w:pPr>
      <w:bookmarkStart w:id="0" w:name="_5xvc0h90hkj5" w:colFirst="0" w:colLast="0"/>
      <w:bookmarkEnd w:id="0"/>
    </w:p>
    <w:p w14:paraId="2598713E" w14:textId="77777777" w:rsidR="00DE7051" w:rsidRDefault="00DE7051" w:rsidP="00DE7051">
      <w:pPr>
        <w:pStyle w:val="Heading2"/>
        <w:pBdr>
          <w:top w:val="nil"/>
          <w:left w:val="nil"/>
          <w:bottom w:val="nil"/>
          <w:right w:val="nil"/>
          <w:between w:val="nil"/>
        </w:pBdr>
      </w:pPr>
      <w:bookmarkStart w:id="1" w:name="_ggfn6as1vjpg" w:colFirst="0" w:colLast="0"/>
      <w:bookmarkEnd w:id="1"/>
      <w:r>
        <w:lastRenderedPageBreak/>
        <w:t>Indicative m</w:t>
      </w:r>
      <w:r>
        <w:rPr>
          <w:rFonts w:ascii="Play" w:eastAsia="Play" w:hAnsi="Play" w:cs="Play"/>
        </w:rPr>
        <w:t xml:space="preserve">apping between DERP </w:t>
      </w:r>
      <w:r>
        <w:t xml:space="preserve">and </w:t>
      </w:r>
      <w:r>
        <w:rPr>
          <w:rFonts w:ascii="Play" w:eastAsia="Play" w:hAnsi="Play" w:cs="Play"/>
        </w:rPr>
        <w:t>SSP</w:t>
      </w:r>
      <w:r>
        <w:t xml:space="preserve"> frameworks</w:t>
      </w:r>
    </w:p>
    <w:p w14:paraId="643D2945" w14:textId="77777777" w:rsidR="00DE7051" w:rsidRDefault="00DE7051" w:rsidP="00DE7051">
      <w:pPr>
        <w:spacing w:before="120" w:after="120"/>
        <w:jc w:val="left"/>
        <w:rPr>
          <w:rFonts w:ascii="Arial" w:eastAsia="Arial" w:hAnsi="Arial" w:cs="Arial"/>
          <w:color w:val="000000"/>
          <w:sz w:val="24"/>
          <w:szCs w:val="24"/>
        </w:rPr>
      </w:pPr>
      <w:r>
        <w:rPr>
          <w:rFonts w:ascii="Arial" w:eastAsia="Arial" w:hAnsi="Arial" w:cs="Arial"/>
          <w:color w:val="000000"/>
          <w:sz w:val="24"/>
          <w:szCs w:val="24"/>
        </w:rPr>
        <w:t xml:space="preserve">While the DERP framework is distinct from the SSPs, any quantitative application requires a set of background socioeconomic assumptions. As the SSPs are the community standard for providing this context, </w:t>
      </w:r>
      <w:r>
        <w:rPr>
          <w:rFonts w:ascii="Arial" w:eastAsia="Arial" w:hAnsi="Arial" w:cs="Arial"/>
          <w:b/>
          <w:color w:val="000000"/>
          <w:sz w:val="24"/>
          <w:szCs w:val="24"/>
        </w:rPr>
        <w:t xml:space="preserve">Table A.1 </w:t>
      </w:r>
      <w:r>
        <w:rPr>
          <w:rFonts w:ascii="Arial" w:eastAsia="Arial" w:hAnsi="Arial" w:cs="Arial"/>
          <w:color w:val="000000"/>
          <w:sz w:val="24"/>
          <w:szCs w:val="24"/>
        </w:rPr>
        <w:t xml:space="preserve">below serves as a heuristic guide for researchers on how to plausibly combine the two frameworks. The pairings indicate which SSP storyline can provide a coherent socioeconomic backdrop for a given DERP narrative; they do not imply a direct equivalence. The “Key modifications” column lists at least one lever for each DERP dimension (mitigation action ambition and resilience to socioeconomic impacts); concrete examples of such levers appear in </w:t>
      </w:r>
      <w:r>
        <w:rPr>
          <w:rFonts w:ascii="Arial" w:eastAsia="Arial" w:hAnsi="Arial" w:cs="Arial"/>
          <w:b/>
          <w:color w:val="000000"/>
          <w:sz w:val="24"/>
          <w:szCs w:val="24"/>
        </w:rPr>
        <w:t>Table 2</w:t>
      </w:r>
      <w:r>
        <w:rPr>
          <w:rFonts w:ascii="Arial" w:eastAsia="Arial" w:hAnsi="Arial" w:cs="Arial"/>
          <w:color w:val="000000"/>
          <w:sz w:val="24"/>
          <w:szCs w:val="24"/>
        </w:rPr>
        <w:t>.</w:t>
      </w:r>
    </w:p>
    <w:p w14:paraId="19651C6D" w14:textId="77777777" w:rsidR="00DE7051" w:rsidRDefault="00DE7051" w:rsidP="00DE7051">
      <w:pPr>
        <w:spacing w:before="120" w:after="120"/>
        <w:jc w:val="left"/>
        <w:rPr>
          <w:rFonts w:ascii="Arial" w:eastAsia="Arial" w:hAnsi="Arial" w:cs="Arial"/>
          <w:b/>
          <w:color w:val="000000"/>
          <w:sz w:val="24"/>
          <w:szCs w:val="24"/>
        </w:rPr>
      </w:pPr>
      <w:r>
        <w:rPr>
          <w:rFonts w:ascii="Arial" w:eastAsia="Arial" w:hAnsi="Arial" w:cs="Arial"/>
          <w:b/>
          <w:color w:val="000000"/>
          <w:sz w:val="24"/>
          <w:szCs w:val="24"/>
        </w:rPr>
        <w:t>Table A.1: Indicative Mapping between DERP Narratives and Compatible SSP ones</w:t>
      </w:r>
    </w:p>
    <w:p w14:paraId="57004BB3" w14:textId="77777777" w:rsidR="00DE7051" w:rsidRDefault="00DE7051" w:rsidP="00DE7051">
      <w:pPr>
        <w:spacing w:before="120" w:after="120"/>
        <w:jc w:val="left"/>
        <w:rPr>
          <w:rFonts w:ascii="Arial" w:eastAsia="Arial" w:hAnsi="Arial" w:cs="Arial"/>
          <w:color w:val="000000"/>
          <w:sz w:val="24"/>
          <w:szCs w:val="24"/>
        </w:rPr>
      </w:pPr>
      <w:r>
        <w:rPr>
          <w:rFonts w:ascii="Arial Unicode MS" w:eastAsia="Arial Unicode MS" w:hAnsi="Arial Unicode MS" w:cs="Arial Unicode MS"/>
          <w:color w:val="000000"/>
          <w:sz w:val="24"/>
          <w:szCs w:val="24"/>
        </w:rPr>
        <w:t>Notation: ✔ = particularly suitable SSP, △ = usable SSP with additional adjustments</w:t>
      </w:r>
    </w:p>
    <w:tbl>
      <w:tblPr>
        <w:tblW w:w="12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845"/>
        <w:gridCol w:w="1845"/>
        <w:gridCol w:w="3555"/>
        <w:gridCol w:w="5595"/>
      </w:tblGrid>
      <w:tr w:rsidR="00DE7051" w14:paraId="5E13F957" w14:textId="77777777" w:rsidTr="004250BA">
        <w:trPr>
          <w:trHeight w:val="315"/>
        </w:trPr>
        <w:tc>
          <w:tcPr>
            <w:tcW w:w="1845" w:type="dxa"/>
            <w:tcBorders>
              <w:top w:val="single" w:sz="4" w:space="0" w:color="000000"/>
              <w:left w:val="single" w:sz="4" w:space="0" w:color="000000"/>
              <w:bottom w:val="single" w:sz="4" w:space="0" w:color="000000"/>
              <w:right w:val="single" w:sz="4" w:space="0" w:color="000000"/>
            </w:tcBorders>
            <w:shd w:val="clear" w:color="auto" w:fill="A2C4C9"/>
            <w:tcMar>
              <w:top w:w="40" w:type="dxa"/>
              <w:left w:w="40" w:type="dxa"/>
              <w:bottom w:w="40" w:type="dxa"/>
              <w:right w:w="40" w:type="dxa"/>
            </w:tcMar>
            <w:vAlign w:val="center"/>
          </w:tcPr>
          <w:p w14:paraId="41650485" w14:textId="77777777" w:rsidR="00DE7051" w:rsidRDefault="00DE7051" w:rsidP="004250BA">
            <w:pPr>
              <w:jc w:val="center"/>
              <w:rPr>
                <w:rFonts w:ascii="Arial" w:eastAsia="Arial" w:hAnsi="Arial" w:cs="Arial"/>
                <w:b/>
                <w:color w:val="000000"/>
              </w:rPr>
            </w:pPr>
            <w:r>
              <w:rPr>
                <w:rFonts w:ascii="Arial" w:eastAsia="Arial" w:hAnsi="Arial" w:cs="Arial"/>
                <w:b/>
                <w:color w:val="000000"/>
              </w:rPr>
              <w:t>DERP Narrative</w:t>
            </w:r>
          </w:p>
        </w:tc>
        <w:tc>
          <w:tcPr>
            <w:tcW w:w="1845" w:type="dxa"/>
            <w:tcBorders>
              <w:top w:val="single" w:sz="4" w:space="0" w:color="000000"/>
              <w:left w:val="single" w:sz="4" w:space="0" w:color="000000"/>
              <w:bottom w:val="single" w:sz="4" w:space="0" w:color="000000"/>
              <w:right w:val="single" w:sz="4" w:space="0" w:color="000000"/>
            </w:tcBorders>
            <w:shd w:val="clear" w:color="auto" w:fill="A2C4C9"/>
            <w:tcMar>
              <w:top w:w="40" w:type="dxa"/>
              <w:left w:w="40" w:type="dxa"/>
              <w:bottom w:w="40" w:type="dxa"/>
              <w:right w:w="40" w:type="dxa"/>
            </w:tcMar>
            <w:vAlign w:val="center"/>
          </w:tcPr>
          <w:p w14:paraId="5B6B2AC5" w14:textId="77777777" w:rsidR="00DE7051" w:rsidRDefault="00DE7051" w:rsidP="004250BA">
            <w:pPr>
              <w:jc w:val="center"/>
              <w:rPr>
                <w:rFonts w:ascii="Arial" w:eastAsia="Arial" w:hAnsi="Arial" w:cs="Arial"/>
                <w:b/>
                <w:color w:val="000000"/>
              </w:rPr>
            </w:pPr>
            <w:r>
              <w:rPr>
                <w:rFonts w:ascii="Arial" w:eastAsia="Arial" w:hAnsi="Arial" w:cs="Arial"/>
                <w:b/>
                <w:color w:val="000000"/>
              </w:rPr>
              <w:t>Compatible SSP(s)</w:t>
            </w:r>
          </w:p>
        </w:tc>
        <w:tc>
          <w:tcPr>
            <w:tcW w:w="3555" w:type="dxa"/>
            <w:tcBorders>
              <w:top w:val="single" w:sz="4" w:space="0" w:color="000000"/>
              <w:left w:val="single" w:sz="4" w:space="0" w:color="000000"/>
              <w:bottom w:val="single" w:sz="4" w:space="0" w:color="000000"/>
              <w:right w:val="single" w:sz="4" w:space="0" w:color="000000"/>
            </w:tcBorders>
            <w:shd w:val="clear" w:color="auto" w:fill="A2C4C9"/>
            <w:tcMar>
              <w:top w:w="40" w:type="dxa"/>
              <w:left w:w="40" w:type="dxa"/>
              <w:bottom w:w="40" w:type="dxa"/>
              <w:right w:w="40" w:type="dxa"/>
            </w:tcMar>
            <w:vAlign w:val="center"/>
          </w:tcPr>
          <w:p w14:paraId="3954BA35" w14:textId="77777777" w:rsidR="00DE7051" w:rsidRDefault="00DE7051" w:rsidP="004250BA">
            <w:pPr>
              <w:jc w:val="center"/>
              <w:rPr>
                <w:rFonts w:ascii="Arial" w:eastAsia="Arial" w:hAnsi="Arial" w:cs="Arial"/>
                <w:b/>
                <w:color w:val="000000"/>
              </w:rPr>
            </w:pPr>
            <w:r>
              <w:rPr>
                <w:rFonts w:ascii="Arial" w:eastAsia="Arial" w:hAnsi="Arial" w:cs="Arial"/>
                <w:b/>
                <w:color w:val="000000"/>
              </w:rPr>
              <w:t>Key modifications (mitigation axis / resilience axis)</w:t>
            </w:r>
          </w:p>
        </w:tc>
        <w:tc>
          <w:tcPr>
            <w:tcW w:w="5595" w:type="dxa"/>
            <w:tcBorders>
              <w:top w:val="single" w:sz="4" w:space="0" w:color="000000"/>
              <w:left w:val="single" w:sz="4" w:space="0" w:color="000000"/>
              <w:bottom w:val="single" w:sz="4" w:space="0" w:color="000000"/>
              <w:right w:val="single" w:sz="4" w:space="0" w:color="000000"/>
            </w:tcBorders>
            <w:shd w:val="clear" w:color="auto" w:fill="A2C4C9"/>
            <w:tcMar>
              <w:top w:w="40" w:type="dxa"/>
              <w:left w:w="40" w:type="dxa"/>
              <w:bottom w:w="40" w:type="dxa"/>
              <w:right w:w="40" w:type="dxa"/>
            </w:tcMar>
            <w:vAlign w:val="center"/>
          </w:tcPr>
          <w:p w14:paraId="027859A6" w14:textId="77777777" w:rsidR="00DE7051" w:rsidRDefault="00DE7051" w:rsidP="004250BA">
            <w:pPr>
              <w:jc w:val="center"/>
              <w:rPr>
                <w:rFonts w:ascii="Arial" w:eastAsia="Arial" w:hAnsi="Arial" w:cs="Arial"/>
                <w:b/>
                <w:color w:val="000000"/>
              </w:rPr>
            </w:pPr>
            <w:r>
              <w:rPr>
                <w:rFonts w:ascii="Arial" w:eastAsia="Arial" w:hAnsi="Arial" w:cs="Arial"/>
                <w:b/>
                <w:color w:val="000000"/>
              </w:rPr>
              <w:t>Rationale and implementation guidance</w:t>
            </w:r>
          </w:p>
        </w:tc>
      </w:tr>
      <w:tr w:rsidR="00DE7051" w14:paraId="0B027954" w14:textId="77777777" w:rsidTr="004250BA">
        <w:trPr>
          <w:trHeight w:val="975"/>
        </w:trPr>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3F5155C0" w14:textId="77777777" w:rsidR="00DE7051" w:rsidRDefault="00DE7051" w:rsidP="004250BA">
            <w:pPr>
              <w:jc w:val="left"/>
              <w:rPr>
                <w:rFonts w:ascii="Arial" w:eastAsia="Arial" w:hAnsi="Arial" w:cs="Arial"/>
                <w:b/>
                <w:color w:val="000000"/>
              </w:rPr>
            </w:pPr>
            <w:r>
              <w:rPr>
                <w:rFonts w:ascii="Arial" w:eastAsia="Arial" w:hAnsi="Arial" w:cs="Arial"/>
                <w:b/>
                <w:color w:val="000000"/>
              </w:rPr>
              <w:t>DERP1 - Derailment</w:t>
            </w:r>
          </w:p>
        </w:tc>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2E537ABF" w14:textId="77777777" w:rsidR="00DE7051" w:rsidRDefault="00DE7051" w:rsidP="004250BA">
            <w:pPr>
              <w:jc w:val="left"/>
              <w:rPr>
                <w:rFonts w:ascii="Arial" w:eastAsia="Arial" w:hAnsi="Arial" w:cs="Arial"/>
                <w:b/>
                <w:color w:val="000000"/>
              </w:rPr>
            </w:pPr>
            <w:r>
              <w:rPr>
                <w:rFonts w:ascii="Arial Unicode MS" w:eastAsia="Arial Unicode MS" w:hAnsi="Arial Unicode MS" w:cs="Arial Unicode MS"/>
                <w:b/>
                <w:color w:val="000000"/>
              </w:rPr>
              <w:t>✔ SSP3 </w:t>
            </w:r>
          </w:p>
          <w:p w14:paraId="5398BC9D" w14:textId="77777777" w:rsidR="00DE7051" w:rsidRDefault="00DE7051" w:rsidP="004250BA">
            <w:pPr>
              <w:jc w:val="left"/>
              <w:rPr>
                <w:rFonts w:ascii="Arial" w:eastAsia="Arial" w:hAnsi="Arial" w:cs="Arial"/>
                <w:b/>
                <w:color w:val="000000"/>
              </w:rPr>
            </w:pPr>
          </w:p>
          <w:p w14:paraId="2588BAF6" w14:textId="77777777" w:rsidR="00DE7051" w:rsidRDefault="00DE7051" w:rsidP="004250BA">
            <w:pPr>
              <w:jc w:val="left"/>
              <w:rPr>
                <w:rFonts w:ascii="Arial" w:eastAsia="Arial" w:hAnsi="Arial" w:cs="Arial"/>
                <w:b/>
                <w:color w:val="000000"/>
              </w:rPr>
            </w:pPr>
            <w:r>
              <w:rPr>
                <w:rFonts w:ascii="Arial" w:eastAsia="Arial" w:hAnsi="Arial" w:cs="Arial"/>
                <w:b/>
                <w:color w:val="000000"/>
              </w:rPr>
              <w:t>△ SSP4</w:t>
            </w:r>
          </w:p>
        </w:tc>
        <w:tc>
          <w:tcPr>
            <w:tcW w:w="35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097946BD" w14:textId="77777777" w:rsidR="00DE7051" w:rsidRDefault="00DE7051" w:rsidP="004250BA">
            <w:pPr>
              <w:jc w:val="left"/>
              <w:rPr>
                <w:rFonts w:ascii="Arial" w:eastAsia="Arial" w:hAnsi="Arial" w:cs="Arial"/>
                <w:color w:val="000000"/>
              </w:rPr>
            </w:pPr>
            <w:r>
              <w:rPr>
                <w:rFonts w:ascii="Arial" w:eastAsia="Arial" w:hAnsi="Arial" w:cs="Arial"/>
                <w:color w:val="000000"/>
              </w:rPr>
              <w:t>Mitigation: relax climate-policy stringency and technology learning.</w:t>
            </w:r>
          </w:p>
          <w:p w14:paraId="0C9B6C32" w14:textId="77777777" w:rsidR="00DE7051" w:rsidRDefault="00DE7051" w:rsidP="004250BA">
            <w:pPr>
              <w:jc w:val="left"/>
              <w:rPr>
                <w:rFonts w:ascii="Arial" w:eastAsia="Arial" w:hAnsi="Arial" w:cs="Arial"/>
                <w:color w:val="000000"/>
              </w:rPr>
            </w:pPr>
          </w:p>
          <w:p w14:paraId="41928218" w14:textId="77777777" w:rsidR="00DE7051" w:rsidRDefault="00DE7051" w:rsidP="004250BA">
            <w:pPr>
              <w:jc w:val="left"/>
              <w:rPr>
                <w:rFonts w:ascii="Arial" w:eastAsia="Arial" w:hAnsi="Arial" w:cs="Arial"/>
                <w:color w:val="000000"/>
              </w:rPr>
            </w:pPr>
            <w:r>
              <w:rPr>
                <w:rFonts w:ascii="Arial" w:eastAsia="Arial" w:hAnsi="Arial" w:cs="Arial"/>
                <w:color w:val="000000"/>
              </w:rPr>
              <w:t>Resilience: amplify regional fragmentation, raise investment risk premiums, reduce institutional response capacity.</w:t>
            </w:r>
          </w:p>
        </w:tc>
        <w:tc>
          <w:tcPr>
            <w:tcW w:w="55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2C95BAF2" w14:textId="77777777" w:rsidR="00DE7051" w:rsidRDefault="00DE7051" w:rsidP="004250BA">
            <w:pPr>
              <w:jc w:val="left"/>
              <w:rPr>
                <w:rFonts w:ascii="Arial" w:eastAsia="Arial" w:hAnsi="Arial" w:cs="Arial"/>
                <w:color w:val="000000"/>
              </w:rPr>
            </w:pPr>
            <w:r>
              <w:rPr>
                <w:rFonts w:ascii="Arial" w:eastAsia="Arial" w:hAnsi="Arial" w:cs="Arial"/>
                <w:color w:val="000000"/>
              </w:rPr>
              <w:t>SSP3’s rivalry and weak cooperation mirror low resilience</w:t>
            </w:r>
          </w:p>
          <w:p w14:paraId="0731A2CB" w14:textId="77777777" w:rsidR="00DE7051" w:rsidRDefault="00DE7051" w:rsidP="004250BA">
            <w:pPr>
              <w:jc w:val="left"/>
              <w:rPr>
                <w:rFonts w:ascii="Arial" w:eastAsia="Arial" w:hAnsi="Arial" w:cs="Arial"/>
                <w:color w:val="000000"/>
              </w:rPr>
            </w:pPr>
          </w:p>
          <w:p w14:paraId="163F0729" w14:textId="77777777" w:rsidR="00DE7051" w:rsidRDefault="00DE7051" w:rsidP="004250BA">
            <w:pPr>
              <w:jc w:val="left"/>
              <w:rPr>
                <w:rFonts w:ascii="Arial" w:eastAsia="Arial" w:hAnsi="Arial" w:cs="Arial"/>
                <w:color w:val="000000"/>
              </w:rPr>
            </w:pPr>
            <w:r>
              <w:rPr>
                <w:rFonts w:ascii="Arial" w:eastAsia="Arial" w:hAnsi="Arial" w:cs="Arial"/>
                <w:color w:val="000000"/>
              </w:rPr>
              <w:t>SSP4’s inequality can generate similar vulnerabilities. Emphasise cascading vulnerability and limited recovery capacity.</w:t>
            </w:r>
          </w:p>
        </w:tc>
      </w:tr>
      <w:tr w:rsidR="00DE7051" w14:paraId="35BF0C93" w14:textId="77777777" w:rsidTr="004250BA">
        <w:trPr>
          <w:trHeight w:val="975"/>
        </w:trPr>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78F53F4A" w14:textId="77777777" w:rsidR="00DE7051" w:rsidRDefault="00DE7051" w:rsidP="004250BA">
            <w:pPr>
              <w:jc w:val="left"/>
              <w:rPr>
                <w:rFonts w:ascii="Arial" w:eastAsia="Arial" w:hAnsi="Arial" w:cs="Arial"/>
                <w:b/>
                <w:color w:val="000000"/>
              </w:rPr>
            </w:pPr>
            <w:r>
              <w:rPr>
                <w:rFonts w:ascii="Arial" w:eastAsia="Arial" w:hAnsi="Arial" w:cs="Arial"/>
                <w:b/>
                <w:color w:val="000000"/>
              </w:rPr>
              <w:t>DERP2 - Current Trends</w:t>
            </w:r>
          </w:p>
        </w:tc>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7389E76D" w14:textId="77777777" w:rsidR="00DE7051" w:rsidRDefault="00DE7051" w:rsidP="004250BA">
            <w:pPr>
              <w:jc w:val="left"/>
              <w:rPr>
                <w:rFonts w:ascii="Arial" w:eastAsia="Arial" w:hAnsi="Arial" w:cs="Arial"/>
                <w:b/>
                <w:color w:val="000000"/>
              </w:rPr>
            </w:pPr>
            <w:r>
              <w:rPr>
                <w:rFonts w:ascii="Arial Unicode MS" w:eastAsia="Arial Unicode MS" w:hAnsi="Arial Unicode MS" w:cs="Arial Unicode MS"/>
                <w:b/>
                <w:color w:val="000000"/>
              </w:rPr>
              <w:t>✔ SSP2 </w:t>
            </w:r>
          </w:p>
          <w:p w14:paraId="0C803005" w14:textId="77777777" w:rsidR="00DE7051" w:rsidRDefault="00DE7051" w:rsidP="004250BA">
            <w:pPr>
              <w:jc w:val="left"/>
              <w:rPr>
                <w:rFonts w:ascii="Arial" w:eastAsia="Arial" w:hAnsi="Arial" w:cs="Arial"/>
                <w:b/>
                <w:color w:val="000000"/>
              </w:rPr>
            </w:pPr>
          </w:p>
          <w:p w14:paraId="2CBEE731" w14:textId="77777777" w:rsidR="00DE7051" w:rsidRDefault="00DE7051" w:rsidP="004250BA">
            <w:pPr>
              <w:jc w:val="left"/>
              <w:rPr>
                <w:rFonts w:ascii="Arial" w:eastAsia="Arial" w:hAnsi="Arial" w:cs="Arial"/>
                <w:b/>
                <w:color w:val="000000"/>
              </w:rPr>
            </w:pPr>
            <w:r>
              <w:rPr>
                <w:rFonts w:ascii="Arial" w:eastAsia="Arial" w:hAnsi="Arial" w:cs="Arial"/>
                <w:b/>
                <w:color w:val="000000"/>
              </w:rPr>
              <w:t>△ any other SSP as status-quo variant</w:t>
            </w:r>
          </w:p>
        </w:tc>
        <w:tc>
          <w:tcPr>
            <w:tcW w:w="35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32B7FF32" w14:textId="77777777" w:rsidR="00DE7051" w:rsidRDefault="00DE7051" w:rsidP="004250BA">
            <w:pPr>
              <w:jc w:val="left"/>
              <w:rPr>
                <w:rFonts w:ascii="Arial" w:eastAsia="Arial" w:hAnsi="Arial" w:cs="Arial"/>
                <w:color w:val="000000"/>
              </w:rPr>
            </w:pPr>
            <w:r>
              <w:rPr>
                <w:rFonts w:ascii="Arial" w:eastAsia="Arial" w:hAnsi="Arial" w:cs="Arial"/>
                <w:color w:val="000000"/>
              </w:rPr>
              <w:t xml:space="preserve">Mitigation: continue announced NDCs, medium techology diffusion. </w:t>
            </w:r>
          </w:p>
          <w:p w14:paraId="57C5E413" w14:textId="77777777" w:rsidR="00DE7051" w:rsidRDefault="00DE7051" w:rsidP="004250BA">
            <w:pPr>
              <w:jc w:val="left"/>
              <w:rPr>
                <w:rFonts w:ascii="Arial" w:eastAsia="Arial" w:hAnsi="Arial" w:cs="Arial"/>
                <w:color w:val="000000"/>
              </w:rPr>
            </w:pPr>
          </w:p>
          <w:p w14:paraId="5DCB8E9B" w14:textId="77777777" w:rsidR="00DE7051" w:rsidRDefault="00DE7051" w:rsidP="004250BA">
            <w:pPr>
              <w:jc w:val="left"/>
              <w:rPr>
                <w:rFonts w:ascii="Arial" w:eastAsia="Arial" w:hAnsi="Arial" w:cs="Arial"/>
                <w:color w:val="000000"/>
              </w:rPr>
            </w:pPr>
            <w:r>
              <w:rPr>
                <w:rFonts w:ascii="Arial" w:eastAsia="Arial" w:hAnsi="Arial" w:cs="Arial"/>
                <w:color w:val="000000"/>
              </w:rPr>
              <w:t>Resilience: maintain historical adaptive capacity with moderate contingency funding.</w:t>
            </w:r>
          </w:p>
        </w:tc>
        <w:tc>
          <w:tcPr>
            <w:tcW w:w="55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652ACB1D" w14:textId="77777777" w:rsidR="00DE7051" w:rsidRDefault="00DE7051" w:rsidP="004250BA">
            <w:pPr>
              <w:jc w:val="left"/>
              <w:rPr>
                <w:rFonts w:ascii="Arial" w:eastAsia="Arial" w:hAnsi="Arial" w:cs="Arial"/>
                <w:color w:val="000000"/>
              </w:rPr>
            </w:pPr>
            <w:r>
              <w:rPr>
                <w:rFonts w:ascii="Arial" w:eastAsia="Arial" w:hAnsi="Arial" w:cs="Arial"/>
                <w:color w:val="000000"/>
              </w:rPr>
              <w:t>SSP2’s “middle of the road” trajectory already sits near DERP2. Apply moderate disruptions while keeping socioeconomic trajectory largely unchanged.</w:t>
            </w:r>
          </w:p>
        </w:tc>
      </w:tr>
      <w:tr w:rsidR="00DE7051" w14:paraId="4726F46A" w14:textId="77777777" w:rsidTr="004250BA">
        <w:trPr>
          <w:trHeight w:val="1200"/>
        </w:trPr>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7D523299" w14:textId="77777777" w:rsidR="00DE7051" w:rsidRDefault="00DE7051" w:rsidP="004250BA">
            <w:pPr>
              <w:jc w:val="left"/>
              <w:rPr>
                <w:rFonts w:ascii="Arial" w:eastAsia="Arial" w:hAnsi="Arial" w:cs="Arial"/>
                <w:b/>
                <w:color w:val="000000"/>
              </w:rPr>
            </w:pPr>
            <w:r>
              <w:rPr>
                <w:rFonts w:ascii="Arial" w:eastAsia="Arial" w:hAnsi="Arial" w:cs="Arial"/>
                <w:b/>
                <w:color w:val="000000"/>
              </w:rPr>
              <w:t>DERP3 - Fragile Transition</w:t>
            </w:r>
          </w:p>
        </w:tc>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556C178F" w14:textId="77777777" w:rsidR="00DE7051" w:rsidRDefault="00DE7051" w:rsidP="004250BA">
            <w:pPr>
              <w:jc w:val="left"/>
              <w:rPr>
                <w:rFonts w:ascii="Arial" w:eastAsia="Arial" w:hAnsi="Arial" w:cs="Arial"/>
                <w:b/>
                <w:color w:val="000000"/>
              </w:rPr>
            </w:pPr>
            <w:r>
              <w:rPr>
                <w:rFonts w:ascii="Arial Unicode MS" w:eastAsia="Arial Unicode MS" w:hAnsi="Arial Unicode MS" w:cs="Arial Unicode MS"/>
                <w:b/>
                <w:color w:val="000000"/>
              </w:rPr>
              <w:t>✔ SSP5 </w:t>
            </w:r>
          </w:p>
          <w:p w14:paraId="2ED0AC15" w14:textId="77777777" w:rsidR="00DE7051" w:rsidRDefault="00DE7051" w:rsidP="004250BA">
            <w:pPr>
              <w:jc w:val="left"/>
              <w:rPr>
                <w:rFonts w:ascii="Arial" w:eastAsia="Arial" w:hAnsi="Arial" w:cs="Arial"/>
                <w:b/>
                <w:color w:val="000000"/>
              </w:rPr>
            </w:pPr>
          </w:p>
          <w:p w14:paraId="16666105" w14:textId="77777777" w:rsidR="00DE7051" w:rsidRDefault="00DE7051" w:rsidP="004250BA">
            <w:pPr>
              <w:jc w:val="left"/>
              <w:rPr>
                <w:rFonts w:ascii="Arial" w:eastAsia="Arial" w:hAnsi="Arial" w:cs="Arial"/>
                <w:b/>
                <w:color w:val="000000"/>
              </w:rPr>
            </w:pPr>
            <w:r>
              <w:rPr>
                <w:rFonts w:ascii="Arial" w:eastAsia="Arial" w:hAnsi="Arial" w:cs="Arial"/>
                <w:b/>
                <w:color w:val="000000"/>
              </w:rPr>
              <w:t>△ SSP1</w:t>
            </w:r>
          </w:p>
        </w:tc>
        <w:tc>
          <w:tcPr>
            <w:tcW w:w="35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70A4C9EA" w14:textId="77777777" w:rsidR="00DE7051" w:rsidRDefault="00DE7051" w:rsidP="004250BA">
            <w:pPr>
              <w:jc w:val="left"/>
              <w:rPr>
                <w:rFonts w:ascii="Arial" w:eastAsia="Arial" w:hAnsi="Arial" w:cs="Arial"/>
                <w:color w:val="000000"/>
              </w:rPr>
            </w:pPr>
            <w:r>
              <w:rPr>
                <w:rFonts w:ascii="Arial" w:eastAsia="Arial" w:hAnsi="Arial" w:cs="Arial"/>
                <w:color w:val="000000"/>
              </w:rPr>
              <w:t xml:space="preserve">Mitigation: concentrate policy incentives on a single low-carbon option (e.g. CCS or EVs), restrict diversity elsewhere. </w:t>
            </w:r>
          </w:p>
          <w:p w14:paraId="7CE312AF" w14:textId="77777777" w:rsidR="00DE7051" w:rsidRDefault="00DE7051" w:rsidP="004250BA">
            <w:pPr>
              <w:jc w:val="left"/>
              <w:rPr>
                <w:rFonts w:ascii="Arial" w:eastAsia="Arial" w:hAnsi="Arial" w:cs="Arial"/>
                <w:color w:val="000000"/>
              </w:rPr>
            </w:pPr>
          </w:p>
          <w:p w14:paraId="2E50CD5E" w14:textId="77777777" w:rsidR="00DE7051" w:rsidRDefault="00DE7051" w:rsidP="004250BA">
            <w:pPr>
              <w:jc w:val="left"/>
              <w:rPr>
                <w:rFonts w:ascii="Arial" w:eastAsia="Arial" w:hAnsi="Arial" w:cs="Arial"/>
                <w:color w:val="000000"/>
              </w:rPr>
            </w:pPr>
            <w:r>
              <w:rPr>
                <w:rFonts w:ascii="Arial" w:eastAsia="Arial" w:hAnsi="Arial" w:cs="Arial"/>
                <w:color w:val="000000"/>
              </w:rPr>
              <w:lastRenderedPageBreak/>
              <w:t>Resilience: keep supply-chain diversity low, limit redundancy, increase price sensitivity.</w:t>
            </w:r>
          </w:p>
        </w:tc>
        <w:tc>
          <w:tcPr>
            <w:tcW w:w="55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6CE36A7C" w14:textId="77777777" w:rsidR="00DE7051" w:rsidRDefault="00DE7051" w:rsidP="004250BA">
            <w:pPr>
              <w:jc w:val="left"/>
              <w:rPr>
                <w:rFonts w:ascii="Arial" w:eastAsia="Arial" w:hAnsi="Arial" w:cs="Arial"/>
                <w:color w:val="000000"/>
              </w:rPr>
            </w:pPr>
            <w:r>
              <w:rPr>
                <w:rFonts w:ascii="Arial" w:eastAsia="Arial" w:hAnsi="Arial" w:cs="Arial"/>
                <w:color w:val="000000"/>
              </w:rPr>
              <w:lastRenderedPageBreak/>
              <w:t>SSP5’s techno-optimism fits high, narrow mitigation</w:t>
            </w:r>
          </w:p>
          <w:p w14:paraId="6B7900FE" w14:textId="77777777" w:rsidR="00DE7051" w:rsidRDefault="00DE7051" w:rsidP="004250BA">
            <w:pPr>
              <w:jc w:val="left"/>
              <w:rPr>
                <w:rFonts w:ascii="Arial" w:eastAsia="Arial" w:hAnsi="Arial" w:cs="Arial"/>
                <w:color w:val="000000"/>
              </w:rPr>
            </w:pPr>
          </w:p>
          <w:p w14:paraId="1C280A7C" w14:textId="77777777" w:rsidR="00DE7051" w:rsidRDefault="00DE7051" w:rsidP="004250BA">
            <w:pPr>
              <w:jc w:val="left"/>
              <w:rPr>
                <w:rFonts w:ascii="Arial" w:eastAsia="Arial" w:hAnsi="Arial" w:cs="Arial"/>
                <w:color w:val="000000"/>
              </w:rPr>
            </w:pPr>
            <w:r>
              <w:rPr>
                <w:rFonts w:ascii="Arial" w:eastAsia="Arial" w:hAnsi="Arial" w:cs="Arial"/>
                <w:color w:val="000000"/>
              </w:rPr>
              <w:t>SSP1 can also yield a “green but myopic” variant if policy over-favours one solution. Highlight over-reliance and weak fallback capacity.</w:t>
            </w:r>
          </w:p>
        </w:tc>
      </w:tr>
      <w:tr w:rsidR="00DE7051" w14:paraId="1F9BADFE" w14:textId="77777777" w:rsidTr="004250BA">
        <w:trPr>
          <w:trHeight w:val="975"/>
        </w:trPr>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3C7B5748" w14:textId="77777777" w:rsidR="00DE7051" w:rsidRDefault="00DE7051" w:rsidP="004250BA">
            <w:pPr>
              <w:jc w:val="left"/>
              <w:rPr>
                <w:rFonts w:ascii="Arial" w:eastAsia="Arial" w:hAnsi="Arial" w:cs="Arial"/>
                <w:b/>
                <w:color w:val="000000"/>
              </w:rPr>
            </w:pPr>
            <w:r>
              <w:rPr>
                <w:rFonts w:ascii="Arial" w:eastAsia="Arial" w:hAnsi="Arial" w:cs="Arial"/>
                <w:b/>
                <w:color w:val="000000"/>
              </w:rPr>
              <w:t>DERP4 - Resilient Inertia</w:t>
            </w:r>
          </w:p>
        </w:tc>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62D037A7" w14:textId="77777777" w:rsidR="00DE7051" w:rsidRDefault="00DE7051" w:rsidP="004250BA">
            <w:pPr>
              <w:jc w:val="left"/>
              <w:rPr>
                <w:rFonts w:ascii="Arial" w:eastAsia="Arial" w:hAnsi="Arial" w:cs="Arial"/>
                <w:b/>
                <w:color w:val="000000"/>
              </w:rPr>
            </w:pPr>
            <w:r>
              <w:rPr>
                <w:rFonts w:ascii="Arial" w:eastAsia="Arial" w:hAnsi="Arial" w:cs="Arial"/>
                <w:b/>
                <w:color w:val="000000"/>
              </w:rPr>
              <w:t>△ Any SSP (often SSP2)</w:t>
            </w:r>
          </w:p>
        </w:tc>
        <w:tc>
          <w:tcPr>
            <w:tcW w:w="35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68F3DAFB" w14:textId="77777777" w:rsidR="00DE7051" w:rsidRDefault="00DE7051" w:rsidP="004250BA">
            <w:pPr>
              <w:jc w:val="left"/>
              <w:rPr>
                <w:rFonts w:ascii="Arial" w:eastAsia="Arial" w:hAnsi="Arial" w:cs="Arial"/>
                <w:color w:val="000000"/>
              </w:rPr>
            </w:pPr>
            <w:r>
              <w:rPr>
                <w:rFonts w:ascii="Arial" w:eastAsia="Arial" w:hAnsi="Arial" w:cs="Arial"/>
                <w:color w:val="000000"/>
              </w:rPr>
              <w:t xml:space="preserve">Mitigation: scale back long-term climate ambition, extend fossil infrastructure lifetime. </w:t>
            </w:r>
          </w:p>
          <w:p w14:paraId="6E24BCCD" w14:textId="77777777" w:rsidR="00DE7051" w:rsidRDefault="00DE7051" w:rsidP="004250BA">
            <w:pPr>
              <w:jc w:val="left"/>
              <w:rPr>
                <w:rFonts w:ascii="Arial" w:eastAsia="Arial" w:hAnsi="Arial" w:cs="Arial"/>
                <w:color w:val="000000"/>
              </w:rPr>
            </w:pPr>
          </w:p>
          <w:p w14:paraId="126BFAB6" w14:textId="77777777" w:rsidR="00DE7051" w:rsidRDefault="00DE7051" w:rsidP="004250BA">
            <w:pPr>
              <w:jc w:val="left"/>
              <w:rPr>
                <w:rFonts w:ascii="Arial" w:eastAsia="Arial" w:hAnsi="Arial" w:cs="Arial"/>
                <w:color w:val="000000"/>
              </w:rPr>
            </w:pPr>
            <w:r>
              <w:rPr>
                <w:rFonts w:ascii="Arial" w:eastAsia="Arial" w:hAnsi="Arial" w:cs="Arial"/>
                <w:color w:val="000000"/>
              </w:rPr>
              <w:t>Resilience: harden existing assets, add redundancy for known threats, improve emergency logistics.</w:t>
            </w:r>
          </w:p>
        </w:tc>
        <w:tc>
          <w:tcPr>
            <w:tcW w:w="55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537DE3DE" w14:textId="77777777" w:rsidR="00DE7051" w:rsidRDefault="00DE7051" w:rsidP="004250BA">
            <w:pPr>
              <w:jc w:val="left"/>
              <w:rPr>
                <w:rFonts w:ascii="Arial" w:eastAsia="Arial" w:hAnsi="Arial" w:cs="Arial"/>
                <w:color w:val="000000"/>
              </w:rPr>
            </w:pPr>
            <w:r>
              <w:rPr>
                <w:rFonts w:ascii="Arial" w:eastAsia="Arial" w:hAnsi="Arial" w:cs="Arial"/>
                <w:color w:val="000000"/>
              </w:rPr>
              <w:t>DERP4 is about disruption management rather than socioeconomic transformation. Choose a suitable SSP context and then layer resilience measures focused on hardening existing systems and maintaining the status quo, rather than enabling systemic change</w:t>
            </w:r>
          </w:p>
        </w:tc>
      </w:tr>
      <w:tr w:rsidR="00DE7051" w14:paraId="195AE584" w14:textId="77777777" w:rsidTr="004250BA">
        <w:trPr>
          <w:trHeight w:val="975"/>
        </w:trPr>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326EA3CB" w14:textId="77777777" w:rsidR="00DE7051" w:rsidRDefault="00DE7051" w:rsidP="004250BA">
            <w:pPr>
              <w:jc w:val="left"/>
              <w:rPr>
                <w:rFonts w:ascii="Arial" w:eastAsia="Arial" w:hAnsi="Arial" w:cs="Arial"/>
                <w:b/>
                <w:color w:val="000000"/>
              </w:rPr>
            </w:pPr>
            <w:r>
              <w:rPr>
                <w:rFonts w:ascii="Arial" w:eastAsia="Arial" w:hAnsi="Arial" w:cs="Arial"/>
                <w:b/>
                <w:color w:val="000000"/>
              </w:rPr>
              <w:t>DERP5 - Robust Transformation</w:t>
            </w:r>
          </w:p>
        </w:tc>
        <w:tc>
          <w:tcPr>
            <w:tcW w:w="1845" w:type="dxa"/>
            <w:tcBorders>
              <w:top w:val="single" w:sz="4" w:space="0" w:color="000000"/>
              <w:left w:val="single" w:sz="4" w:space="0" w:color="000000"/>
              <w:bottom w:val="single" w:sz="4" w:space="0" w:color="000000"/>
              <w:right w:val="single" w:sz="4" w:space="0" w:color="000000"/>
            </w:tcBorders>
            <w:shd w:val="clear" w:color="auto" w:fill="D9EAD3"/>
            <w:tcMar>
              <w:top w:w="40" w:type="dxa"/>
              <w:left w:w="40" w:type="dxa"/>
              <w:bottom w:w="40" w:type="dxa"/>
              <w:right w:w="40" w:type="dxa"/>
            </w:tcMar>
            <w:vAlign w:val="center"/>
          </w:tcPr>
          <w:p w14:paraId="598E7744" w14:textId="77777777" w:rsidR="00DE7051" w:rsidRDefault="00DE7051" w:rsidP="004250BA">
            <w:pPr>
              <w:jc w:val="left"/>
              <w:rPr>
                <w:rFonts w:ascii="Arial" w:eastAsia="Arial" w:hAnsi="Arial" w:cs="Arial"/>
                <w:b/>
                <w:color w:val="000000"/>
              </w:rPr>
            </w:pPr>
            <w:r>
              <w:rPr>
                <w:rFonts w:ascii="Arial Unicode MS" w:eastAsia="Arial Unicode MS" w:hAnsi="Arial Unicode MS" w:cs="Arial Unicode MS"/>
                <w:b/>
                <w:color w:val="000000"/>
              </w:rPr>
              <w:t>✔ SSP1</w:t>
            </w:r>
          </w:p>
        </w:tc>
        <w:tc>
          <w:tcPr>
            <w:tcW w:w="35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49824159" w14:textId="77777777" w:rsidR="00DE7051" w:rsidRDefault="00DE7051" w:rsidP="004250BA">
            <w:pPr>
              <w:jc w:val="left"/>
              <w:rPr>
                <w:rFonts w:ascii="Arial" w:eastAsia="Arial" w:hAnsi="Arial" w:cs="Arial"/>
                <w:color w:val="000000"/>
              </w:rPr>
            </w:pPr>
            <w:r>
              <w:rPr>
                <w:rFonts w:ascii="Arial" w:eastAsia="Arial" w:hAnsi="Arial" w:cs="Arial"/>
                <w:color w:val="000000"/>
              </w:rPr>
              <w:t xml:space="preserve">Mitigation: ambitious, economy-wide carbon pricing and diversified low-carbon portfolio. </w:t>
            </w:r>
          </w:p>
          <w:p w14:paraId="2511BE6A" w14:textId="77777777" w:rsidR="00DE7051" w:rsidRDefault="00DE7051" w:rsidP="004250BA">
            <w:pPr>
              <w:jc w:val="left"/>
              <w:rPr>
                <w:rFonts w:ascii="Arial" w:eastAsia="Arial" w:hAnsi="Arial" w:cs="Arial"/>
                <w:color w:val="000000"/>
              </w:rPr>
            </w:pPr>
          </w:p>
          <w:p w14:paraId="34C29C22" w14:textId="77777777" w:rsidR="00DE7051" w:rsidRDefault="00DE7051" w:rsidP="004250BA">
            <w:pPr>
              <w:jc w:val="left"/>
              <w:rPr>
                <w:rFonts w:ascii="Arial" w:eastAsia="Arial" w:hAnsi="Arial" w:cs="Arial"/>
                <w:color w:val="000000"/>
              </w:rPr>
            </w:pPr>
            <w:r>
              <w:rPr>
                <w:rFonts w:ascii="Arial" w:eastAsia="Arial" w:hAnsi="Arial" w:cs="Arial"/>
                <w:color w:val="000000"/>
              </w:rPr>
              <w:t>Resilience: build adaptive institutions, system redundancy, and flexible infrastructure.</w:t>
            </w:r>
          </w:p>
        </w:tc>
        <w:tc>
          <w:tcPr>
            <w:tcW w:w="559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28ECA3F6" w14:textId="77777777" w:rsidR="00DE7051" w:rsidRDefault="00DE7051" w:rsidP="004250BA">
            <w:pPr>
              <w:jc w:val="left"/>
              <w:rPr>
                <w:rFonts w:ascii="Arial" w:eastAsia="Arial" w:hAnsi="Arial" w:cs="Arial"/>
                <w:color w:val="000000"/>
              </w:rPr>
            </w:pPr>
            <w:r>
              <w:rPr>
                <w:rFonts w:ascii="Arial" w:eastAsia="Arial" w:hAnsi="Arial" w:cs="Arial"/>
                <w:color w:val="000000"/>
              </w:rPr>
              <w:t>SSP1 supplies a sustainability-oriented baseline; additional levers must lift institutional adaptiveness and engineered redundancy beyond the SSP1 default to achieve high resilience.</w:t>
            </w:r>
          </w:p>
        </w:tc>
      </w:tr>
    </w:tbl>
    <w:p w14:paraId="4F23C7ED" w14:textId="77777777" w:rsidR="00DE7051" w:rsidRDefault="00DE7051" w:rsidP="00DE7051">
      <w:pPr>
        <w:spacing w:before="120" w:after="120"/>
        <w:jc w:val="left"/>
        <w:sectPr w:rsidR="00DE7051" w:rsidSect="00DE7051">
          <w:pgSz w:w="15840" w:h="12240" w:orient="landscape"/>
          <w:pgMar w:top="1440" w:right="1440" w:bottom="1440" w:left="1440" w:header="708" w:footer="708" w:gutter="0"/>
          <w:cols w:space="720"/>
        </w:sectPr>
      </w:pPr>
      <w:r>
        <w:rPr>
          <w:rFonts w:ascii="Arial" w:eastAsia="Arial" w:hAnsi="Arial" w:cs="Arial"/>
          <w:color w:val="000000"/>
          <w:sz w:val="24"/>
          <w:szCs w:val="24"/>
        </w:rPr>
        <w:t>See Table 2 for indicative parameter categories (e.g., carbon pricing, energy supply diversity, risk premiums) that can operationalise the qualitative modifications listed above.</w:t>
      </w:r>
    </w:p>
    <w:p w14:paraId="2AB9BA2C" w14:textId="77777777" w:rsidR="00DE7051" w:rsidRDefault="00DE7051" w:rsidP="00DE7051">
      <w:pPr>
        <w:pStyle w:val="Heading2"/>
      </w:pPr>
      <w:bookmarkStart w:id="2" w:name="_c6plkxxsxhfb" w:colFirst="0" w:colLast="0"/>
      <w:bookmarkEnd w:id="2"/>
      <w:r>
        <w:lastRenderedPageBreak/>
        <w:t>Additional Results - FRIDA</w:t>
      </w:r>
    </w:p>
    <w:p w14:paraId="3227F31E" w14:textId="77777777" w:rsidR="00DE7051" w:rsidRDefault="00DE7051" w:rsidP="00DE7051">
      <w:pPr>
        <w:pBdr>
          <w:top w:val="nil"/>
          <w:left w:val="nil"/>
          <w:bottom w:val="nil"/>
          <w:right w:val="nil"/>
          <w:between w:val="nil"/>
        </w:pBdr>
        <w:spacing w:before="120" w:after="120"/>
        <w:jc w:val="left"/>
        <w:rPr>
          <w:rFonts w:ascii="Arial" w:eastAsia="Arial" w:hAnsi="Arial" w:cs="Arial"/>
          <w:color w:val="000000"/>
          <w:sz w:val="24"/>
          <w:szCs w:val="24"/>
        </w:rPr>
      </w:pPr>
      <w:r>
        <w:rPr>
          <w:rFonts w:ascii="Arial" w:eastAsia="Arial" w:hAnsi="Arial" w:cs="Arial"/>
          <w:color w:val="000000"/>
          <w:sz w:val="24"/>
          <w:szCs w:val="24"/>
        </w:rPr>
        <w:t xml:space="preserve">Here we present additional results from the model FRIDA to illustrate the driving forces behind the uncertainties of its 1,000 ensemble members, as shown in Figure A.1 below. </w:t>
      </w:r>
    </w:p>
    <w:p w14:paraId="41A6842A" w14:textId="77777777" w:rsidR="00DE7051" w:rsidRDefault="00DE7051" w:rsidP="00DE7051">
      <w:pPr>
        <w:pBdr>
          <w:top w:val="nil"/>
          <w:left w:val="nil"/>
          <w:bottom w:val="nil"/>
          <w:right w:val="nil"/>
          <w:between w:val="nil"/>
        </w:pBdr>
        <w:spacing w:before="120" w:after="120"/>
        <w:jc w:val="left"/>
        <w:rPr>
          <w:rFonts w:ascii="Arial" w:eastAsia="Arial" w:hAnsi="Arial" w:cs="Arial"/>
          <w:color w:val="000000"/>
          <w:sz w:val="24"/>
          <w:szCs w:val="24"/>
        </w:rPr>
      </w:pPr>
      <w:r>
        <w:rPr>
          <w:rFonts w:ascii="Arial" w:eastAsia="Arial" w:hAnsi="Arial" w:cs="Arial"/>
          <w:color w:val="000000"/>
          <w:sz w:val="24"/>
          <w:szCs w:val="24"/>
        </w:rPr>
        <w:t>Changes in fossil capacity are minimal under D1 with narrow ranges, since their addition is constrained. Slight reductions are seen as plants are phased out, or rendered redundant by the rapid increases in renewable capacity. This renewable increase is dominated by wind power over solar in the median response, but with huge uncertainties on their relative contributions.</w:t>
      </w:r>
    </w:p>
    <w:p w14:paraId="2C2916ED" w14:textId="77777777" w:rsidR="00DE7051" w:rsidRDefault="00DE7051" w:rsidP="00DE7051">
      <w:pPr>
        <w:pBdr>
          <w:top w:val="nil"/>
          <w:left w:val="nil"/>
          <w:bottom w:val="nil"/>
          <w:right w:val="nil"/>
          <w:between w:val="nil"/>
        </w:pBdr>
        <w:spacing w:before="120" w:after="120"/>
        <w:jc w:val="left"/>
        <w:rPr>
          <w:rFonts w:ascii="Arial" w:eastAsia="Arial" w:hAnsi="Arial" w:cs="Arial"/>
          <w:color w:val="000000"/>
          <w:sz w:val="24"/>
          <w:szCs w:val="24"/>
        </w:rPr>
      </w:pPr>
      <w:r>
        <w:rPr>
          <w:rFonts w:ascii="Arial" w:eastAsia="Arial" w:hAnsi="Arial" w:cs="Arial"/>
          <w:color w:val="000000"/>
          <w:sz w:val="24"/>
          <w:szCs w:val="24"/>
        </w:rPr>
        <w:t>The uncertainty parameters most strongly correlated with the capacities of solar and wind power relative to the baseline scenario in 2050 under D1 are the sensitivity of their costs to grid storage needs (not shown). Each of the two source’s capacity is most strongly (negatively) correlated with their own cost sensitivity – i.e. with lower capacity for stronger cost increases – while they are positively correlated with the source’s cost sensitivity, indicating the competition between solar and wind in these ensembles. While these correlations are only around 0.1-0.2, the number of parameters is large (626).</w:t>
      </w:r>
    </w:p>
    <w:p w14:paraId="3F614981" w14:textId="77777777" w:rsidR="00DE7051" w:rsidRDefault="00DE7051" w:rsidP="00DE7051">
      <w:pPr>
        <w:pBdr>
          <w:top w:val="nil"/>
          <w:left w:val="nil"/>
          <w:bottom w:val="nil"/>
          <w:right w:val="nil"/>
          <w:between w:val="nil"/>
        </w:pBdr>
        <w:spacing w:before="120" w:after="120"/>
        <w:jc w:val="left"/>
        <w:rPr>
          <w:rFonts w:ascii="Arial" w:eastAsia="Arial" w:hAnsi="Arial" w:cs="Arial"/>
          <w:color w:val="000000"/>
          <w:sz w:val="24"/>
          <w:szCs w:val="24"/>
        </w:rPr>
      </w:pPr>
      <w:r>
        <w:rPr>
          <w:rFonts w:ascii="Arial" w:eastAsia="Arial" w:hAnsi="Arial" w:cs="Arial"/>
          <w:color w:val="000000"/>
          <w:sz w:val="24"/>
          <w:szCs w:val="24"/>
        </w:rPr>
        <w:t>All ensemble members see rising wind power in the near term, and in extreme cases, the learning-by-doing dynamic accelerates wind rollout at the expense of solar, with capacity doubling compared to the baseline in 2070. At the other end of the range, some members see wind capacity track back to under the baseline level by 2100, with solar instead increasing to meet demand. Biomass energy also increases robustly, with rising uncertainty throughout the period.</w:t>
      </w:r>
    </w:p>
    <w:p w14:paraId="124DB7AD" w14:textId="77777777" w:rsidR="00DE7051" w:rsidRDefault="00DE7051" w:rsidP="00DE7051">
      <w:pPr>
        <w:pBdr>
          <w:top w:val="nil"/>
          <w:left w:val="nil"/>
          <w:bottom w:val="nil"/>
          <w:right w:val="nil"/>
          <w:between w:val="nil"/>
        </w:pBdr>
        <w:spacing w:before="120" w:after="120"/>
        <w:jc w:val="left"/>
        <w:rPr>
          <w:rFonts w:ascii="Arial" w:eastAsia="Arial" w:hAnsi="Arial" w:cs="Arial"/>
          <w:color w:val="000000"/>
          <w:sz w:val="24"/>
          <w:szCs w:val="24"/>
        </w:rPr>
      </w:pPr>
      <w:r>
        <w:rPr>
          <w:rFonts w:ascii="Arial" w:eastAsia="Arial" w:hAnsi="Arial" w:cs="Arial"/>
          <w:color w:val="000000"/>
          <w:sz w:val="24"/>
          <w:szCs w:val="24"/>
        </w:rPr>
        <w:t>In the D4 scenario, total capacity is slightly higher than the baseline due to the higher energy needs, with a similar range, without the shock in the renewable sector seen in D1 due to the lack of limits on fossil capacity. At the technology level, however, there is uncertainty in the role of particularly coal towards the end of the scenario, and to a lesser extent gas. Coal and gas capacity in 2050 were found to be most correlated with their cost parameters, with the tendency of pollutant emissions per coal use to decrease over time also playing a role due to the effect on energy investment under future climate policy.</w:t>
      </w:r>
    </w:p>
    <w:p w14:paraId="4A8C2B35" w14:textId="77777777" w:rsidR="00DE7051" w:rsidRDefault="00DE7051" w:rsidP="00DE7051">
      <w:pPr>
        <w:spacing w:before="120" w:after="120"/>
        <w:jc w:val="left"/>
        <w:rPr>
          <w:rFonts w:ascii="Arial" w:eastAsia="Arial" w:hAnsi="Arial" w:cs="Arial"/>
          <w:color w:val="000000"/>
          <w:sz w:val="24"/>
          <w:szCs w:val="24"/>
        </w:rPr>
      </w:pPr>
    </w:p>
    <w:p w14:paraId="7E627567" w14:textId="77777777" w:rsidR="00DE7051" w:rsidRDefault="00DE7051" w:rsidP="00DE7051">
      <w:pPr>
        <w:spacing w:before="120" w:after="120"/>
        <w:jc w:val="left"/>
        <w:rPr>
          <w:rFonts w:ascii="Arial" w:eastAsia="Arial" w:hAnsi="Arial" w:cs="Arial"/>
          <w:color w:val="000000"/>
          <w:sz w:val="24"/>
          <w:szCs w:val="24"/>
        </w:rPr>
      </w:pPr>
    </w:p>
    <w:p w14:paraId="223EF8DD" w14:textId="77777777" w:rsidR="00DE7051" w:rsidRDefault="00DE7051" w:rsidP="00DE7051">
      <w:pPr>
        <w:spacing w:before="120" w:after="120"/>
        <w:jc w:val="left"/>
        <w:rPr>
          <w:rFonts w:ascii="Arial" w:eastAsia="Arial" w:hAnsi="Arial" w:cs="Arial"/>
          <w:color w:val="000000"/>
          <w:sz w:val="24"/>
          <w:szCs w:val="24"/>
        </w:rPr>
      </w:pPr>
    </w:p>
    <w:p w14:paraId="64DE0748" w14:textId="77777777" w:rsidR="00DE7051" w:rsidRDefault="00DE7051" w:rsidP="00DE7051">
      <w:pPr>
        <w:widowControl/>
        <w:jc w:val="left"/>
        <w:rPr>
          <w:rFonts w:ascii="Arial" w:eastAsia="Arial" w:hAnsi="Arial" w:cs="Arial"/>
          <w:color w:val="000000"/>
          <w:sz w:val="24"/>
          <w:szCs w:val="24"/>
        </w:rPr>
      </w:pPr>
    </w:p>
    <w:p w14:paraId="34CA3C8F" w14:textId="77777777" w:rsidR="00DE7051" w:rsidRDefault="00DE7051" w:rsidP="00DE7051">
      <w:pPr>
        <w:pStyle w:val="Heading1"/>
        <w:sectPr w:rsidR="00DE7051" w:rsidSect="00DE7051">
          <w:pgSz w:w="12240" w:h="15840"/>
          <w:pgMar w:top="1440" w:right="1440" w:bottom="1440" w:left="1440" w:header="708" w:footer="708" w:gutter="0"/>
          <w:cols w:space="720"/>
        </w:sectPr>
      </w:pPr>
      <w:bookmarkStart w:id="3" w:name="_y01mg2vk71i6" w:colFirst="0" w:colLast="0"/>
      <w:bookmarkEnd w:id="3"/>
    </w:p>
    <w:p w14:paraId="4D8206E6" w14:textId="77777777" w:rsidR="00DE7051" w:rsidRDefault="00DE7051" w:rsidP="00DE7051">
      <w:pPr>
        <w:pStyle w:val="Heading1"/>
        <w:sectPr w:rsidR="00DE7051" w:rsidSect="00DE7051">
          <w:pgSz w:w="15840" w:h="12240" w:orient="landscape"/>
          <w:pgMar w:top="1440" w:right="1440" w:bottom="1440" w:left="1440" w:header="708" w:footer="708" w:gutter="0"/>
          <w:cols w:space="720"/>
        </w:sectPr>
      </w:pPr>
      <w:bookmarkStart w:id="4" w:name="_z6dgv4lnpak0" w:colFirst="0" w:colLast="0"/>
      <w:bookmarkEnd w:id="4"/>
      <w:r>
        <w:rPr>
          <w:noProof/>
        </w:rPr>
        <w:lastRenderedPageBreak/>
        <w:drawing>
          <wp:inline distT="114300" distB="114300" distL="114300" distR="114300" wp14:anchorId="55E28C89" wp14:editId="6F3659A1">
            <wp:extent cx="8229600" cy="57531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a:stretch>
                      <a:fillRect/>
                    </a:stretch>
                  </pic:blipFill>
                  <pic:spPr>
                    <a:xfrm>
                      <a:off x="0" y="0"/>
                      <a:ext cx="8229600" cy="5753100"/>
                    </a:xfrm>
                    <a:prstGeom prst="rect">
                      <a:avLst/>
                    </a:prstGeom>
                    <a:ln/>
                  </pic:spPr>
                </pic:pic>
              </a:graphicData>
            </a:graphic>
          </wp:inline>
        </w:drawing>
      </w:r>
      <w:r>
        <w:br w:type="page"/>
      </w:r>
    </w:p>
    <w:p w14:paraId="104F944D" w14:textId="77777777" w:rsidR="00DE7051" w:rsidRDefault="00DE7051" w:rsidP="00DE7051">
      <w:pPr>
        <w:spacing w:before="120" w:after="120"/>
        <w:jc w:val="left"/>
        <w:rPr>
          <w:rFonts w:ascii="Arial" w:eastAsia="Arial" w:hAnsi="Arial" w:cs="Arial"/>
          <w:color w:val="000000"/>
          <w:sz w:val="24"/>
          <w:szCs w:val="24"/>
        </w:rPr>
      </w:pPr>
      <w:r>
        <w:rPr>
          <w:rFonts w:ascii="Arial" w:eastAsia="Arial" w:hAnsi="Arial" w:cs="Arial"/>
          <w:b/>
          <w:color w:val="000000"/>
          <w:sz w:val="24"/>
          <w:szCs w:val="24"/>
        </w:rPr>
        <w:lastRenderedPageBreak/>
        <w:t>Figure A.1: Energy system responses to intensifying heatwaves and droughts across DERP narratives - FRIDA 2.1 ensemble members</w:t>
      </w:r>
    </w:p>
    <w:p w14:paraId="57F91348" w14:textId="77777777" w:rsidR="00DE7051" w:rsidRDefault="00DE7051" w:rsidP="00DE7051">
      <w:pPr>
        <w:spacing w:before="120" w:after="120"/>
        <w:jc w:val="left"/>
        <w:rPr>
          <w:rFonts w:ascii="Arial" w:eastAsia="Arial" w:hAnsi="Arial" w:cs="Arial"/>
          <w:color w:val="000000"/>
          <w:sz w:val="24"/>
          <w:szCs w:val="24"/>
        </w:rPr>
      </w:pPr>
      <w:r>
        <w:rPr>
          <w:rFonts w:ascii="Arial" w:eastAsia="Arial" w:hAnsi="Arial" w:cs="Arial"/>
          <w:color w:val="000000"/>
          <w:sz w:val="24"/>
          <w:szCs w:val="24"/>
        </w:rPr>
        <w:t xml:space="preserve">Panel a (top row) shows Total Electricity Capacity (TW) trajectories from 2025-2100 for FRIDAv2.1, 5th to 95th percentile, with medians as dotted lines. Panel b (bottom row) Percentage changes in Electricity Capacity by Technology Compared to Current Trends (2040, 2070, and 2100) displayed as polar charts where the 0% solid circles in the middle represent Current Trends, ranges shown with plus sign for medians. </w:t>
      </w:r>
    </w:p>
    <w:p w14:paraId="09658BAC" w14:textId="77777777" w:rsidR="00DE7051" w:rsidRDefault="00DE7051" w:rsidP="00DE7051">
      <w:pPr>
        <w:spacing w:before="120" w:after="120"/>
        <w:jc w:val="left"/>
        <w:rPr>
          <w:rFonts w:ascii="Arial" w:eastAsia="Arial" w:hAnsi="Arial" w:cs="Arial"/>
          <w:color w:val="000000"/>
          <w:sz w:val="24"/>
          <w:szCs w:val="24"/>
        </w:rPr>
      </w:pPr>
    </w:p>
    <w:p w14:paraId="17AC0926" w14:textId="77777777" w:rsidR="00DE7051" w:rsidRDefault="00DE7051" w:rsidP="00DE7051">
      <w:pPr>
        <w:pStyle w:val="Heading1"/>
      </w:pPr>
      <w:bookmarkStart w:id="5" w:name="_gqblna7sdo1h" w:colFirst="0" w:colLast="0"/>
      <w:bookmarkEnd w:id="5"/>
      <w:r>
        <w:t>Supplementary Material</w:t>
      </w:r>
    </w:p>
    <w:p w14:paraId="3DE7AB1B" w14:textId="77777777" w:rsidR="00DE7051" w:rsidRDefault="00DE7051" w:rsidP="00DE7051">
      <w:pPr>
        <w:spacing w:before="120" w:after="120"/>
        <w:jc w:val="left"/>
        <w:rPr>
          <w:rFonts w:ascii="Arial" w:eastAsia="Arial" w:hAnsi="Arial" w:cs="Arial"/>
          <w:color w:val="000000"/>
          <w:sz w:val="24"/>
          <w:szCs w:val="24"/>
        </w:rPr>
      </w:pPr>
      <w:r>
        <w:rPr>
          <w:rFonts w:ascii="Arial" w:eastAsia="Arial" w:hAnsi="Arial" w:cs="Arial"/>
          <w:color w:val="000000"/>
          <w:sz w:val="24"/>
          <w:szCs w:val="24"/>
        </w:rPr>
        <w:t>Table SM.1 (Capacity factors).</w:t>
      </w:r>
    </w:p>
    <w:p w14:paraId="7B9BFC67" w14:textId="77777777" w:rsidR="00DE7051" w:rsidRDefault="00DE7051" w:rsidP="00DE7051">
      <w:pPr>
        <w:spacing w:before="120" w:after="120"/>
        <w:jc w:val="left"/>
        <w:rPr>
          <w:rFonts w:ascii="Arial" w:eastAsia="Arial" w:hAnsi="Arial" w:cs="Arial"/>
          <w:color w:val="000000"/>
          <w:sz w:val="24"/>
          <w:szCs w:val="24"/>
        </w:rPr>
      </w:pPr>
      <w:r>
        <w:rPr>
          <w:rFonts w:ascii="Arial" w:eastAsia="Arial" w:hAnsi="Arial" w:cs="Arial"/>
          <w:color w:val="000000"/>
          <w:sz w:val="24"/>
          <w:szCs w:val="24"/>
        </w:rPr>
        <w:t>Table SM.2 (Cooling demand).</w:t>
      </w:r>
    </w:p>
    <w:p w14:paraId="2A2EF434" w14:textId="77777777" w:rsidR="00DE7051" w:rsidRDefault="00DE7051" w:rsidP="00DE7051">
      <w:pPr>
        <w:widowControl/>
        <w:jc w:val="left"/>
        <w:rPr>
          <w:rFonts w:ascii="Arial" w:eastAsia="Arial" w:hAnsi="Arial" w:cs="Arial"/>
          <w:color w:val="000000"/>
          <w:sz w:val="24"/>
          <w:szCs w:val="24"/>
        </w:rPr>
      </w:pPr>
    </w:p>
    <w:p w14:paraId="665B413C" w14:textId="77777777" w:rsidR="00DE7051" w:rsidRDefault="00DE7051" w:rsidP="00DE7051">
      <w:pPr>
        <w:widowControl/>
        <w:jc w:val="left"/>
        <w:rPr>
          <w:rFonts w:ascii="Arial" w:eastAsia="Arial" w:hAnsi="Arial" w:cs="Arial"/>
          <w:color w:val="000000"/>
          <w:sz w:val="24"/>
          <w:szCs w:val="24"/>
        </w:rPr>
      </w:pPr>
    </w:p>
    <w:p w14:paraId="2B8D1095"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Play">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051"/>
    <w:rsid w:val="00011C58"/>
    <w:rsid w:val="0006021D"/>
    <w:rsid w:val="00331A6B"/>
    <w:rsid w:val="003B6CD4"/>
    <w:rsid w:val="00755780"/>
    <w:rsid w:val="00857596"/>
    <w:rsid w:val="00C025DD"/>
    <w:rsid w:val="00DE7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08D05"/>
  <w15:chartTrackingRefBased/>
  <w15:docId w15:val="{CDCB48C0-EA5E-4B26-B694-28983D1A4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051"/>
    <w:pPr>
      <w:widowControl w:val="0"/>
      <w:spacing w:after="0" w:line="276" w:lineRule="auto"/>
      <w:jc w:val="both"/>
    </w:pPr>
    <w:rPr>
      <w:rFonts w:ascii="Tahoma" w:eastAsia="Tahoma" w:hAnsi="Tahoma" w:cs="Tahoma"/>
      <w:color w:val="404141"/>
      <w:kern w:val="0"/>
      <w:sz w:val="20"/>
      <w:szCs w:val="20"/>
      <w:lang w:val="en-GB"/>
      <w14:ligatures w14:val="none"/>
    </w:rPr>
  </w:style>
  <w:style w:type="paragraph" w:styleId="Heading1">
    <w:name w:val="heading 1"/>
    <w:basedOn w:val="Normal"/>
    <w:next w:val="Normal"/>
    <w:link w:val="Heading1Char"/>
    <w:uiPriority w:val="9"/>
    <w:qFormat/>
    <w:rsid w:val="00DE7051"/>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DE7051"/>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E7051"/>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E7051"/>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E7051"/>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E7051"/>
    <w:pPr>
      <w:keepNext/>
      <w:keepLines/>
      <w:widowControl/>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E7051"/>
    <w:pPr>
      <w:keepNext/>
      <w:keepLines/>
      <w:widowControl/>
      <w:spacing w:before="40" w:line="278" w:lineRule="auto"/>
      <w:jc w:val="left"/>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E7051"/>
    <w:pPr>
      <w:keepNext/>
      <w:keepLines/>
      <w:widowControl/>
      <w:spacing w:line="278" w:lineRule="auto"/>
      <w:jc w:val="left"/>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E7051"/>
    <w:pPr>
      <w:keepNext/>
      <w:keepLines/>
      <w:widowControl/>
      <w:spacing w:line="278" w:lineRule="auto"/>
      <w:jc w:val="left"/>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0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E70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0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0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0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0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0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0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051"/>
    <w:rPr>
      <w:rFonts w:eastAsiaTheme="majorEastAsia" w:cstheme="majorBidi"/>
      <w:color w:val="272727" w:themeColor="text1" w:themeTint="D8"/>
    </w:rPr>
  </w:style>
  <w:style w:type="paragraph" w:styleId="Title">
    <w:name w:val="Title"/>
    <w:basedOn w:val="Normal"/>
    <w:next w:val="Normal"/>
    <w:link w:val="TitleChar"/>
    <w:uiPriority w:val="10"/>
    <w:qFormat/>
    <w:rsid w:val="00DE7051"/>
    <w:pPr>
      <w:widowControl/>
      <w:spacing w:after="80" w:line="240" w:lineRule="auto"/>
      <w:contextualSpacing/>
      <w:jc w:val="left"/>
    </w:pPr>
    <w:rPr>
      <w:rFonts w:asciiTheme="majorHAnsi" w:eastAsiaTheme="majorEastAsia" w:hAnsiTheme="majorHAnsi" w:cstheme="majorBidi"/>
      <w:color w:val="auto"/>
      <w:spacing w:val="-10"/>
      <w:kern w:val="28"/>
      <w:sz w:val="56"/>
      <w:szCs w:val="56"/>
      <w:lang w:val="en-US"/>
      <w14:ligatures w14:val="standardContextual"/>
    </w:rPr>
  </w:style>
  <w:style w:type="character" w:customStyle="1" w:styleId="TitleChar">
    <w:name w:val="Title Char"/>
    <w:basedOn w:val="DefaultParagraphFont"/>
    <w:link w:val="Title"/>
    <w:uiPriority w:val="10"/>
    <w:rsid w:val="00DE70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051"/>
    <w:pPr>
      <w:widowControl/>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E70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051"/>
    <w:pPr>
      <w:widowControl/>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E7051"/>
    <w:rPr>
      <w:i/>
      <w:iCs/>
      <w:color w:val="404040" w:themeColor="text1" w:themeTint="BF"/>
    </w:rPr>
  </w:style>
  <w:style w:type="paragraph" w:styleId="ListParagraph">
    <w:name w:val="List Paragraph"/>
    <w:basedOn w:val="Normal"/>
    <w:uiPriority w:val="34"/>
    <w:qFormat/>
    <w:rsid w:val="00DE7051"/>
    <w:pPr>
      <w:widowControl/>
      <w:spacing w:after="160" w:line="278" w:lineRule="auto"/>
      <w:ind w:left="720"/>
      <w:contextualSpacing/>
      <w:jc w:val="left"/>
    </w:pPr>
    <w:rPr>
      <w:rFonts w:asciiTheme="minorHAnsi" w:eastAsiaTheme="minorHAnsi" w:hAnsiTheme="minorHAnsi" w:cstheme="minorBidi"/>
      <w:color w:val="auto"/>
      <w:kern w:val="2"/>
      <w:sz w:val="24"/>
      <w:szCs w:val="24"/>
      <w:lang w:val="en-US"/>
      <w14:ligatures w14:val="standardContextual"/>
    </w:rPr>
  </w:style>
  <w:style w:type="character" w:styleId="IntenseEmphasis">
    <w:name w:val="Intense Emphasis"/>
    <w:basedOn w:val="DefaultParagraphFont"/>
    <w:uiPriority w:val="21"/>
    <w:qFormat/>
    <w:rsid w:val="00DE7051"/>
    <w:rPr>
      <w:i/>
      <w:iCs/>
      <w:color w:val="0F4761" w:themeColor="accent1" w:themeShade="BF"/>
    </w:rPr>
  </w:style>
  <w:style w:type="paragraph" w:styleId="IntenseQuote">
    <w:name w:val="Intense Quote"/>
    <w:basedOn w:val="Normal"/>
    <w:next w:val="Normal"/>
    <w:link w:val="IntenseQuoteChar"/>
    <w:uiPriority w:val="30"/>
    <w:qFormat/>
    <w:rsid w:val="00DE7051"/>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E7051"/>
    <w:rPr>
      <w:i/>
      <w:iCs/>
      <w:color w:val="0F4761" w:themeColor="accent1" w:themeShade="BF"/>
    </w:rPr>
  </w:style>
  <w:style w:type="character" w:styleId="IntenseReference">
    <w:name w:val="Intense Reference"/>
    <w:basedOn w:val="DefaultParagraphFont"/>
    <w:uiPriority w:val="32"/>
    <w:qFormat/>
    <w:rsid w:val="00DE70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930</Words>
  <Characters>5306</Characters>
  <Application>Microsoft Office Word</Application>
  <DocSecurity>0</DocSecurity>
  <Lines>44</Lines>
  <Paragraphs>12</Paragraphs>
  <ScaleCrop>false</ScaleCrop>
  <Company>Springer Nature</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2025-08-29T05:46:00Z</dcterms:created>
  <dcterms:modified xsi:type="dcterms:W3CDTF">2025-08-29T05:46:00Z</dcterms:modified>
</cp:coreProperties>
</file>