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529B" w14:textId="77777777" w:rsidR="00807734" w:rsidRPr="00B17C9A" w:rsidRDefault="00807734" w:rsidP="00807734">
      <w:pPr>
        <w:spacing w:after="160" w:line="360" w:lineRule="auto"/>
        <w:jc w:val="both"/>
        <w:rPr>
          <w:rFonts w:ascii="Arial" w:eastAsia="Times New Roman" w:hAnsi="Arial" w:cs="Arial"/>
          <w:color w:val="000000"/>
          <w:lang w:val="en-US" w:eastAsia="pt-BR"/>
        </w:rPr>
      </w:pPr>
      <w:bookmarkStart w:id="0" w:name="_Hlk192249035"/>
      <w:r w:rsidRPr="00B17C9A">
        <w:rPr>
          <w:rFonts w:ascii="Arial" w:eastAsia="Times New Roman" w:hAnsi="Arial" w:cs="Arial"/>
          <w:lang w:val="en-US" w:eastAsia="pt-BR"/>
        </w:rPr>
        <w:t xml:space="preserve">Table S3. Incidence rate and </w:t>
      </w:r>
      <w:r w:rsidRPr="00B17C9A">
        <w:rPr>
          <w:rFonts w:ascii="Arial" w:eastAsia="Times New Roman" w:hAnsi="Arial" w:cs="Arial"/>
          <w:color w:val="000000"/>
          <w:lang w:val="en-US" w:eastAsia="pt-BR"/>
        </w:rPr>
        <w:t>causes of Deltamethrin-impregnated collar loss among the 547 dogs followed at the first 6 months*  among dogs monitored over a six-month period.</w:t>
      </w:r>
    </w:p>
    <w:tbl>
      <w:tblPr>
        <w:tblpPr w:leftFromText="180" w:rightFromText="180" w:bottomFromText="160" w:vertAnchor="page" w:horzAnchor="margin" w:tblpY="3195"/>
        <w:tblW w:w="8820" w:type="dxa"/>
        <w:tblCellMar>
          <w:left w:w="70" w:type="dxa"/>
          <w:right w:w="70" w:type="dxa"/>
        </w:tblCellMar>
        <w:tblLook w:val="04A0" w:firstRow="1" w:lastRow="0" w:firstColumn="1" w:lastColumn="0" w:noHBand="0" w:noVBand="1"/>
      </w:tblPr>
      <w:tblGrid>
        <w:gridCol w:w="2977"/>
        <w:gridCol w:w="5843"/>
      </w:tblGrid>
      <w:tr w:rsidR="00807734" w:rsidRPr="000B2144" w14:paraId="0B6210DA" w14:textId="77777777" w:rsidTr="00FB2E89">
        <w:trPr>
          <w:trHeight w:val="738"/>
        </w:trPr>
        <w:tc>
          <w:tcPr>
            <w:tcW w:w="2977" w:type="dxa"/>
            <w:tcBorders>
              <w:top w:val="single" w:sz="8" w:space="0" w:color="auto"/>
              <w:left w:val="nil"/>
              <w:bottom w:val="single" w:sz="8" w:space="0" w:color="auto"/>
              <w:right w:val="nil"/>
            </w:tcBorders>
            <w:vAlign w:val="center"/>
            <w:hideMark/>
          </w:tcPr>
          <w:p w14:paraId="2652C5F3" w14:textId="77777777" w:rsidR="00807734" w:rsidRPr="000B2144" w:rsidRDefault="00807734" w:rsidP="00FB2E89">
            <w:pPr>
              <w:spacing w:after="160" w:line="256" w:lineRule="auto"/>
              <w:rPr>
                <w:rFonts w:ascii="Arial" w:eastAsia="Times New Roman" w:hAnsi="Arial" w:cs="Arial"/>
                <w:color w:val="000000"/>
                <w:lang w:val="en-US" w:eastAsia="pt-BR"/>
              </w:rPr>
            </w:pPr>
            <w:r w:rsidRPr="000B2144">
              <w:rPr>
                <w:rFonts w:ascii="Arial" w:eastAsia="Times New Roman" w:hAnsi="Arial" w:cs="Arial"/>
                <w:color w:val="000000"/>
                <w:lang w:val="en-US" w:eastAsia="pt-BR"/>
              </w:rPr>
              <w:t>Cause of loss of collars</w:t>
            </w:r>
          </w:p>
        </w:tc>
        <w:tc>
          <w:tcPr>
            <w:tcW w:w="5843" w:type="dxa"/>
            <w:tcBorders>
              <w:top w:val="single" w:sz="8" w:space="0" w:color="auto"/>
              <w:left w:val="nil"/>
              <w:bottom w:val="single" w:sz="8" w:space="0" w:color="auto"/>
              <w:right w:val="nil"/>
            </w:tcBorders>
            <w:vAlign w:val="center"/>
            <w:hideMark/>
          </w:tcPr>
          <w:p w14:paraId="5080B340" w14:textId="77777777" w:rsidR="00807734" w:rsidRPr="000B2144" w:rsidRDefault="00807734" w:rsidP="00FB2E89">
            <w:pPr>
              <w:spacing w:after="160" w:line="256" w:lineRule="auto"/>
              <w:jc w:val="center"/>
              <w:rPr>
                <w:rFonts w:ascii="Arial" w:eastAsia="Times New Roman" w:hAnsi="Arial" w:cs="Arial"/>
                <w:color w:val="000000"/>
                <w:lang w:val="en-US" w:eastAsia="pt-BR"/>
              </w:rPr>
            </w:pPr>
            <w:r w:rsidRPr="000B2144">
              <w:rPr>
                <w:rFonts w:ascii="Arial" w:eastAsia="Times New Roman" w:hAnsi="Arial" w:cs="Arial"/>
                <w:color w:val="000000"/>
                <w:lang w:val="en-US" w:eastAsia="pt-BR"/>
              </w:rPr>
              <w:t xml:space="preserve">Loss of collars </w:t>
            </w:r>
          </w:p>
          <w:p w14:paraId="74696C06" w14:textId="77777777" w:rsidR="00807734" w:rsidRPr="000B2144" w:rsidRDefault="00807734" w:rsidP="00FB2E89">
            <w:pPr>
              <w:spacing w:after="160" w:line="256" w:lineRule="auto"/>
              <w:jc w:val="center"/>
              <w:rPr>
                <w:rFonts w:ascii="Arial" w:eastAsia="Times New Roman" w:hAnsi="Arial" w:cs="Arial"/>
                <w:color w:val="000000"/>
                <w:lang w:val="en-US" w:eastAsia="pt-BR"/>
              </w:rPr>
            </w:pPr>
            <w:r w:rsidRPr="000B2144">
              <w:rPr>
                <w:rFonts w:ascii="Arial" w:eastAsia="Times New Roman" w:hAnsi="Arial" w:cs="Arial"/>
                <w:color w:val="000000"/>
                <w:lang w:val="en-US" w:eastAsia="pt-BR"/>
              </w:rPr>
              <w:t>222 (40.6%) of 547 (100%)</w:t>
            </w:r>
          </w:p>
        </w:tc>
      </w:tr>
      <w:tr w:rsidR="00807734" w:rsidRPr="000B2144" w14:paraId="133F91F6" w14:textId="77777777" w:rsidTr="00FB2E89">
        <w:trPr>
          <w:trHeight w:val="244"/>
        </w:trPr>
        <w:tc>
          <w:tcPr>
            <w:tcW w:w="2977" w:type="dxa"/>
            <w:tcBorders>
              <w:top w:val="nil"/>
              <w:left w:val="nil"/>
              <w:bottom w:val="nil"/>
              <w:right w:val="nil"/>
            </w:tcBorders>
            <w:noWrap/>
            <w:vAlign w:val="center"/>
            <w:hideMark/>
          </w:tcPr>
          <w:p w14:paraId="4C2D399C" w14:textId="77777777" w:rsidR="00807734" w:rsidRPr="000B2144" w:rsidRDefault="00807734" w:rsidP="00FB2E89">
            <w:pPr>
              <w:spacing w:after="160" w:line="256" w:lineRule="auto"/>
              <w:rPr>
                <w:rFonts w:ascii="Arial" w:eastAsia="Times New Roman" w:hAnsi="Arial" w:cs="Arial"/>
                <w:color w:val="000000"/>
                <w:lang w:val="en-US" w:eastAsia="pt-BR"/>
              </w:rPr>
            </w:pPr>
            <w:r w:rsidRPr="000B2144">
              <w:rPr>
                <w:rFonts w:ascii="Arial" w:eastAsia="Times New Roman" w:hAnsi="Arial" w:cs="Arial"/>
                <w:color w:val="000000"/>
                <w:lang w:val="en-US" w:eastAsia="pt-BR"/>
              </w:rPr>
              <w:t>Adverse reactions**</w:t>
            </w:r>
          </w:p>
        </w:tc>
        <w:tc>
          <w:tcPr>
            <w:tcW w:w="5843" w:type="dxa"/>
            <w:tcBorders>
              <w:top w:val="nil"/>
              <w:left w:val="nil"/>
              <w:bottom w:val="nil"/>
              <w:right w:val="nil"/>
            </w:tcBorders>
            <w:noWrap/>
            <w:vAlign w:val="center"/>
            <w:hideMark/>
          </w:tcPr>
          <w:p w14:paraId="7E07FB45" w14:textId="77777777" w:rsidR="00807734" w:rsidRPr="000B2144" w:rsidRDefault="00807734" w:rsidP="00FB2E89">
            <w:pPr>
              <w:spacing w:after="160" w:line="256" w:lineRule="auto"/>
              <w:jc w:val="center"/>
              <w:rPr>
                <w:rFonts w:ascii="Arial" w:eastAsia="Times New Roman" w:hAnsi="Arial" w:cs="Arial"/>
                <w:color w:val="000000"/>
                <w:lang w:val="en-US" w:eastAsia="pt-BR"/>
              </w:rPr>
            </w:pPr>
            <w:r w:rsidRPr="000B2144">
              <w:rPr>
                <w:rFonts w:ascii="Arial" w:eastAsia="Times New Roman" w:hAnsi="Arial" w:cs="Arial"/>
                <w:color w:val="000000"/>
                <w:lang w:val="en-US" w:eastAsia="pt-BR"/>
              </w:rPr>
              <w:t>21 (9.4)</w:t>
            </w:r>
          </w:p>
        </w:tc>
      </w:tr>
      <w:tr w:rsidR="00807734" w:rsidRPr="000B2144" w14:paraId="2EF70C79" w14:textId="77777777" w:rsidTr="00FB2E89">
        <w:trPr>
          <w:trHeight w:val="244"/>
        </w:trPr>
        <w:tc>
          <w:tcPr>
            <w:tcW w:w="2977" w:type="dxa"/>
            <w:tcBorders>
              <w:top w:val="nil"/>
              <w:left w:val="nil"/>
              <w:bottom w:val="nil"/>
              <w:right w:val="nil"/>
            </w:tcBorders>
            <w:noWrap/>
            <w:vAlign w:val="center"/>
            <w:hideMark/>
          </w:tcPr>
          <w:p w14:paraId="08CF42A4" w14:textId="77777777" w:rsidR="00807734" w:rsidRPr="000B2144" w:rsidRDefault="00807734" w:rsidP="00FB2E89">
            <w:pPr>
              <w:spacing w:after="160" w:line="256" w:lineRule="auto"/>
              <w:rPr>
                <w:rFonts w:ascii="Arial" w:eastAsia="Times New Roman" w:hAnsi="Arial" w:cs="Arial"/>
                <w:color w:val="000000"/>
                <w:lang w:val="en-US" w:eastAsia="pt-BR"/>
              </w:rPr>
            </w:pPr>
            <w:r w:rsidRPr="000B2144">
              <w:rPr>
                <w:rFonts w:ascii="Arial" w:eastAsia="Times New Roman" w:hAnsi="Arial" w:cs="Arial"/>
                <w:color w:val="000000"/>
                <w:lang w:val="en-US" w:eastAsia="pt-BR"/>
              </w:rPr>
              <w:t>Lost during dog play or fighting</w:t>
            </w:r>
          </w:p>
        </w:tc>
        <w:tc>
          <w:tcPr>
            <w:tcW w:w="5843" w:type="dxa"/>
            <w:tcBorders>
              <w:top w:val="nil"/>
              <w:left w:val="nil"/>
              <w:bottom w:val="nil"/>
              <w:right w:val="nil"/>
            </w:tcBorders>
            <w:noWrap/>
            <w:vAlign w:val="center"/>
            <w:hideMark/>
          </w:tcPr>
          <w:p w14:paraId="123C50DE" w14:textId="77777777" w:rsidR="00807734" w:rsidRPr="000B2144" w:rsidRDefault="00807734" w:rsidP="00FB2E89">
            <w:pPr>
              <w:spacing w:after="160" w:line="256" w:lineRule="auto"/>
              <w:jc w:val="center"/>
              <w:rPr>
                <w:rFonts w:ascii="Arial" w:eastAsia="Times New Roman" w:hAnsi="Arial" w:cs="Arial"/>
                <w:color w:val="000000"/>
                <w:lang w:val="en-US" w:eastAsia="pt-BR"/>
              </w:rPr>
            </w:pPr>
            <w:r w:rsidRPr="000B2144">
              <w:rPr>
                <w:rFonts w:ascii="Arial" w:eastAsia="Times New Roman" w:hAnsi="Arial" w:cs="Arial"/>
                <w:color w:val="000000"/>
                <w:lang w:val="en-US" w:eastAsia="pt-BR"/>
              </w:rPr>
              <w:t>88 (39.6)</w:t>
            </w:r>
          </w:p>
        </w:tc>
      </w:tr>
      <w:tr w:rsidR="00807734" w:rsidRPr="000B2144" w14:paraId="31038FFD" w14:textId="77777777" w:rsidTr="00FB2E89">
        <w:trPr>
          <w:trHeight w:val="244"/>
        </w:trPr>
        <w:tc>
          <w:tcPr>
            <w:tcW w:w="2977" w:type="dxa"/>
            <w:tcBorders>
              <w:top w:val="nil"/>
              <w:left w:val="nil"/>
              <w:bottom w:val="nil"/>
              <w:right w:val="nil"/>
            </w:tcBorders>
            <w:noWrap/>
            <w:vAlign w:val="center"/>
            <w:hideMark/>
          </w:tcPr>
          <w:p w14:paraId="56A63DCB" w14:textId="77777777" w:rsidR="00807734" w:rsidRPr="000B2144" w:rsidRDefault="00807734" w:rsidP="00FB2E89">
            <w:pPr>
              <w:spacing w:after="160" w:line="256" w:lineRule="auto"/>
              <w:rPr>
                <w:rFonts w:ascii="Arial" w:eastAsia="Times New Roman" w:hAnsi="Arial" w:cs="Arial"/>
                <w:color w:val="000000"/>
                <w:lang w:val="en-US" w:eastAsia="pt-BR"/>
              </w:rPr>
            </w:pPr>
            <w:r w:rsidRPr="000B2144">
              <w:rPr>
                <w:rFonts w:ascii="Arial" w:eastAsia="Times New Roman" w:hAnsi="Arial" w:cs="Arial"/>
                <w:color w:val="000000"/>
                <w:lang w:val="en-US" w:eastAsia="pt-BR"/>
              </w:rPr>
              <w:t>Owner's decision</w:t>
            </w:r>
          </w:p>
        </w:tc>
        <w:tc>
          <w:tcPr>
            <w:tcW w:w="5843" w:type="dxa"/>
            <w:tcBorders>
              <w:top w:val="nil"/>
              <w:left w:val="nil"/>
              <w:bottom w:val="nil"/>
              <w:right w:val="nil"/>
            </w:tcBorders>
            <w:noWrap/>
            <w:vAlign w:val="center"/>
            <w:hideMark/>
          </w:tcPr>
          <w:p w14:paraId="429D8BA8" w14:textId="77777777" w:rsidR="00807734" w:rsidRPr="000B2144" w:rsidRDefault="00807734" w:rsidP="00FB2E89">
            <w:pPr>
              <w:spacing w:after="160" w:line="256" w:lineRule="auto"/>
              <w:jc w:val="center"/>
              <w:rPr>
                <w:rFonts w:ascii="Arial" w:eastAsia="Times New Roman" w:hAnsi="Arial" w:cs="Arial"/>
                <w:color w:val="000000"/>
                <w:lang w:val="en-US" w:eastAsia="pt-BR"/>
              </w:rPr>
            </w:pPr>
            <w:r w:rsidRPr="000B2144">
              <w:rPr>
                <w:rFonts w:ascii="Arial" w:eastAsia="Times New Roman" w:hAnsi="Arial" w:cs="Arial"/>
                <w:color w:val="000000"/>
                <w:lang w:val="en-US" w:eastAsia="pt-BR"/>
              </w:rPr>
              <w:t>26 (11.7)</w:t>
            </w:r>
          </w:p>
        </w:tc>
      </w:tr>
      <w:tr w:rsidR="00807734" w:rsidRPr="000B2144" w14:paraId="13E05C55" w14:textId="77777777" w:rsidTr="00FB2E89">
        <w:trPr>
          <w:trHeight w:val="244"/>
        </w:trPr>
        <w:tc>
          <w:tcPr>
            <w:tcW w:w="2977" w:type="dxa"/>
            <w:tcBorders>
              <w:top w:val="nil"/>
              <w:left w:val="nil"/>
              <w:bottom w:val="nil"/>
              <w:right w:val="nil"/>
            </w:tcBorders>
            <w:noWrap/>
            <w:vAlign w:val="center"/>
            <w:hideMark/>
          </w:tcPr>
          <w:p w14:paraId="70B79C39" w14:textId="77777777" w:rsidR="00807734" w:rsidRPr="000B2144" w:rsidRDefault="00807734" w:rsidP="00FB2E89">
            <w:pPr>
              <w:spacing w:after="160" w:line="256" w:lineRule="auto"/>
              <w:rPr>
                <w:rFonts w:ascii="Arial" w:eastAsia="Times New Roman" w:hAnsi="Arial" w:cs="Arial"/>
                <w:color w:val="000000"/>
                <w:lang w:val="en-US" w:eastAsia="pt-BR"/>
              </w:rPr>
            </w:pPr>
            <w:r w:rsidRPr="000B2144">
              <w:rPr>
                <w:rFonts w:ascii="Arial" w:eastAsia="Times New Roman" w:hAnsi="Arial" w:cs="Arial"/>
                <w:color w:val="000000"/>
                <w:lang w:val="en-US" w:eastAsia="pt-BR"/>
              </w:rPr>
              <w:t>Other causes</w:t>
            </w:r>
          </w:p>
        </w:tc>
        <w:tc>
          <w:tcPr>
            <w:tcW w:w="5843" w:type="dxa"/>
            <w:tcBorders>
              <w:top w:val="nil"/>
              <w:left w:val="nil"/>
              <w:bottom w:val="nil"/>
              <w:right w:val="nil"/>
            </w:tcBorders>
            <w:noWrap/>
            <w:vAlign w:val="center"/>
            <w:hideMark/>
          </w:tcPr>
          <w:p w14:paraId="4EF12334" w14:textId="77777777" w:rsidR="00807734" w:rsidRPr="000B2144" w:rsidRDefault="00807734" w:rsidP="00FB2E89">
            <w:pPr>
              <w:spacing w:after="160" w:line="256" w:lineRule="auto"/>
              <w:jc w:val="center"/>
              <w:rPr>
                <w:rFonts w:ascii="Arial" w:eastAsia="Times New Roman" w:hAnsi="Arial" w:cs="Arial"/>
                <w:color w:val="000000"/>
                <w:lang w:val="en-US" w:eastAsia="pt-BR"/>
              </w:rPr>
            </w:pPr>
            <w:r w:rsidRPr="000B2144">
              <w:rPr>
                <w:rFonts w:ascii="Arial" w:eastAsia="Times New Roman" w:hAnsi="Arial" w:cs="Arial"/>
                <w:color w:val="000000"/>
                <w:lang w:val="en-US" w:eastAsia="pt-BR"/>
              </w:rPr>
              <w:t>7 (3.1)</w:t>
            </w:r>
          </w:p>
        </w:tc>
      </w:tr>
      <w:tr w:rsidR="00807734" w:rsidRPr="000B2144" w14:paraId="7ABC9FDF" w14:textId="77777777" w:rsidTr="00FB2E89">
        <w:trPr>
          <w:trHeight w:val="256"/>
        </w:trPr>
        <w:tc>
          <w:tcPr>
            <w:tcW w:w="2977" w:type="dxa"/>
            <w:tcBorders>
              <w:top w:val="nil"/>
              <w:left w:val="nil"/>
              <w:bottom w:val="single" w:sz="8" w:space="0" w:color="auto"/>
              <w:right w:val="nil"/>
            </w:tcBorders>
            <w:noWrap/>
            <w:vAlign w:val="center"/>
            <w:hideMark/>
          </w:tcPr>
          <w:p w14:paraId="2142E593" w14:textId="77777777" w:rsidR="00807734" w:rsidRPr="000B2144" w:rsidRDefault="00807734" w:rsidP="00FB2E89">
            <w:pPr>
              <w:spacing w:after="160" w:line="256" w:lineRule="auto"/>
              <w:ind w:right="519"/>
              <w:rPr>
                <w:rFonts w:ascii="Arial" w:eastAsia="Times New Roman" w:hAnsi="Arial" w:cs="Arial"/>
                <w:color w:val="000000"/>
                <w:lang w:val="en-US" w:eastAsia="pt-BR"/>
              </w:rPr>
            </w:pPr>
            <w:r w:rsidRPr="000B2144">
              <w:rPr>
                <w:rFonts w:ascii="Arial" w:eastAsia="Times New Roman" w:hAnsi="Arial" w:cs="Arial"/>
                <w:color w:val="000000"/>
                <w:lang w:val="en-US" w:eastAsia="pt-BR"/>
              </w:rPr>
              <w:t>Not known</w:t>
            </w:r>
          </w:p>
        </w:tc>
        <w:tc>
          <w:tcPr>
            <w:tcW w:w="5843" w:type="dxa"/>
            <w:tcBorders>
              <w:top w:val="nil"/>
              <w:left w:val="nil"/>
              <w:bottom w:val="single" w:sz="8" w:space="0" w:color="auto"/>
              <w:right w:val="nil"/>
            </w:tcBorders>
            <w:noWrap/>
            <w:vAlign w:val="center"/>
            <w:hideMark/>
          </w:tcPr>
          <w:p w14:paraId="1E6DF0D3" w14:textId="77777777" w:rsidR="00807734" w:rsidRPr="000B2144" w:rsidRDefault="00807734" w:rsidP="00FB2E89">
            <w:pPr>
              <w:spacing w:after="160" w:line="256" w:lineRule="auto"/>
              <w:jc w:val="center"/>
              <w:rPr>
                <w:rFonts w:ascii="Arial" w:eastAsia="Times New Roman" w:hAnsi="Arial" w:cs="Arial"/>
                <w:color w:val="000000"/>
                <w:lang w:val="en-US" w:eastAsia="pt-BR"/>
              </w:rPr>
            </w:pPr>
            <w:r w:rsidRPr="000B2144">
              <w:rPr>
                <w:rFonts w:ascii="Arial" w:eastAsia="Times New Roman" w:hAnsi="Arial" w:cs="Arial"/>
                <w:color w:val="000000"/>
                <w:lang w:val="en-US" w:eastAsia="pt-BR"/>
              </w:rPr>
              <w:t>80 (36)</w:t>
            </w:r>
          </w:p>
        </w:tc>
      </w:tr>
      <w:bookmarkEnd w:id="0"/>
    </w:tbl>
    <w:p w14:paraId="314E2A52" w14:textId="77777777" w:rsidR="00807734" w:rsidRDefault="00807734" w:rsidP="00807734">
      <w:pPr>
        <w:spacing w:line="360" w:lineRule="auto"/>
        <w:jc w:val="both"/>
        <w:rPr>
          <w:rFonts w:ascii="Arial" w:eastAsia="Times New Roman" w:hAnsi="Arial" w:cs="Arial"/>
          <w:color w:val="000000"/>
          <w:lang w:val="en-US" w:eastAsia="pt-BR"/>
        </w:rPr>
      </w:pPr>
    </w:p>
    <w:p w14:paraId="5A9BB556" w14:textId="77777777" w:rsidR="00807734" w:rsidRDefault="00807734" w:rsidP="00807734">
      <w:pPr>
        <w:spacing w:line="360" w:lineRule="auto"/>
        <w:jc w:val="both"/>
        <w:rPr>
          <w:rFonts w:ascii="Arial" w:eastAsia="Times New Roman" w:hAnsi="Arial" w:cs="Arial"/>
          <w:color w:val="000000"/>
          <w:lang w:val="en-US" w:eastAsia="pt-BR"/>
        </w:rPr>
      </w:pPr>
    </w:p>
    <w:p w14:paraId="69E0D738" w14:textId="77777777" w:rsidR="00807734" w:rsidRDefault="00807734" w:rsidP="00807734">
      <w:pPr>
        <w:spacing w:line="360" w:lineRule="auto"/>
        <w:jc w:val="both"/>
        <w:rPr>
          <w:rFonts w:ascii="Arial" w:eastAsia="Times New Roman" w:hAnsi="Arial" w:cs="Arial"/>
          <w:color w:val="000000"/>
          <w:lang w:val="en-US" w:eastAsia="pt-BR"/>
        </w:rPr>
      </w:pPr>
    </w:p>
    <w:p w14:paraId="52D2801E" w14:textId="77777777" w:rsidR="001B2AAE" w:rsidRDefault="001B2AAE" w:rsidP="00807734">
      <w:pPr>
        <w:spacing w:line="360" w:lineRule="auto"/>
        <w:jc w:val="both"/>
        <w:rPr>
          <w:rFonts w:ascii="Arial" w:eastAsia="Times New Roman" w:hAnsi="Arial" w:cs="Arial"/>
          <w:color w:val="000000"/>
          <w:lang w:val="en-US" w:eastAsia="pt-BR"/>
        </w:rPr>
      </w:pPr>
    </w:p>
    <w:p w14:paraId="7488CE1A" w14:textId="77777777" w:rsidR="001B2AAE" w:rsidRDefault="001B2AAE" w:rsidP="00807734">
      <w:pPr>
        <w:spacing w:line="360" w:lineRule="auto"/>
        <w:jc w:val="both"/>
        <w:rPr>
          <w:rFonts w:ascii="Arial" w:eastAsia="Times New Roman" w:hAnsi="Arial" w:cs="Arial"/>
          <w:color w:val="000000"/>
          <w:lang w:val="en-US" w:eastAsia="pt-BR"/>
        </w:rPr>
      </w:pPr>
    </w:p>
    <w:p w14:paraId="24C395AC" w14:textId="77777777" w:rsidR="001B2AAE" w:rsidRDefault="001B2AAE" w:rsidP="00807734">
      <w:pPr>
        <w:spacing w:line="360" w:lineRule="auto"/>
        <w:jc w:val="both"/>
        <w:rPr>
          <w:rFonts w:ascii="Arial" w:eastAsia="Times New Roman" w:hAnsi="Arial" w:cs="Arial"/>
          <w:color w:val="000000"/>
          <w:lang w:val="en-US" w:eastAsia="pt-BR"/>
        </w:rPr>
      </w:pPr>
    </w:p>
    <w:p w14:paraId="1FD19194" w14:textId="77777777" w:rsidR="001B2AAE" w:rsidRDefault="001B2AAE" w:rsidP="00807734">
      <w:pPr>
        <w:spacing w:line="360" w:lineRule="auto"/>
        <w:jc w:val="both"/>
        <w:rPr>
          <w:rFonts w:ascii="Arial" w:eastAsia="Times New Roman" w:hAnsi="Arial" w:cs="Arial"/>
          <w:color w:val="000000"/>
          <w:lang w:val="en-US" w:eastAsia="pt-BR"/>
        </w:rPr>
      </w:pPr>
    </w:p>
    <w:p w14:paraId="0A014CB2" w14:textId="77777777" w:rsidR="001B2AAE" w:rsidRDefault="001B2AAE" w:rsidP="00807734">
      <w:pPr>
        <w:spacing w:line="360" w:lineRule="auto"/>
        <w:jc w:val="both"/>
        <w:rPr>
          <w:rFonts w:ascii="Arial" w:eastAsia="Times New Roman" w:hAnsi="Arial" w:cs="Arial"/>
          <w:color w:val="000000"/>
          <w:lang w:val="en-US" w:eastAsia="pt-BR"/>
        </w:rPr>
      </w:pPr>
    </w:p>
    <w:p w14:paraId="53CF4D9D" w14:textId="77777777" w:rsidR="001B2AAE" w:rsidRDefault="001B2AAE" w:rsidP="00807734">
      <w:pPr>
        <w:spacing w:line="360" w:lineRule="auto"/>
        <w:jc w:val="both"/>
        <w:rPr>
          <w:rFonts w:ascii="Arial" w:eastAsia="Times New Roman" w:hAnsi="Arial" w:cs="Arial"/>
          <w:color w:val="000000"/>
          <w:lang w:val="en-US" w:eastAsia="pt-BR"/>
        </w:rPr>
      </w:pPr>
    </w:p>
    <w:p w14:paraId="2A58B704" w14:textId="77777777" w:rsidR="001B2AAE" w:rsidRDefault="001B2AAE" w:rsidP="00807734">
      <w:pPr>
        <w:spacing w:line="360" w:lineRule="auto"/>
        <w:jc w:val="both"/>
        <w:rPr>
          <w:rFonts w:ascii="Arial" w:eastAsia="Times New Roman" w:hAnsi="Arial" w:cs="Arial"/>
          <w:color w:val="000000"/>
          <w:lang w:val="en-US" w:eastAsia="pt-BR"/>
        </w:rPr>
      </w:pPr>
    </w:p>
    <w:p w14:paraId="30CD7E99" w14:textId="77777777" w:rsidR="001B2AAE" w:rsidRDefault="001B2AAE" w:rsidP="00807734">
      <w:pPr>
        <w:spacing w:line="360" w:lineRule="auto"/>
        <w:jc w:val="both"/>
        <w:rPr>
          <w:rFonts w:ascii="Arial" w:eastAsia="Times New Roman" w:hAnsi="Arial" w:cs="Arial"/>
          <w:color w:val="000000"/>
          <w:lang w:val="en-US" w:eastAsia="pt-BR"/>
        </w:rPr>
      </w:pPr>
    </w:p>
    <w:p w14:paraId="4F6EC0A1" w14:textId="77777777" w:rsidR="001B2AAE" w:rsidRDefault="001B2AAE" w:rsidP="00807734">
      <w:pPr>
        <w:spacing w:line="360" w:lineRule="auto"/>
        <w:jc w:val="both"/>
        <w:rPr>
          <w:rFonts w:ascii="Arial" w:eastAsia="Times New Roman" w:hAnsi="Arial" w:cs="Arial"/>
          <w:color w:val="000000"/>
          <w:lang w:val="en-US" w:eastAsia="pt-BR"/>
        </w:rPr>
      </w:pPr>
    </w:p>
    <w:p w14:paraId="59A6142A" w14:textId="77777777" w:rsidR="001B2AAE" w:rsidRDefault="001B2AAE" w:rsidP="00807734">
      <w:pPr>
        <w:spacing w:line="360" w:lineRule="auto"/>
        <w:jc w:val="both"/>
        <w:rPr>
          <w:rFonts w:ascii="Arial" w:eastAsia="Times New Roman" w:hAnsi="Arial" w:cs="Arial"/>
          <w:color w:val="000000"/>
          <w:lang w:val="en-US" w:eastAsia="pt-BR"/>
        </w:rPr>
      </w:pPr>
    </w:p>
    <w:p w14:paraId="37029ADB" w14:textId="77777777" w:rsidR="001B2AAE" w:rsidRDefault="001B2AAE" w:rsidP="00807734">
      <w:pPr>
        <w:spacing w:line="360" w:lineRule="auto"/>
        <w:jc w:val="both"/>
        <w:rPr>
          <w:rFonts w:ascii="Arial" w:eastAsia="Times New Roman" w:hAnsi="Arial" w:cs="Arial"/>
          <w:color w:val="000000"/>
          <w:lang w:val="en-US" w:eastAsia="pt-BR"/>
        </w:rPr>
      </w:pPr>
    </w:p>
    <w:p w14:paraId="1EBA4C74" w14:textId="536078AE" w:rsidR="00807734" w:rsidRPr="00E35897" w:rsidRDefault="00807734" w:rsidP="00807734">
      <w:pPr>
        <w:spacing w:line="360" w:lineRule="auto"/>
        <w:jc w:val="both"/>
        <w:rPr>
          <w:rFonts w:ascii="Arial" w:eastAsia="Times New Roman" w:hAnsi="Arial" w:cs="Arial"/>
          <w:color w:val="000000"/>
          <w:lang w:val="en-US" w:eastAsia="pt-BR"/>
        </w:rPr>
      </w:pPr>
      <w:r w:rsidRPr="00E35897">
        <w:rPr>
          <w:rFonts w:ascii="Arial" w:eastAsia="Times New Roman" w:hAnsi="Arial" w:cs="Arial"/>
          <w:color w:val="000000"/>
          <w:lang w:val="en-US" w:eastAsia="pt-BR"/>
        </w:rPr>
        <w:t>* Of the 1271 dogs recruited at the onset of the study in the intervention area, 92 (7.2%) were euthanized, but only 547 of the remaining 1179 were reexamined at 6 months, when collars were changed, yielding a 46.4% loss of follow up at 6 months.</w:t>
      </w:r>
    </w:p>
    <w:p w14:paraId="66F1CED6" w14:textId="27A9D38B" w:rsidR="00AB19D6" w:rsidRPr="00807734" w:rsidRDefault="00807734" w:rsidP="00807734">
      <w:pPr>
        <w:spacing w:line="360" w:lineRule="auto"/>
        <w:jc w:val="both"/>
        <w:rPr>
          <w:lang w:val="en-US"/>
        </w:rPr>
      </w:pPr>
      <w:r w:rsidRPr="00E35897">
        <w:rPr>
          <w:rFonts w:ascii="Arial" w:eastAsia="Times New Roman" w:hAnsi="Arial" w:cs="Arial"/>
          <w:color w:val="000000"/>
          <w:lang w:val="en-US" w:eastAsia="pt-BR"/>
        </w:rPr>
        <w:t>** Adverse reactions included both cutaneous manifestations at the site of contact (erythema, pruritus, rashes, and wounds), as well as other clinical alterations that the owners reported were caused by the collar's use, such as vomiting, diarrhea, bleeding, and ocular alteratio</w:t>
      </w:r>
      <w:r>
        <w:rPr>
          <w:rFonts w:ascii="Arial" w:eastAsia="Times New Roman" w:hAnsi="Arial" w:cs="Arial"/>
          <w:color w:val="000000"/>
          <w:lang w:val="en-US" w:eastAsia="pt-BR"/>
        </w:rPr>
        <w:t>ns.</w:t>
      </w:r>
      <w:r w:rsidRPr="00807734">
        <w:rPr>
          <w:lang w:val="en-US"/>
        </w:rPr>
        <w:t xml:space="preserve"> </w:t>
      </w:r>
    </w:p>
    <w:sectPr w:rsidR="00AB19D6" w:rsidRPr="00807734" w:rsidSect="00733F84">
      <w:pgSz w:w="11907" w:h="16840" w:code="9"/>
      <w:pgMar w:top="1157" w:right="873" w:bottom="873" w:left="873"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34"/>
    <w:rsid w:val="000E1076"/>
    <w:rsid w:val="001B2AAE"/>
    <w:rsid w:val="00423E3E"/>
    <w:rsid w:val="00733F84"/>
    <w:rsid w:val="00807734"/>
    <w:rsid w:val="00A97670"/>
    <w:rsid w:val="00AB19D6"/>
    <w:rsid w:val="00B027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C31B"/>
  <w15:chartTrackingRefBased/>
  <w15:docId w15:val="{2EB54FA3-84E0-4F0E-88AA-8DBE6142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734"/>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80773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0773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07734"/>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07734"/>
    <w:pPr>
      <w:keepNext/>
      <w:keepLines/>
      <w:spacing w:before="80" w:after="40" w:line="259" w:lineRule="auto"/>
      <w:outlineLvl w:val="3"/>
    </w:pPr>
    <w:rPr>
      <w:rFonts w:eastAsiaTheme="majorEastAsia"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07734"/>
    <w:pPr>
      <w:keepNext/>
      <w:keepLines/>
      <w:spacing w:before="80" w:after="40" w:line="259" w:lineRule="auto"/>
      <w:outlineLvl w:val="4"/>
    </w:pPr>
    <w:rPr>
      <w:rFonts w:eastAsiaTheme="majorEastAsia"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07734"/>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07734"/>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07734"/>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07734"/>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7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77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77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77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77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7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734"/>
    <w:rPr>
      <w:rFonts w:eastAsiaTheme="majorEastAsia" w:cstheme="majorBidi"/>
      <w:color w:val="272727" w:themeColor="text1" w:themeTint="D8"/>
    </w:rPr>
  </w:style>
  <w:style w:type="paragraph" w:styleId="Title">
    <w:name w:val="Title"/>
    <w:basedOn w:val="Normal"/>
    <w:next w:val="Normal"/>
    <w:link w:val="TitleChar"/>
    <w:uiPriority w:val="10"/>
    <w:qFormat/>
    <w:rsid w:val="0080773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07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734"/>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07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734"/>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07734"/>
    <w:rPr>
      <w:i/>
      <w:iCs/>
      <w:color w:val="404040" w:themeColor="text1" w:themeTint="BF"/>
    </w:rPr>
  </w:style>
  <w:style w:type="paragraph" w:styleId="ListParagraph">
    <w:name w:val="List Paragraph"/>
    <w:basedOn w:val="Normal"/>
    <w:uiPriority w:val="34"/>
    <w:qFormat/>
    <w:rsid w:val="00807734"/>
    <w:pPr>
      <w:spacing w:after="160" w:line="259"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807734"/>
    <w:rPr>
      <w:i/>
      <w:iCs/>
      <w:color w:val="2F5496" w:themeColor="accent1" w:themeShade="BF"/>
    </w:rPr>
  </w:style>
  <w:style w:type="paragraph" w:styleId="IntenseQuote">
    <w:name w:val="Intense Quote"/>
    <w:basedOn w:val="Normal"/>
    <w:next w:val="Normal"/>
    <w:link w:val="IntenseQuoteChar"/>
    <w:uiPriority w:val="30"/>
    <w:qFormat/>
    <w:rsid w:val="0080773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07734"/>
    <w:rPr>
      <w:i/>
      <w:iCs/>
      <w:color w:val="2F5496" w:themeColor="accent1" w:themeShade="BF"/>
    </w:rPr>
  </w:style>
  <w:style w:type="character" w:styleId="IntenseReference">
    <w:name w:val="Intense Reference"/>
    <w:basedOn w:val="DefaultParagraphFont"/>
    <w:uiPriority w:val="32"/>
    <w:qFormat/>
    <w:rsid w:val="008077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786</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imt direção</dc:creator>
  <cp:keywords/>
  <dc:description/>
  <cp:lastModifiedBy>imt direção</cp:lastModifiedBy>
  <cp:revision>2</cp:revision>
  <dcterms:created xsi:type="dcterms:W3CDTF">2025-08-16T01:20:00Z</dcterms:created>
  <dcterms:modified xsi:type="dcterms:W3CDTF">2025-08-16T01:20:00Z</dcterms:modified>
</cp:coreProperties>
</file>