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0C4129">
      <w:pPr>
        <w:rPr>
          <w:rFonts w:ascii="Times New Roman" w:hAnsi="Times New Roman" w:eastAsiaTheme="minorEastAsia"/>
          <w:b/>
          <w:bCs/>
          <w:sz w:val="24"/>
          <w:szCs w:val="28"/>
        </w:rPr>
      </w:pPr>
      <w:r>
        <w:rPr>
          <w:rFonts w:ascii="Times New Roman" w:hAnsi="Times New Roman" w:eastAsiaTheme="minorEastAsia"/>
          <w:b/>
          <w:bCs/>
          <w:sz w:val="24"/>
          <w:szCs w:val="28"/>
        </w:rPr>
        <w:t>Supplementary material</w:t>
      </w:r>
    </w:p>
    <w:p w14:paraId="3C2C8E2C">
      <w:pPr>
        <w:jc w:val="center"/>
        <w:rPr>
          <w:rFonts w:asciiTheme="minorHAnsi" w:hAnsiTheme="minorHAnsi" w:eastAsiaTheme="minorEastAsia" w:cstheme="minorBidi"/>
          <w:szCs w:val="22"/>
        </w:rPr>
      </w:pPr>
      <w:r>
        <w:drawing>
          <wp:inline distT="0" distB="0" distL="0" distR="0">
            <wp:extent cx="2854960" cy="2244725"/>
            <wp:effectExtent l="0" t="0" r="254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rcRect l="1324"/>
                    <a:stretch>
                      <a:fillRect/>
                    </a:stretch>
                  </pic:blipFill>
                  <pic:spPr>
                    <a:xfrm>
                      <a:off x="0" y="0"/>
                      <a:ext cx="2854960" cy="224472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570461">
      <w:pPr>
        <w:spacing w:line="400" w:lineRule="exact"/>
        <w:rPr>
          <w:rFonts w:ascii="Times New Roman" w:hAnsi="Times New Roman" w:eastAsiaTheme="minorEastAsia"/>
          <w:sz w:val="24"/>
          <w:szCs w:val="28"/>
        </w:rPr>
      </w:pPr>
      <w:r>
        <w:rPr>
          <w:rFonts w:ascii="Times New Roman" w:hAnsi="Times New Roman" w:eastAsiaTheme="minorEastAsia"/>
          <w:b/>
          <w:bCs/>
          <w:sz w:val="24"/>
          <w:szCs w:val="28"/>
        </w:rPr>
        <w:t>Fig. S1</w:t>
      </w:r>
      <w:r>
        <w:rPr>
          <w:rFonts w:ascii="Times New Roman" w:hAnsi="Times New Roman" w:eastAsiaTheme="minorEastAsia"/>
          <w:sz w:val="24"/>
          <w:szCs w:val="28"/>
        </w:rPr>
        <w:t xml:space="preserve"> Soil samples were collected from three different plots in Luohe City, Linying County, </w:t>
      </w:r>
      <w:bookmarkStart w:id="0" w:name="OLE_LINK32"/>
      <w:r>
        <w:rPr>
          <w:rFonts w:ascii="Times New Roman" w:hAnsi="Times New Roman" w:eastAsiaTheme="minorEastAsia"/>
          <w:sz w:val="24"/>
          <w:szCs w:val="28"/>
        </w:rPr>
        <w:t>Wanggang Town</w:t>
      </w:r>
      <w:bookmarkEnd w:id="0"/>
      <w:r>
        <w:rPr>
          <w:rFonts w:ascii="Times New Roman" w:hAnsi="Times New Roman" w:eastAsiaTheme="minorEastAsia"/>
          <w:sz w:val="24"/>
          <w:szCs w:val="28"/>
        </w:rPr>
        <w:t>, Henan Province (33°48’54’’N, 113°58’05’’E; central China) CC2: 2 years of continuous cropping; CC6: 6 years of continuous cropping; CC10: 10 years of continuous cropping.</w:t>
      </w:r>
    </w:p>
    <w:p w14:paraId="694FC145">
      <w:pPr>
        <w:spacing w:line="400" w:lineRule="exact"/>
        <w:rPr>
          <w:rFonts w:ascii="Times New Roman" w:hAnsi="Times New Roman" w:eastAsiaTheme="minorEastAsia"/>
          <w:sz w:val="24"/>
          <w:szCs w:val="28"/>
        </w:rPr>
      </w:pPr>
    </w:p>
    <w:p w14:paraId="33B67193">
      <w:pPr>
        <w:rPr>
          <w:rFonts w:ascii="Times New Roman" w:hAnsi="Times New Roman" w:eastAsiaTheme="minorEastAsia"/>
          <w:szCs w:val="22"/>
        </w:rPr>
      </w:pPr>
      <w:r>
        <w:rPr>
          <w:rFonts w:ascii="Times New Roman" w:hAnsi="Times New Roman" w:eastAsiaTheme="minorEastAsia"/>
          <w:szCs w:val="22"/>
        </w:rPr>
        <w:drawing>
          <wp:inline distT="0" distB="0" distL="0" distR="0">
            <wp:extent cx="5274310" cy="2357755"/>
            <wp:effectExtent l="0" t="0" r="2540" b="444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57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2FD164">
      <w:pPr>
        <w:rPr>
          <w:rFonts w:ascii="Times New Roman" w:hAnsi="Times New Roman" w:eastAsiaTheme="minorEastAsia"/>
          <w:szCs w:val="22"/>
        </w:rPr>
      </w:pPr>
    </w:p>
    <w:p w14:paraId="3A80E3FD">
      <w:pPr>
        <w:rPr>
          <w:rFonts w:ascii="Times New Roman" w:hAnsi="Times New Roman" w:eastAsiaTheme="minorEastAsia"/>
          <w:sz w:val="24"/>
          <w:szCs w:val="24"/>
        </w:rPr>
      </w:pPr>
      <w:r>
        <w:rPr>
          <w:rFonts w:ascii="Times New Roman" w:hAnsi="Times New Roman" w:eastAsiaTheme="minorEastAsia"/>
          <w:b/>
          <w:bCs/>
          <w:sz w:val="24"/>
          <w:szCs w:val="24"/>
        </w:rPr>
        <w:t>Fig</w:t>
      </w:r>
      <w:r>
        <w:rPr>
          <w:rFonts w:hint="eastAsia" w:ascii="Times New Roman" w:hAnsi="Times New Roman" w:eastAsiaTheme="minorEastAsia"/>
          <w:b/>
          <w:bCs/>
          <w:sz w:val="24"/>
          <w:szCs w:val="24"/>
        </w:rPr>
        <w:t>.</w:t>
      </w:r>
      <w:r>
        <w:rPr>
          <w:rFonts w:ascii="Times New Roman" w:hAnsi="Times New Roman" w:eastAsiaTheme="minorEastAsia"/>
          <w:b/>
          <w:bCs/>
          <w:sz w:val="24"/>
          <w:szCs w:val="24"/>
        </w:rPr>
        <w:t xml:space="preserve"> S2</w:t>
      </w:r>
      <w:r>
        <w:rPr>
          <w:rFonts w:ascii="Times New Roman" w:hAnsi="Times New Roman" w:eastAsiaTheme="minorEastAsia"/>
          <w:sz w:val="24"/>
          <w:szCs w:val="24"/>
        </w:rPr>
        <w:t xml:space="preserve"> (</w:t>
      </w:r>
      <w:r>
        <w:rPr>
          <w:rFonts w:ascii="Times New Roman" w:hAnsi="Times New Roman" w:eastAsiaTheme="minorEastAsia"/>
          <w:b/>
          <w:bCs/>
          <w:sz w:val="24"/>
          <w:szCs w:val="24"/>
        </w:rPr>
        <w:t>a</w:t>
      </w:r>
      <w:r>
        <w:rPr>
          <w:rFonts w:ascii="Times New Roman" w:hAnsi="Times New Roman" w:eastAsiaTheme="minorEastAsia"/>
          <w:sz w:val="24"/>
          <w:szCs w:val="24"/>
        </w:rPr>
        <w:t xml:space="preserve">) </w:t>
      </w:r>
      <w:r>
        <w:rPr>
          <w:rFonts w:ascii="Times New Roman" w:hAnsi="Times New Roman" w:eastAsiaTheme="minorEastAsia" w:cstheme="minorBidi"/>
          <w:sz w:val="24"/>
          <w:szCs w:val="24"/>
        </w:rPr>
        <w:t>Stacked bar plot depicting the relative abundances (%) of the major phyla present in the bacterial communities.</w:t>
      </w:r>
      <w:r>
        <w:rPr>
          <w:rFonts w:ascii="Times New Roman" w:hAnsi="Times New Roman" w:eastAsiaTheme="minorEastAsia"/>
          <w:sz w:val="24"/>
          <w:szCs w:val="24"/>
        </w:rPr>
        <w:t xml:space="preserve"> (</w:t>
      </w:r>
      <w:r>
        <w:rPr>
          <w:rFonts w:ascii="Times New Roman" w:hAnsi="Times New Roman" w:eastAsiaTheme="minorEastAsia"/>
          <w:b/>
          <w:bCs/>
          <w:sz w:val="24"/>
          <w:szCs w:val="24"/>
        </w:rPr>
        <w:t>b</w:t>
      </w:r>
      <w:r>
        <w:rPr>
          <w:rFonts w:ascii="Times New Roman" w:hAnsi="Times New Roman" w:eastAsiaTheme="minorEastAsia"/>
          <w:sz w:val="24"/>
          <w:szCs w:val="24"/>
        </w:rPr>
        <w:t xml:space="preserve">) The vertical axis represents the species names at the </w:t>
      </w:r>
      <w:r>
        <w:rPr>
          <w:rFonts w:hint="eastAsia" w:ascii="Times New Roman" w:hAnsi="Times New Roman" w:eastAsiaTheme="minorEastAsia"/>
          <w:sz w:val="24"/>
          <w:szCs w:val="24"/>
        </w:rPr>
        <w:t>p</w:t>
      </w:r>
      <w:r>
        <w:rPr>
          <w:rFonts w:ascii="Times New Roman" w:hAnsi="Times New Roman" w:eastAsiaTheme="minorEastAsia"/>
          <w:sz w:val="24"/>
          <w:szCs w:val="24"/>
        </w:rPr>
        <w:t xml:space="preserve">hylum level, and the horizontal axis represents the percentage value of the abundance of a certain species in the sample. Different colors indicate different groups. The values on the far right are </w:t>
      </w:r>
      <w:r>
        <w:rPr>
          <w:rFonts w:ascii="Times New Roman" w:hAnsi="Times New Roman" w:eastAsiaTheme="minorEastAsia"/>
          <w:i/>
          <w:iCs/>
          <w:sz w:val="24"/>
          <w:szCs w:val="24"/>
        </w:rPr>
        <w:t>P</w:t>
      </w:r>
      <w:r>
        <w:rPr>
          <w:rFonts w:ascii="Times New Roman" w:hAnsi="Times New Roman" w:eastAsiaTheme="minorEastAsia"/>
          <w:sz w:val="24"/>
          <w:szCs w:val="24"/>
        </w:rPr>
        <w:t xml:space="preserve"> values: * 0.01 &lt; </w:t>
      </w:r>
      <w:r>
        <w:rPr>
          <w:rFonts w:ascii="Times New Roman" w:hAnsi="Times New Roman" w:eastAsiaTheme="minorEastAsia"/>
          <w:i/>
          <w:iCs/>
          <w:sz w:val="24"/>
          <w:szCs w:val="24"/>
        </w:rPr>
        <w:t>P</w:t>
      </w:r>
      <w:r>
        <w:rPr>
          <w:rFonts w:ascii="Times New Roman" w:hAnsi="Times New Roman" w:eastAsiaTheme="minorEastAsia"/>
          <w:sz w:val="24"/>
          <w:szCs w:val="24"/>
        </w:rPr>
        <w:t xml:space="preserve"> ≤ 0.05, ** 0.001 &lt; </w:t>
      </w:r>
      <w:r>
        <w:rPr>
          <w:rFonts w:ascii="Times New Roman" w:hAnsi="Times New Roman" w:eastAsiaTheme="minorEastAsia"/>
          <w:i/>
          <w:iCs/>
          <w:sz w:val="24"/>
          <w:szCs w:val="24"/>
        </w:rPr>
        <w:t>P</w:t>
      </w:r>
      <w:r>
        <w:rPr>
          <w:rFonts w:ascii="Times New Roman" w:hAnsi="Times New Roman" w:eastAsiaTheme="minorEastAsia"/>
          <w:sz w:val="24"/>
          <w:szCs w:val="24"/>
        </w:rPr>
        <w:t xml:space="preserve"> ≤ 0.01, *** </w:t>
      </w:r>
      <w:r>
        <w:rPr>
          <w:rFonts w:ascii="Times New Roman" w:hAnsi="Times New Roman" w:eastAsiaTheme="minorEastAsia"/>
          <w:i/>
          <w:iCs/>
          <w:sz w:val="24"/>
          <w:szCs w:val="24"/>
        </w:rPr>
        <w:t>P</w:t>
      </w:r>
      <w:r>
        <w:rPr>
          <w:rFonts w:ascii="Times New Roman" w:hAnsi="Times New Roman" w:eastAsiaTheme="minorEastAsia"/>
          <w:sz w:val="24"/>
          <w:szCs w:val="24"/>
        </w:rPr>
        <w:t xml:space="preserve"> ≤ 0.001</w:t>
      </w:r>
    </w:p>
    <w:p w14:paraId="7DB721B8">
      <w:pPr>
        <w:rPr>
          <w:rFonts w:ascii="Times New Roman" w:hAnsi="Times New Roman" w:eastAsiaTheme="minorEastAsia"/>
          <w:szCs w:val="22"/>
        </w:rPr>
      </w:pPr>
    </w:p>
    <w:p w14:paraId="7595949D">
      <w:pPr>
        <w:rPr>
          <w:rFonts w:ascii="Times New Roman" w:hAnsi="Times New Roman" w:eastAsiaTheme="minorEastAsia"/>
          <w:szCs w:val="22"/>
        </w:rPr>
      </w:pPr>
      <w:r>
        <w:rPr>
          <w:rFonts w:ascii="Times New Roman" w:hAnsi="Times New Roman" w:eastAsiaTheme="minorEastAsia"/>
          <w:szCs w:val="22"/>
        </w:rPr>
        <w:drawing>
          <wp:inline distT="0" distB="0" distL="0" distR="0">
            <wp:extent cx="5274310" cy="2353310"/>
            <wp:effectExtent l="0" t="0" r="2540" b="889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53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734625">
      <w:pPr>
        <w:rPr>
          <w:rFonts w:ascii="Times New Roman" w:hAnsi="Times New Roman" w:eastAsiaTheme="minorEastAsia"/>
          <w:sz w:val="24"/>
          <w:szCs w:val="24"/>
        </w:rPr>
      </w:pPr>
      <w:r>
        <w:rPr>
          <w:rFonts w:ascii="Times New Roman" w:hAnsi="Times New Roman" w:eastAsiaTheme="minorEastAsia"/>
          <w:b/>
          <w:bCs/>
          <w:sz w:val="24"/>
          <w:szCs w:val="24"/>
        </w:rPr>
        <w:t>Fig</w:t>
      </w:r>
      <w:r>
        <w:rPr>
          <w:rFonts w:hint="eastAsia" w:ascii="Times New Roman" w:hAnsi="Times New Roman" w:eastAsiaTheme="minorEastAsia"/>
          <w:b/>
          <w:bCs/>
          <w:sz w:val="24"/>
          <w:szCs w:val="24"/>
        </w:rPr>
        <w:t>.</w:t>
      </w:r>
      <w:r>
        <w:rPr>
          <w:rFonts w:ascii="Times New Roman" w:hAnsi="Times New Roman" w:eastAsiaTheme="minorEastAsia"/>
          <w:b/>
          <w:bCs/>
          <w:sz w:val="24"/>
          <w:szCs w:val="24"/>
        </w:rPr>
        <w:t xml:space="preserve"> S3</w:t>
      </w:r>
      <w:r>
        <w:rPr>
          <w:rFonts w:ascii="Times New Roman" w:hAnsi="Times New Roman" w:eastAsiaTheme="minorEastAsia"/>
          <w:sz w:val="24"/>
          <w:szCs w:val="24"/>
        </w:rPr>
        <w:t xml:space="preserve"> (</w:t>
      </w:r>
      <w:r>
        <w:rPr>
          <w:rFonts w:ascii="Times New Roman" w:hAnsi="Times New Roman" w:eastAsiaTheme="minorEastAsia"/>
          <w:b/>
          <w:bCs/>
          <w:sz w:val="24"/>
          <w:szCs w:val="24"/>
        </w:rPr>
        <w:t>a</w:t>
      </w:r>
      <w:r>
        <w:rPr>
          <w:rFonts w:ascii="Times New Roman" w:hAnsi="Times New Roman" w:eastAsiaTheme="minorEastAsia"/>
          <w:sz w:val="24"/>
          <w:szCs w:val="24"/>
        </w:rPr>
        <w:t xml:space="preserve">) </w:t>
      </w:r>
      <w:r>
        <w:rPr>
          <w:rFonts w:ascii="Times New Roman" w:hAnsi="Times New Roman" w:eastAsiaTheme="minorEastAsia" w:cstheme="minorBidi"/>
          <w:sz w:val="24"/>
          <w:szCs w:val="24"/>
        </w:rPr>
        <w:t xml:space="preserve">Stacked bar plot depicting the relative abundances (%) of the major phyla present in the fungal communities. </w:t>
      </w:r>
      <w:r>
        <w:rPr>
          <w:rFonts w:ascii="Times New Roman" w:hAnsi="Times New Roman" w:eastAsiaTheme="minorEastAsia"/>
          <w:sz w:val="24"/>
          <w:szCs w:val="24"/>
        </w:rPr>
        <w:t>(</w:t>
      </w:r>
      <w:r>
        <w:rPr>
          <w:rFonts w:ascii="Times New Roman" w:hAnsi="Times New Roman" w:eastAsiaTheme="minorEastAsia"/>
          <w:b/>
          <w:bCs/>
          <w:sz w:val="24"/>
          <w:szCs w:val="24"/>
        </w:rPr>
        <w:t>b</w:t>
      </w:r>
      <w:r>
        <w:rPr>
          <w:rFonts w:ascii="Times New Roman" w:hAnsi="Times New Roman" w:eastAsiaTheme="minorEastAsia"/>
          <w:sz w:val="24"/>
          <w:szCs w:val="24"/>
        </w:rPr>
        <w:t xml:space="preserve">) The vertical axis represents the species names at the </w:t>
      </w:r>
      <w:r>
        <w:rPr>
          <w:rFonts w:hint="eastAsia" w:ascii="Times New Roman" w:hAnsi="Times New Roman" w:eastAsiaTheme="minorEastAsia"/>
          <w:sz w:val="24"/>
          <w:szCs w:val="24"/>
        </w:rPr>
        <w:t>p</w:t>
      </w:r>
      <w:r>
        <w:rPr>
          <w:rFonts w:ascii="Times New Roman" w:hAnsi="Times New Roman" w:eastAsiaTheme="minorEastAsia"/>
          <w:sz w:val="24"/>
          <w:szCs w:val="24"/>
        </w:rPr>
        <w:t xml:space="preserve">hylum level, and the horizontal axis represents the percentage value of the abundance of a certain species in the sample. Different colors indicate different groups. The values on the far right are </w:t>
      </w:r>
      <w:r>
        <w:rPr>
          <w:rFonts w:ascii="Times New Roman" w:hAnsi="Times New Roman" w:eastAsiaTheme="minorEastAsia"/>
          <w:i/>
          <w:iCs/>
          <w:sz w:val="24"/>
          <w:szCs w:val="24"/>
        </w:rPr>
        <w:t>P</w:t>
      </w:r>
      <w:r>
        <w:rPr>
          <w:rFonts w:ascii="Times New Roman" w:hAnsi="Times New Roman" w:eastAsiaTheme="minorEastAsia"/>
          <w:sz w:val="24"/>
          <w:szCs w:val="24"/>
        </w:rPr>
        <w:t xml:space="preserve"> values: * 0.01 &lt; </w:t>
      </w:r>
      <w:r>
        <w:rPr>
          <w:rFonts w:ascii="Times New Roman" w:hAnsi="Times New Roman" w:eastAsiaTheme="minorEastAsia"/>
          <w:i/>
          <w:iCs/>
          <w:sz w:val="24"/>
          <w:szCs w:val="24"/>
        </w:rPr>
        <w:t>P</w:t>
      </w:r>
      <w:r>
        <w:rPr>
          <w:rFonts w:ascii="Times New Roman" w:hAnsi="Times New Roman" w:eastAsiaTheme="minorEastAsia"/>
          <w:sz w:val="24"/>
          <w:szCs w:val="24"/>
        </w:rPr>
        <w:t xml:space="preserve"> ≤ 0.05, ** 0.001 &lt; </w:t>
      </w:r>
      <w:r>
        <w:rPr>
          <w:rFonts w:ascii="Times New Roman" w:hAnsi="Times New Roman" w:eastAsiaTheme="minorEastAsia"/>
          <w:i/>
          <w:iCs/>
          <w:sz w:val="24"/>
          <w:szCs w:val="24"/>
        </w:rPr>
        <w:t>P</w:t>
      </w:r>
      <w:r>
        <w:rPr>
          <w:rFonts w:ascii="Times New Roman" w:hAnsi="Times New Roman" w:eastAsiaTheme="minorEastAsia"/>
          <w:sz w:val="24"/>
          <w:szCs w:val="24"/>
        </w:rPr>
        <w:t xml:space="preserve"> ≤ 0.01, *** </w:t>
      </w:r>
      <w:r>
        <w:rPr>
          <w:rFonts w:ascii="Times New Roman" w:hAnsi="Times New Roman" w:eastAsiaTheme="minorEastAsia"/>
          <w:i/>
          <w:iCs/>
          <w:sz w:val="24"/>
          <w:szCs w:val="24"/>
        </w:rPr>
        <w:t>P</w:t>
      </w:r>
      <w:r>
        <w:rPr>
          <w:rFonts w:ascii="Times New Roman" w:hAnsi="Times New Roman" w:eastAsiaTheme="minorEastAsia"/>
          <w:sz w:val="24"/>
          <w:szCs w:val="24"/>
        </w:rPr>
        <w:t xml:space="preserve"> ≤ 0.001</w:t>
      </w:r>
    </w:p>
    <w:p w14:paraId="0F56BDB4">
      <w:pPr>
        <w:rPr>
          <w:rFonts w:ascii="Times New Roman" w:hAnsi="Times New Roman" w:eastAsiaTheme="minorEastAsia"/>
          <w:sz w:val="24"/>
          <w:szCs w:val="24"/>
        </w:rPr>
      </w:pPr>
    </w:p>
    <w:p w14:paraId="0DB86814">
      <w:pPr>
        <w:rPr>
          <w:rFonts w:ascii="Times New Roman" w:hAnsi="Times New Roman" w:eastAsiaTheme="minorEastAsia"/>
          <w:szCs w:val="22"/>
        </w:rPr>
      </w:pPr>
      <w:r>
        <w:rPr>
          <w:rFonts w:ascii="Times New Roman" w:hAnsi="Times New Roman" w:eastAsiaTheme="minorEastAsia"/>
          <w:szCs w:val="22"/>
        </w:rPr>
        <w:drawing>
          <wp:inline distT="0" distB="0" distL="0" distR="0">
            <wp:extent cx="5274310" cy="2907030"/>
            <wp:effectExtent l="0" t="0" r="2540" b="762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07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7D77E4">
      <w:pPr>
        <w:rPr>
          <w:rFonts w:ascii="Times New Roman" w:hAnsi="Times New Roman" w:eastAsiaTheme="minorEastAsia"/>
          <w:sz w:val="24"/>
          <w:szCs w:val="24"/>
        </w:rPr>
      </w:pPr>
      <w:r>
        <w:rPr>
          <w:rFonts w:ascii="Times New Roman" w:hAnsi="Times New Roman" w:eastAsiaTheme="minorEastAsia"/>
          <w:b/>
          <w:bCs/>
          <w:sz w:val="24"/>
          <w:szCs w:val="24"/>
        </w:rPr>
        <w:t>Fig</w:t>
      </w:r>
      <w:r>
        <w:rPr>
          <w:rFonts w:hint="eastAsia" w:ascii="Times New Roman" w:hAnsi="Times New Roman" w:eastAsiaTheme="minorEastAsia"/>
          <w:b/>
          <w:bCs/>
          <w:sz w:val="24"/>
          <w:szCs w:val="24"/>
        </w:rPr>
        <w:t>.</w:t>
      </w:r>
      <w:r>
        <w:rPr>
          <w:rFonts w:ascii="Times New Roman" w:hAnsi="Times New Roman" w:eastAsiaTheme="minorEastAsia"/>
          <w:b/>
          <w:bCs/>
          <w:sz w:val="24"/>
          <w:szCs w:val="24"/>
        </w:rPr>
        <w:t xml:space="preserve"> S4</w:t>
      </w:r>
      <w:r>
        <w:rPr>
          <w:rFonts w:ascii="Times New Roman" w:hAnsi="Times New Roman" w:eastAsiaTheme="minorEastAsia"/>
          <w:sz w:val="24"/>
          <w:szCs w:val="24"/>
        </w:rPr>
        <w:t xml:space="preserve"> Contents of the crucial</w:t>
      </w:r>
      <w:r>
        <w:rPr>
          <w:rFonts w:asciiTheme="minorHAnsi" w:hAnsiTheme="minorHAnsi" w:eastAsiaTheme="minorEastAsia" w:cstheme="minorBidi"/>
          <w:szCs w:val="22"/>
        </w:rPr>
        <w:t xml:space="preserve"> </w:t>
      </w:r>
      <w:r>
        <w:rPr>
          <w:rFonts w:ascii="Times New Roman" w:hAnsi="Times New Roman" w:eastAsiaTheme="minorEastAsia"/>
          <w:sz w:val="24"/>
          <w:szCs w:val="24"/>
        </w:rPr>
        <w:t>differential metabolites: (</w:t>
      </w:r>
      <w:r>
        <w:rPr>
          <w:rFonts w:ascii="Times New Roman" w:hAnsi="Times New Roman" w:eastAsiaTheme="minorEastAsia"/>
          <w:b/>
          <w:bCs/>
          <w:sz w:val="24"/>
          <w:szCs w:val="24"/>
        </w:rPr>
        <w:t>a</w:t>
      </w:r>
      <w:r>
        <w:rPr>
          <w:rFonts w:ascii="Times New Roman" w:hAnsi="Times New Roman" w:eastAsiaTheme="minorEastAsia"/>
          <w:sz w:val="24"/>
          <w:szCs w:val="24"/>
        </w:rPr>
        <w:t xml:space="preserve">) </w:t>
      </w:r>
      <w:r>
        <w:rPr>
          <w:rFonts w:ascii="Times New Roman" w:hAnsi="Times New Roman" w:eastAsiaTheme="minorEastAsia" w:cstheme="minorBidi"/>
          <w:sz w:val="24"/>
          <w:szCs w:val="28"/>
        </w:rPr>
        <w:t>glucoerucin, (</w:t>
      </w:r>
      <w:r>
        <w:rPr>
          <w:rFonts w:ascii="Times New Roman" w:hAnsi="Times New Roman" w:eastAsiaTheme="minorEastAsia"/>
          <w:b/>
          <w:bCs/>
          <w:sz w:val="24"/>
          <w:szCs w:val="24"/>
        </w:rPr>
        <w:t>b</w:t>
      </w:r>
      <w:r>
        <w:rPr>
          <w:rFonts w:ascii="Times New Roman" w:hAnsi="Times New Roman" w:eastAsiaTheme="minorEastAsia" w:cstheme="minorBidi"/>
          <w:sz w:val="24"/>
          <w:szCs w:val="28"/>
        </w:rPr>
        <w:t>) glucosylsphingosine, and (</w:t>
      </w:r>
      <w:r>
        <w:rPr>
          <w:rFonts w:ascii="Times New Roman" w:hAnsi="Times New Roman" w:eastAsiaTheme="minorEastAsia"/>
          <w:b/>
          <w:bCs/>
          <w:sz w:val="24"/>
          <w:szCs w:val="24"/>
        </w:rPr>
        <w:t>c</w:t>
      </w:r>
      <w:r>
        <w:rPr>
          <w:rFonts w:ascii="Times New Roman" w:hAnsi="Times New Roman" w:eastAsiaTheme="minorEastAsia" w:cstheme="minorBidi"/>
          <w:sz w:val="24"/>
          <w:szCs w:val="28"/>
        </w:rPr>
        <w:t>) hecogenin</w:t>
      </w:r>
      <w:r>
        <w:rPr>
          <w:rFonts w:ascii="Times New Roman" w:hAnsi="Times New Roman" w:eastAsiaTheme="minorEastAsia"/>
          <w:sz w:val="24"/>
          <w:szCs w:val="24"/>
        </w:rPr>
        <w:t xml:space="preserve"> under different continuous cropping durations.</w:t>
      </w:r>
    </w:p>
    <w:p w14:paraId="466D619C">
      <w:pPr>
        <w:rPr>
          <w:rFonts w:ascii="Times New Roman" w:hAnsi="Times New Roman" w:eastAsiaTheme="minorEastAsia"/>
          <w:sz w:val="24"/>
          <w:szCs w:val="24"/>
        </w:rPr>
      </w:pPr>
    </w:p>
    <w:p w14:paraId="6D467A35">
      <w:pPr>
        <w:rPr>
          <w:rFonts w:ascii="Times New Roman" w:hAnsi="Times New Roman" w:eastAsiaTheme="minorEastAsia"/>
          <w:sz w:val="24"/>
          <w:szCs w:val="24"/>
        </w:rPr>
      </w:pPr>
    </w:p>
    <w:p w14:paraId="43CB299B">
      <w:pPr>
        <w:rPr>
          <w:rFonts w:ascii="Times New Roman" w:hAnsi="Times New Roman" w:eastAsiaTheme="minorEastAsia"/>
          <w:sz w:val="24"/>
          <w:szCs w:val="24"/>
        </w:rPr>
      </w:pPr>
    </w:p>
    <w:p w14:paraId="6407FDF1">
      <w:pPr>
        <w:rPr>
          <w:rFonts w:ascii="Times New Roman" w:hAnsi="Times New Roman" w:eastAsiaTheme="minorEastAsia"/>
          <w:sz w:val="24"/>
          <w:szCs w:val="24"/>
        </w:rPr>
      </w:pPr>
    </w:p>
    <w:p w14:paraId="21A5F034">
      <w:pPr>
        <w:rPr>
          <w:rFonts w:ascii="Times New Roman" w:hAnsi="Times New Roman" w:eastAsiaTheme="minorEastAsia"/>
          <w:sz w:val="24"/>
          <w:szCs w:val="24"/>
        </w:rPr>
      </w:pPr>
    </w:p>
    <w:p w14:paraId="75FCB2B6">
      <w:pPr>
        <w:rPr>
          <w:rFonts w:ascii="Times New Roman" w:hAnsi="Times New Roman" w:eastAsiaTheme="minorEastAsia"/>
          <w:sz w:val="24"/>
          <w:szCs w:val="24"/>
        </w:rPr>
      </w:pPr>
    </w:p>
    <w:p w14:paraId="7A60D651">
      <w:pPr>
        <w:rPr>
          <w:rFonts w:ascii="Times New Roman" w:hAnsi="Times New Roman" w:eastAsiaTheme="minorEastAsia"/>
          <w:sz w:val="24"/>
          <w:szCs w:val="24"/>
        </w:rPr>
      </w:pPr>
    </w:p>
    <w:p w14:paraId="700AD856">
      <w:pPr>
        <w:spacing w:line="400" w:lineRule="exact"/>
        <w:rPr>
          <w:rFonts w:ascii="Times New Roman" w:hAnsi="Times New Roman" w:eastAsiaTheme="minorEastAsia"/>
          <w:sz w:val="24"/>
          <w:szCs w:val="24"/>
        </w:rPr>
      </w:pPr>
      <w:r>
        <w:rPr>
          <w:rFonts w:ascii="Times New Roman" w:hAnsi="Times New Roman" w:eastAsiaTheme="minorEastAsia"/>
          <w:b/>
          <w:bCs/>
          <w:sz w:val="24"/>
          <w:szCs w:val="24"/>
        </w:rPr>
        <w:t>Table S1</w:t>
      </w:r>
      <w:r>
        <w:rPr>
          <w:rFonts w:ascii="Times New Roman" w:hAnsi="Times New Roman" w:eastAsiaTheme="minorEastAsia"/>
          <w:sz w:val="24"/>
          <w:szCs w:val="24"/>
        </w:rPr>
        <w:t xml:space="preserve"> PERMANOVA (analysis of variance based on distance matrices) performed using the “adonis” function in the R package vegan (version 2.6-4). Bray–Curtis dissimilarity matrices of bacterial ASV data used to assess differences in soil microbial communities across continuous cropping durations (CC2, CC6, CC10). Significance levels: ***P &lt; 0.001, **P &lt; 0.01, *P &lt; 0.05. R</w:t>
      </w:r>
      <w:r>
        <w:rPr>
          <w:rFonts w:ascii="Times New Roman" w:hAnsi="Times New Roman" w:eastAsiaTheme="minorEastAsia"/>
          <w:sz w:val="24"/>
          <w:szCs w:val="24"/>
          <w:vertAlign w:val="superscript"/>
        </w:rPr>
        <w:t>2</w:t>
      </w:r>
      <w:r>
        <w:rPr>
          <w:rFonts w:ascii="Times New Roman" w:hAnsi="Times New Roman" w:eastAsiaTheme="minorEastAsia"/>
          <w:sz w:val="24"/>
          <w:szCs w:val="24"/>
        </w:rPr>
        <w:t xml:space="preserve"> represents the proportion of variance explained by each factor.</w:t>
      </w:r>
    </w:p>
    <w:tbl>
      <w:tblPr>
        <w:tblStyle w:val="4"/>
        <w:tblW w:w="8754" w:type="dxa"/>
        <w:tblInd w:w="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1211"/>
        <w:gridCol w:w="600"/>
        <w:gridCol w:w="1179"/>
        <w:gridCol w:w="975"/>
        <w:gridCol w:w="835"/>
        <w:gridCol w:w="825"/>
        <w:gridCol w:w="1511"/>
      </w:tblGrid>
      <w:tr w14:paraId="1D1B60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1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B1A3F4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Group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8FA26C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Source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FAEDC7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Df</w:t>
            </w:r>
          </w:p>
        </w:tc>
        <w:tc>
          <w:tcPr>
            <w:tcW w:w="11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24B925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SumOfSqs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83A3C1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R</w:t>
            </w:r>
            <w:r>
              <w:rPr>
                <w:rStyle w:val="6"/>
                <w:rFonts w:hint="default" w:ascii="Times New Roman" w:hAnsi="Times New Roman" w:cs="Times New Roman"/>
              </w:rPr>
              <w:t>2</w:t>
            </w:r>
          </w:p>
        </w:tc>
        <w:tc>
          <w:tcPr>
            <w:tcW w:w="83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D21384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F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E79769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Pr(&gt;F)</w:t>
            </w:r>
          </w:p>
        </w:tc>
        <w:tc>
          <w:tcPr>
            <w:tcW w:w="151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4C6E3BB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Theme="minorEastAsia"/>
                <w:sz w:val="24"/>
                <w:szCs w:val="24"/>
              </w:rPr>
              <w:t>Significance level</w:t>
            </w:r>
          </w:p>
        </w:tc>
      </w:tr>
      <w:tr w14:paraId="797E20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18" w:type="dxa"/>
            <w:vMerge w:val="restart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center"/>
          </w:tcPr>
          <w:p w14:paraId="3E4CAB0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CC2_vs_CC6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4ACE5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Model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AB7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7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B7F9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0.79112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A265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0.6362</w:t>
            </w:r>
          </w:p>
        </w:tc>
        <w:tc>
          <w:tcPr>
            <w:tcW w:w="83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D758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17.488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D19B8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0.003</w:t>
            </w:r>
          </w:p>
        </w:tc>
        <w:tc>
          <w:tcPr>
            <w:tcW w:w="151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4920D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**</w:t>
            </w:r>
          </w:p>
        </w:tc>
      </w:tr>
      <w:tr w14:paraId="58E10E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18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6B6039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B3DE7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Residual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6A60C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ED10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0.45239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76291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0.3638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39467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0F19D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1BE5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14:paraId="49A550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18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4731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F406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Total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F742A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3FAC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1.24351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8411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1.0000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4F96C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192A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4ED02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14:paraId="0971AF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1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616B1B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CC2_vs_CC10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D3BB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Model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77FD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1329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0.13460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E23D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0.26133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0F0D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3.5379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4B29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0.004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63103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**</w:t>
            </w:r>
          </w:p>
        </w:tc>
      </w:tr>
      <w:tr w14:paraId="501A5D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18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968761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6F6D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Residual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B98A6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0410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0.38046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B83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0.73867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797C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5B662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C29D54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14:paraId="566E4B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18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59A5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F7D7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Total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6BE62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68AC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0.51506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A4DD6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1.0000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F980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93BC9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75AAD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14:paraId="1ED866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1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04DB7D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CC6_vs_CC10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92FF3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Model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58C5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6AC2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0.83519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6D18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0.67498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1B3F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20.768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2B95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0.003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E17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**</w:t>
            </w:r>
          </w:p>
        </w:tc>
      </w:tr>
      <w:tr w14:paraId="731A08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18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EEEEC3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E8380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Residual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ADDD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DCF41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0.40216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8C192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0.32502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DB30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8EBE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FD6A2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14:paraId="49D86D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618" w:type="dxa"/>
            <w:vMerge w:val="continue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8C4F5E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719C1C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Total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22BF7F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BD47E3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1.23735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1FA183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1.0000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28087F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7EDFF14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05F7A0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</w:tbl>
    <w:p w14:paraId="0EDE5823">
      <w:pPr>
        <w:spacing w:line="400" w:lineRule="exact"/>
        <w:rPr>
          <w:rFonts w:ascii="Times New Roman" w:hAnsi="Times New Roman" w:eastAsiaTheme="minorEastAsia"/>
          <w:sz w:val="24"/>
          <w:szCs w:val="24"/>
        </w:rPr>
      </w:pPr>
    </w:p>
    <w:p w14:paraId="02E7FA74">
      <w:pPr>
        <w:spacing w:line="400" w:lineRule="exact"/>
        <w:rPr>
          <w:rFonts w:ascii="Times New Roman" w:hAnsi="Times New Roman" w:eastAsiaTheme="minorEastAsia"/>
          <w:sz w:val="24"/>
          <w:szCs w:val="24"/>
        </w:rPr>
      </w:pPr>
      <w:bookmarkStart w:id="1" w:name="_GoBack"/>
      <w:r>
        <w:rPr>
          <w:rFonts w:ascii="Times New Roman" w:hAnsi="Times New Roman" w:eastAsiaTheme="minorEastAsia"/>
          <w:b/>
          <w:bCs/>
          <w:sz w:val="24"/>
          <w:szCs w:val="24"/>
        </w:rPr>
        <w:t>Table S</w:t>
      </w:r>
      <w:r>
        <w:rPr>
          <w:rFonts w:hint="eastAsia" w:ascii="Times New Roman" w:hAnsi="Times New Roman" w:eastAsiaTheme="minorEastAsia"/>
          <w:b/>
          <w:bCs/>
          <w:sz w:val="24"/>
          <w:szCs w:val="24"/>
        </w:rPr>
        <w:t>2</w:t>
      </w:r>
      <w:bookmarkEnd w:id="1"/>
      <w:r>
        <w:rPr>
          <w:rFonts w:ascii="Times New Roman" w:hAnsi="Times New Roman" w:eastAsiaTheme="minorEastAsia"/>
          <w:sz w:val="24"/>
          <w:szCs w:val="24"/>
        </w:rPr>
        <w:t xml:space="preserve"> Bray–Curtis dissimilarity matrices of </w:t>
      </w:r>
      <w:r>
        <w:rPr>
          <w:rFonts w:hint="eastAsia" w:ascii="Times New Roman" w:hAnsi="Times New Roman" w:eastAsiaTheme="minorEastAsia"/>
          <w:sz w:val="24"/>
          <w:szCs w:val="24"/>
        </w:rPr>
        <w:t xml:space="preserve">fungal </w:t>
      </w:r>
      <w:r>
        <w:rPr>
          <w:rFonts w:ascii="Times New Roman" w:hAnsi="Times New Roman" w:eastAsiaTheme="minorEastAsia"/>
          <w:sz w:val="24"/>
          <w:szCs w:val="24"/>
        </w:rPr>
        <w:t>ASV data used to assess differences in soil microbial communities across continuous cropping durations (CC2, CC6, CC10). Significance levels: ***P &lt; 0.001, **P &lt; 0.01, *P &lt; 0.05. R</w:t>
      </w:r>
      <w:r>
        <w:rPr>
          <w:rFonts w:ascii="Times New Roman" w:hAnsi="Times New Roman" w:eastAsiaTheme="minorEastAsia"/>
          <w:sz w:val="24"/>
          <w:szCs w:val="24"/>
          <w:vertAlign w:val="superscript"/>
        </w:rPr>
        <w:t>2</w:t>
      </w:r>
      <w:r>
        <w:rPr>
          <w:rFonts w:ascii="Times New Roman" w:hAnsi="Times New Roman" w:eastAsiaTheme="minorEastAsia"/>
          <w:sz w:val="24"/>
          <w:szCs w:val="24"/>
        </w:rPr>
        <w:t xml:space="preserve"> represents the proportion of variance explained by each factor.</w:t>
      </w:r>
    </w:p>
    <w:tbl>
      <w:tblPr>
        <w:tblStyle w:val="4"/>
        <w:tblW w:w="8743" w:type="dxa"/>
        <w:tblInd w:w="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1200"/>
        <w:gridCol w:w="600"/>
        <w:gridCol w:w="1179"/>
        <w:gridCol w:w="975"/>
        <w:gridCol w:w="846"/>
        <w:gridCol w:w="814"/>
        <w:gridCol w:w="1511"/>
      </w:tblGrid>
      <w:tr w14:paraId="697689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1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87FEF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Group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F105C9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Source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1BE29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Df</w:t>
            </w:r>
          </w:p>
        </w:tc>
        <w:tc>
          <w:tcPr>
            <w:tcW w:w="11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74D3F1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SumOfSqs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97973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R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84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350C6C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F</w:t>
            </w:r>
          </w:p>
        </w:tc>
        <w:tc>
          <w:tcPr>
            <w:tcW w:w="81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CE75D0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Pr(&gt;F)</w:t>
            </w:r>
          </w:p>
        </w:tc>
        <w:tc>
          <w:tcPr>
            <w:tcW w:w="151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2E86BA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Significance level</w:t>
            </w:r>
          </w:p>
        </w:tc>
      </w:tr>
      <w:tr w14:paraId="37D135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18" w:type="dxa"/>
            <w:vMerge w:val="restart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center"/>
          </w:tcPr>
          <w:p w14:paraId="0379ADA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CC2_vs_CC6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8013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Model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366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7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2076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0.61178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21D0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0.43858</w:t>
            </w:r>
          </w:p>
        </w:tc>
        <w:tc>
          <w:tcPr>
            <w:tcW w:w="84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195D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7.8121</w:t>
            </w:r>
          </w:p>
        </w:tc>
        <w:tc>
          <w:tcPr>
            <w:tcW w:w="81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E980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0.003</w:t>
            </w:r>
          </w:p>
        </w:tc>
        <w:tc>
          <w:tcPr>
            <w:tcW w:w="151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AF12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**</w:t>
            </w:r>
          </w:p>
        </w:tc>
      </w:tr>
      <w:tr w14:paraId="1F13C7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18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FF9EBD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A290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Residual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567D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D323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0.78312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D428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0.56142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DEBE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F622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B5EB6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</w:p>
        </w:tc>
      </w:tr>
      <w:tr w14:paraId="2C3C4B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18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D281E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DA6E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Total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9943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06B0D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1.39491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B9CF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 xml:space="preserve">1.0000 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1C70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BC8D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668B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</w:p>
        </w:tc>
      </w:tr>
      <w:tr w14:paraId="214B5F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1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02D87A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CC2_vs_CC10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AAF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Model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F7D9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F297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0.48424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F7386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0.38809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B0C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6.3424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F333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0.004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3D3C9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**</w:t>
            </w:r>
          </w:p>
        </w:tc>
      </w:tr>
      <w:tr w14:paraId="2B6316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18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39F677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5230B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Residual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435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B9E7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0.7635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ACFF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0.61191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9DC7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B02D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A7D9F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</w:p>
        </w:tc>
      </w:tr>
      <w:tr w14:paraId="0C6D4A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18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56B70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7887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Total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B14A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4E35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1.24775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2C3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 xml:space="preserve">1.0000 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FF49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7F4D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78B2B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</w:p>
        </w:tc>
      </w:tr>
      <w:tr w14:paraId="66C409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1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7D12FC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CC6_vs_CC10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1CB9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Model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8D31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A67E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0.72377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1544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0.46562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ADA3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8.7132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2798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0.003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DDC9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**</w:t>
            </w:r>
          </w:p>
        </w:tc>
      </w:tr>
      <w:tr w14:paraId="188117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18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99E4DD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DF73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Residual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0FF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3002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0.83066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951A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0.53438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E2EB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2DB0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DA6C7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</w:p>
        </w:tc>
      </w:tr>
      <w:tr w14:paraId="1DF11C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618" w:type="dxa"/>
            <w:vMerge w:val="continue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B793C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508533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Total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B6E20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AE78A2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1.55443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FAC9C3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 xml:space="preserve">1.0000 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BF1C8D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5B2B8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4550D6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</w:p>
        </w:tc>
      </w:tr>
    </w:tbl>
    <w:p w14:paraId="45D708DE">
      <w:pPr>
        <w:rPr>
          <w:rFonts w:ascii="Times New Roman" w:hAnsi="Times New Roman" w:eastAsiaTheme="minorEastAsia"/>
          <w:sz w:val="24"/>
          <w:szCs w:val="24"/>
        </w:rPr>
      </w:pPr>
    </w:p>
    <w:p w14:paraId="763E56D8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44F808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ED1278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06778F"/>
    <w:rsid w:val="69942BC7"/>
    <w:rsid w:val="6C067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font1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447</Words>
  <Characters>2380</Characters>
  <Lines>0</Lines>
  <Paragraphs>0</Paragraphs>
  <TotalTime>0</TotalTime>
  <ScaleCrop>false</ScaleCrop>
  <LinksUpToDate>false</LinksUpToDate>
  <CharactersWithSpaces>2711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2025-06-30T11:08:00Z</dcterms:created>
  <dc:creator>TYL</dc:creator>
  <cp:lastModifiedBy>TYL</cp:lastModifiedBy>
  <dcterms:modified xsi:type="dcterms:W3CDTF">2025-08-22T13:51:45Z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88F099F544754C8E9DBEB2E902974BA3_11</vt:lpwstr>
  </property>
  <property fmtid="{D5CDD505-2E9C-101B-9397-08002B2CF9AE}" pid="4" name="KSOTemplateDocerSaveRecord">
    <vt:lpwstr>eyJoZGlkIjoiNGQxZGZmMGU3ODliMjUyMWUyZmM4YWUwYjkwMTU1YWQiLCJ1c2VySWQiOiI1NTQ4MzY1NDEifQ==</vt:lpwstr>
  </property>
</Properties>
</file>