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DAFD7" w14:textId="77777777" w:rsidR="008954AE" w:rsidRPr="00F44DB4" w:rsidRDefault="008954AE" w:rsidP="008954AE">
      <w:pPr>
        <w:spacing w:before="120" w:after="120"/>
        <w:rPr>
          <w:rFonts w:ascii="Arial" w:eastAsia="Times New Roman" w:hAnsi="Arial" w:cs="Arial"/>
          <w:sz w:val="22"/>
          <w:szCs w:val="22"/>
        </w:rPr>
      </w:pPr>
      <w:r w:rsidRPr="00F44DB4">
        <w:rPr>
          <w:rFonts w:ascii="Arial" w:eastAsia="Times New Roman" w:hAnsi="Arial" w:cs="Arial"/>
          <w:b/>
          <w:bCs/>
          <w:sz w:val="22"/>
          <w:szCs w:val="22"/>
        </w:rPr>
        <w:t>Extended Figures and Legends</w:t>
      </w:r>
    </w:p>
    <w:p w14:paraId="426FA086" w14:textId="77777777" w:rsidR="008954AE" w:rsidRPr="00E23581" w:rsidRDefault="008954AE" w:rsidP="008954AE">
      <w:pPr>
        <w:spacing w:before="120" w:after="120"/>
        <w:rPr>
          <w:rFonts w:ascii="Arial" w:eastAsia="Times New Roman" w:hAnsi="Arial" w:cs="Arial"/>
          <w:sz w:val="22"/>
          <w:szCs w:val="22"/>
        </w:rPr>
      </w:pPr>
      <w:r w:rsidRPr="00F44DB4">
        <w:rPr>
          <w:rFonts w:ascii="Arial" w:eastAsia="Times New Roman" w:hAnsi="Arial" w:cs="Arial"/>
          <w:noProof/>
          <w:sz w:val="22"/>
          <w:szCs w:val="22"/>
          <w14:ligatures w14:val="standardContextual"/>
        </w:rPr>
        <w:drawing>
          <wp:inline distT="0" distB="0" distL="0" distR="0" wp14:anchorId="7ADA24CE" wp14:editId="1DC2E27B">
            <wp:extent cx="6347361" cy="7163160"/>
            <wp:effectExtent l="0" t="0" r="0" b="0"/>
            <wp:docPr id="302498042" name="Picture 8" descr="A collage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498042" name="Picture 8" descr="A collage of a diagram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1364" cy="7167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E1137" w14:textId="77777777" w:rsidR="008954AE" w:rsidRDefault="008954AE" w:rsidP="008954AE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4C975155" w14:textId="77777777" w:rsidR="008954AE" w:rsidRPr="00214B5F" w:rsidRDefault="008954AE" w:rsidP="008954AE">
      <w:pPr>
        <w:spacing w:before="120" w:after="120"/>
        <w:jc w:val="both"/>
        <w:rPr>
          <w:rFonts w:ascii="Arial" w:eastAsia="Times New Roman" w:hAnsi="Arial" w:cs="Arial"/>
          <w:sz w:val="22"/>
          <w:szCs w:val="22"/>
        </w:rPr>
      </w:pPr>
      <w:r w:rsidRPr="00F44DB4">
        <w:rPr>
          <w:rFonts w:ascii="Arial" w:hAnsi="Arial" w:cs="Arial"/>
          <w:b/>
          <w:bCs/>
          <w:sz w:val="22"/>
          <w:szCs w:val="22"/>
        </w:rPr>
        <w:lastRenderedPageBreak/>
        <w:t>Extended Data Figure 1. Additional single cell transcriptomic analysis.</w:t>
      </w:r>
      <w:r w:rsidRPr="00F44DB4">
        <w:rPr>
          <w:rFonts w:ascii="Arial" w:hAnsi="Arial" w:cs="Arial"/>
          <w:sz w:val="22"/>
          <w:szCs w:val="22"/>
        </w:rPr>
        <w:t xml:space="preserve"> </w:t>
      </w:r>
      <w:r w:rsidRPr="00F44DB4">
        <w:rPr>
          <w:rFonts w:ascii="Arial" w:hAnsi="Arial" w:cs="Arial"/>
          <w:b/>
          <w:bCs/>
          <w:sz w:val="22"/>
          <w:szCs w:val="22"/>
        </w:rPr>
        <w:t>(a)</w:t>
      </w:r>
      <w:r w:rsidRPr="00F44DB4">
        <w:rPr>
          <w:rFonts w:ascii="Arial" w:hAnsi="Arial" w:cs="Arial"/>
          <w:sz w:val="22"/>
          <w:szCs w:val="22"/>
        </w:rPr>
        <w:t xml:space="preserve"> Schematic images showing the workflow of HRP injections and tissue preparation.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(b) </w:t>
      </w:r>
      <w:r w:rsidRPr="00F44DB4">
        <w:rPr>
          <w:rFonts w:ascii="Arial" w:hAnsi="Arial" w:cs="Arial"/>
          <w:sz w:val="22"/>
          <w:szCs w:val="22"/>
        </w:rPr>
        <w:t xml:space="preserve">Representative images of mouse lung, muscle and spleen following the intravenous injection of HRP. Scale bar: 50 µm. </w:t>
      </w:r>
      <w:r w:rsidRPr="00F44DB4">
        <w:rPr>
          <w:rFonts w:ascii="Arial" w:hAnsi="Arial" w:cs="Arial"/>
          <w:b/>
          <w:bCs/>
          <w:sz w:val="22"/>
          <w:szCs w:val="22"/>
        </w:rPr>
        <w:t>(c)</w:t>
      </w:r>
      <w:r w:rsidRPr="00F44DB4">
        <w:rPr>
          <w:rFonts w:ascii="Arial" w:hAnsi="Arial" w:cs="Arial"/>
          <w:sz w:val="22"/>
          <w:szCs w:val="22"/>
        </w:rPr>
        <w:t xml:space="preserve"> tSNE plot of all cells from different tissues of Tabula Muris database. Each dot was color-coded and annotated by tissues. </w:t>
      </w:r>
      <w:r w:rsidRPr="00F44DB4">
        <w:rPr>
          <w:rFonts w:ascii="Arial" w:hAnsi="Arial" w:cs="Arial"/>
          <w:b/>
          <w:bCs/>
          <w:sz w:val="22"/>
          <w:szCs w:val="22"/>
        </w:rPr>
        <w:t>(d)</w:t>
      </w:r>
      <w:r w:rsidRPr="00F44DB4">
        <w:rPr>
          <w:rFonts w:ascii="Arial" w:hAnsi="Arial" w:cs="Arial"/>
          <w:sz w:val="22"/>
          <w:szCs w:val="22"/>
        </w:rPr>
        <w:t xml:space="preserve"> Violin plots showing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 xml:space="preserve"> that distinguish across and within different tissues. Red dot indicated the brain tissue. Brain_M: Brain myeloid; Brain_NM: Brain non-myeloid; Lar_Int: Large Intestine; Mus: Muscle; Mam_Gland: Mammary Gland.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(e) </w:t>
      </w:r>
      <w:r w:rsidRPr="00F44DB4">
        <w:rPr>
          <w:rFonts w:ascii="Arial" w:hAnsi="Arial" w:cs="Arial"/>
          <w:sz w:val="22"/>
          <w:szCs w:val="22"/>
        </w:rPr>
        <w:t xml:space="preserve">Violin plots showing the distribution of expression level of </w:t>
      </w:r>
      <w:r w:rsidRPr="00F44DB4">
        <w:rPr>
          <w:rFonts w:ascii="Arial" w:hAnsi="Arial" w:cs="Arial"/>
          <w:i/>
          <w:iCs/>
          <w:sz w:val="22"/>
          <w:szCs w:val="22"/>
        </w:rPr>
        <w:t>Plvap</w:t>
      </w:r>
      <w:r w:rsidRPr="00F44DB4">
        <w:rPr>
          <w:rFonts w:ascii="Arial" w:hAnsi="Arial" w:cs="Arial"/>
          <w:sz w:val="22"/>
          <w:szCs w:val="22"/>
        </w:rPr>
        <w:t xml:space="preserve">,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 xml:space="preserve"> and </w:t>
      </w:r>
      <w:r w:rsidRPr="00F44DB4">
        <w:rPr>
          <w:rFonts w:ascii="Arial" w:hAnsi="Arial" w:cs="Arial"/>
          <w:i/>
          <w:iCs/>
          <w:sz w:val="22"/>
          <w:szCs w:val="22"/>
        </w:rPr>
        <w:t>Pecam1</w:t>
      </w:r>
      <w:r w:rsidRPr="00F44DB4">
        <w:rPr>
          <w:rFonts w:ascii="Arial" w:hAnsi="Arial" w:cs="Arial"/>
          <w:sz w:val="22"/>
          <w:szCs w:val="22"/>
        </w:rPr>
        <w:t xml:space="preserve"> in brain vasculature transcriptomics. </w:t>
      </w:r>
      <w:r w:rsidRPr="00F44DB4">
        <w:rPr>
          <w:rFonts w:ascii="Arial" w:hAnsi="Arial" w:cs="Arial"/>
          <w:b/>
          <w:bCs/>
          <w:sz w:val="22"/>
          <w:szCs w:val="22"/>
        </w:rPr>
        <w:t>(f)</w:t>
      </w:r>
      <w:r w:rsidRPr="00F44DB4">
        <w:rPr>
          <w:rFonts w:ascii="Arial" w:hAnsi="Arial" w:cs="Arial"/>
          <w:sz w:val="22"/>
          <w:szCs w:val="22"/>
        </w:rPr>
        <w:t xml:space="preserve"> Gene expression heatmap of representative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F44DB4">
        <w:rPr>
          <w:rFonts w:ascii="Arial" w:hAnsi="Arial" w:cs="Arial"/>
          <w:sz w:val="22"/>
          <w:szCs w:val="22"/>
        </w:rPr>
        <w:t>genes in Allen Institute’s dataset. AC: astrocytes; OPC: Oligodendrocyte progenitor cells; Oligo: Oligodendrocytes; EC: endothelial cells; PC: Pericytes; SMC: smooth muscle cells; MG: microglia. (</w:t>
      </w:r>
      <w:r w:rsidRPr="00F44DB4">
        <w:rPr>
          <w:rFonts w:ascii="Arial" w:hAnsi="Arial" w:cs="Arial"/>
          <w:b/>
          <w:bCs/>
          <w:sz w:val="22"/>
          <w:szCs w:val="22"/>
        </w:rPr>
        <w:t>g</w:t>
      </w:r>
      <w:r w:rsidRPr="00F44DB4">
        <w:rPr>
          <w:rFonts w:ascii="Arial" w:hAnsi="Arial" w:cs="Arial"/>
          <w:sz w:val="22"/>
          <w:szCs w:val="22"/>
        </w:rPr>
        <w:t>)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F44DB4">
        <w:rPr>
          <w:rFonts w:ascii="Arial" w:hAnsi="Arial" w:cs="Arial"/>
          <w:sz w:val="22"/>
          <w:szCs w:val="22"/>
        </w:rPr>
        <w:t>Violin plots showing the distribution of expression level of the endothelial markers across all 20 clusters. (</w:t>
      </w:r>
      <w:r w:rsidRPr="00F44DB4">
        <w:rPr>
          <w:rFonts w:ascii="Arial" w:hAnsi="Arial" w:cs="Arial"/>
          <w:b/>
          <w:bCs/>
          <w:sz w:val="22"/>
          <w:szCs w:val="22"/>
        </w:rPr>
        <w:t>h</w:t>
      </w:r>
      <w:r w:rsidRPr="00F44DB4">
        <w:rPr>
          <w:rFonts w:ascii="Arial" w:hAnsi="Arial" w:cs="Arial"/>
          <w:sz w:val="22"/>
          <w:szCs w:val="22"/>
        </w:rPr>
        <w:t>)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F44DB4">
        <w:rPr>
          <w:rFonts w:ascii="Arial" w:hAnsi="Arial" w:cs="Arial"/>
          <w:sz w:val="22"/>
          <w:szCs w:val="22"/>
        </w:rPr>
        <w:t>Violin plots showing the Slco1c1 expression level in the Tabula Muris dataset.</w:t>
      </w:r>
    </w:p>
    <w:p w14:paraId="6418085D" w14:textId="77777777" w:rsidR="008954AE" w:rsidRDefault="008954AE" w:rsidP="008954AE">
      <w:pPr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</w:pPr>
      <w:r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  <w:br w:type="page"/>
      </w:r>
    </w:p>
    <w:p w14:paraId="0905B380" w14:textId="77777777" w:rsidR="008954AE" w:rsidRPr="00F44DB4" w:rsidRDefault="008954AE" w:rsidP="008954AE">
      <w:pPr>
        <w:spacing w:before="120" w:after="120"/>
        <w:jc w:val="both"/>
        <w:rPr>
          <w:rFonts w:ascii="Arial" w:hAnsi="Arial" w:cs="Arial"/>
          <w:b/>
          <w:bCs/>
          <w:sz w:val="22"/>
          <w:szCs w:val="22"/>
        </w:rPr>
      </w:pPr>
      <w:r w:rsidRPr="00F44DB4"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  <w:lastRenderedPageBreak/>
        <w:drawing>
          <wp:inline distT="0" distB="0" distL="0" distR="0" wp14:anchorId="58775509" wp14:editId="750617A1">
            <wp:extent cx="5943600" cy="3731895"/>
            <wp:effectExtent l="0" t="0" r="0" b="1905"/>
            <wp:docPr id="819298176" name="Picture 9" descr="A collage of images of bacteri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98176" name="Picture 9" descr="A collage of images of bacteria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3F590" w14:textId="77777777" w:rsidR="008954AE" w:rsidRPr="00F44DB4" w:rsidRDefault="008954AE" w:rsidP="008954AE">
      <w:pPr>
        <w:spacing w:before="120" w:after="120"/>
        <w:jc w:val="both"/>
        <w:rPr>
          <w:rFonts w:ascii="Arial" w:eastAsia="Times New Roman" w:hAnsi="Arial" w:cs="Arial"/>
          <w:sz w:val="22"/>
          <w:szCs w:val="22"/>
        </w:rPr>
      </w:pPr>
      <w:r w:rsidRPr="00F44DB4">
        <w:rPr>
          <w:rFonts w:ascii="Arial" w:hAnsi="Arial" w:cs="Arial"/>
          <w:b/>
          <w:bCs/>
          <w:sz w:val="22"/>
          <w:szCs w:val="22"/>
        </w:rPr>
        <w:t xml:space="preserve">Extended Data Figure 2. Validations of </w:t>
      </w:r>
      <w:r w:rsidRPr="00F44DB4">
        <w:rPr>
          <w:rFonts w:ascii="Arial" w:hAnsi="Arial" w:cs="Arial"/>
          <w:b/>
          <w:bCs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expressions in cerebrovasculature</w:t>
      </w:r>
      <w:r w:rsidRPr="00F44DB4">
        <w:rPr>
          <w:rFonts w:ascii="Arial" w:hAnsi="Arial" w:cs="Arial"/>
          <w:sz w:val="22"/>
          <w:szCs w:val="22"/>
        </w:rPr>
        <w:t xml:space="preserve">. </w:t>
      </w:r>
      <w:r w:rsidRPr="00F44DB4">
        <w:rPr>
          <w:rFonts w:ascii="Arial" w:hAnsi="Arial" w:cs="Arial"/>
          <w:b/>
          <w:bCs/>
          <w:sz w:val="22"/>
          <w:szCs w:val="22"/>
        </w:rPr>
        <w:t>(a)</w:t>
      </w:r>
      <w:r w:rsidRPr="00F44DB4">
        <w:rPr>
          <w:rFonts w:ascii="Arial" w:hAnsi="Arial" w:cs="Arial"/>
          <w:sz w:val="22"/>
          <w:szCs w:val="22"/>
        </w:rPr>
        <w:t xml:space="preserve"> Representative images for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 xml:space="preserve"> mRNA expression (green) and immunostaining for Lectin</w:t>
      </w:r>
      <w:r w:rsidRPr="00F44DB4">
        <w:rPr>
          <w:rFonts w:ascii="Arial" w:hAnsi="Arial" w:cs="Arial"/>
          <w:sz w:val="22"/>
          <w:szCs w:val="22"/>
          <w:vertAlign w:val="superscript"/>
        </w:rPr>
        <w:t xml:space="preserve">+ </w:t>
      </w:r>
      <w:r w:rsidRPr="00F44DB4">
        <w:rPr>
          <w:rFonts w:ascii="Arial" w:hAnsi="Arial" w:cs="Arial"/>
          <w:sz w:val="22"/>
          <w:szCs w:val="22"/>
        </w:rPr>
        <w:t>endothelia</w:t>
      </w:r>
      <w:r w:rsidRPr="00F44DB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F44DB4">
        <w:rPr>
          <w:rFonts w:ascii="Arial" w:hAnsi="Arial" w:cs="Arial"/>
          <w:sz w:val="22"/>
          <w:szCs w:val="22"/>
        </w:rPr>
        <w:t xml:space="preserve">cells (magenta) in cortex. Scale bar: 50 µm. </w:t>
      </w:r>
      <w:r w:rsidRPr="00F44DB4">
        <w:rPr>
          <w:rFonts w:ascii="Arial" w:hAnsi="Arial" w:cs="Arial"/>
          <w:b/>
          <w:bCs/>
          <w:sz w:val="22"/>
          <w:szCs w:val="22"/>
        </w:rPr>
        <w:t>(b)</w:t>
      </w:r>
      <w:r w:rsidRPr="00F44DB4">
        <w:rPr>
          <w:rFonts w:ascii="Arial" w:hAnsi="Arial" w:cs="Arial"/>
          <w:sz w:val="22"/>
          <w:szCs w:val="22"/>
        </w:rPr>
        <w:t xml:space="preserve"> Immunohistochemistry staining of rabbit polyclonal ZIC3 antibodies (PA5-29073) on paraffin embedded mouse brain section. Scale bar: 100 µm.</w:t>
      </w:r>
    </w:p>
    <w:p w14:paraId="0AB07AC5" w14:textId="77777777" w:rsidR="008954AE" w:rsidRPr="00214B5F" w:rsidRDefault="008954AE" w:rsidP="008954AE">
      <w:pPr>
        <w:spacing w:before="120" w:after="120"/>
        <w:jc w:val="both"/>
        <w:rPr>
          <w:rFonts w:ascii="Arial" w:eastAsia="Times New Roman" w:hAnsi="Arial" w:cs="Arial"/>
          <w:sz w:val="22"/>
          <w:szCs w:val="22"/>
        </w:rPr>
      </w:pPr>
      <w:r w:rsidRPr="00F44DB4">
        <w:rPr>
          <w:rFonts w:ascii="Arial" w:eastAsia="Times New Roman" w:hAnsi="Arial" w:cs="Arial"/>
          <w:noProof/>
          <w:sz w:val="22"/>
          <w:szCs w:val="22"/>
          <w14:ligatures w14:val="standardContextual"/>
        </w:rPr>
        <w:lastRenderedPageBreak/>
        <w:drawing>
          <wp:inline distT="0" distB="0" distL="0" distR="0" wp14:anchorId="05C561C5" wp14:editId="004473CC">
            <wp:extent cx="6323610" cy="8183535"/>
            <wp:effectExtent l="0" t="0" r="1270" b="8255"/>
            <wp:docPr id="686313195" name="Picture 10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13195" name="Picture 10" descr="A screenshot of a computer screen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6463" cy="8187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4DB4">
        <w:rPr>
          <w:rFonts w:ascii="Arial" w:hAnsi="Arial" w:cs="Arial"/>
          <w:b/>
          <w:bCs/>
          <w:sz w:val="22"/>
          <w:szCs w:val="22"/>
        </w:rPr>
        <w:lastRenderedPageBreak/>
        <w:t xml:space="preserve">Extended Data Figure 3. Generation of the Zic3-T2A-tdTomato-IRES-CreERT2 knock-in model. (a) </w:t>
      </w:r>
      <w:r w:rsidRPr="00F44DB4">
        <w:rPr>
          <w:rFonts w:ascii="Arial" w:hAnsi="Arial" w:cs="Arial"/>
          <w:sz w:val="22"/>
          <w:szCs w:val="22"/>
        </w:rPr>
        <w:t xml:space="preserve">Sequencing analysis of F1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i/>
          <w:iCs/>
          <w:sz w:val="22"/>
          <w:szCs w:val="22"/>
          <w:vertAlign w:val="superscript"/>
        </w:rPr>
        <w:t>tdT/</w:t>
      </w:r>
      <w:r w:rsidRPr="00F44DB4">
        <w:rPr>
          <w:rFonts w:ascii="Arial" w:hAnsi="Arial" w:cs="Arial"/>
          <w:sz w:val="22"/>
          <w:szCs w:val="22"/>
          <w:vertAlign w:val="superscript"/>
        </w:rPr>
        <w:t xml:space="preserve">+ </w:t>
      </w:r>
      <w:r w:rsidRPr="00F44DB4">
        <w:rPr>
          <w:rFonts w:ascii="Arial" w:hAnsi="Arial" w:cs="Arial"/>
          <w:sz w:val="22"/>
          <w:szCs w:val="22"/>
        </w:rPr>
        <w:t xml:space="preserve">mice showing the insertions at 5’arm (top) and 3’arm (bottom). No additional mutation or deletion were found. </w:t>
      </w:r>
      <w:r w:rsidRPr="00F44DB4">
        <w:rPr>
          <w:rFonts w:ascii="Arial" w:hAnsi="Arial" w:cs="Arial"/>
          <w:b/>
          <w:bCs/>
          <w:sz w:val="22"/>
          <w:szCs w:val="22"/>
        </w:rPr>
        <w:t>(b)</w:t>
      </w:r>
      <w:r w:rsidRPr="00F44DB4">
        <w:rPr>
          <w:rFonts w:ascii="Arial" w:hAnsi="Arial" w:cs="Arial"/>
          <w:sz w:val="22"/>
          <w:szCs w:val="22"/>
        </w:rPr>
        <w:t xml:space="preserve"> Southern blotting analysis showing F0 and 4 F1 founders (#5, #6, #7, #13) carrying the intact allele based on hybridization of probes targeting the 5’ and 3’ arms, compared to a WT littermate.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(c)</w:t>
      </w:r>
      <w:r w:rsidRPr="00F44DB4">
        <w:rPr>
          <w:rFonts w:ascii="Arial" w:hAnsi="Arial" w:cs="Arial"/>
          <w:sz w:val="22"/>
          <w:szCs w:val="22"/>
        </w:rPr>
        <w:t xml:space="preserve"> Genotyping result showing the genotype of WT (with a 544-bp band),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i/>
          <w:iCs/>
          <w:sz w:val="22"/>
          <w:szCs w:val="22"/>
          <w:vertAlign w:val="superscript"/>
        </w:rPr>
        <w:t>tdT/</w:t>
      </w:r>
      <w:r w:rsidRPr="00F44DB4">
        <w:rPr>
          <w:rFonts w:ascii="Arial" w:hAnsi="Arial" w:cs="Arial"/>
          <w:sz w:val="22"/>
          <w:szCs w:val="22"/>
          <w:vertAlign w:val="superscript"/>
        </w:rPr>
        <w:t xml:space="preserve">+ </w:t>
      </w:r>
      <w:r w:rsidRPr="00F44DB4">
        <w:rPr>
          <w:rFonts w:ascii="Arial" w:hAnsi="Arial" w:cs="Arial"/>
          <w:sz w:val="22"/>
          <w:szCs w:val="22"/>
        </w:rPr>
        <w:t xml:space="preserve">(with 544-bp and 375-bp bands) and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i/>
          <w:iCs/>
          <w:sz w:val="22"/>
          <w:szCs w:val="22"/>
          <w:vertAlign w:val="superscript"/>
        </w:rPr>
        <w:t>tdT/tdT</w:t>
      </w:r>
      <w:r w:rsidRPr="00F44DB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F44DB4">
        <w:rPr>
          <w:rFonts w:ascii="Arial" w:hAnsi="Arial" w:cs="Arial"/>
          <w:sz w:val="22"/>
          <w:szCs w:val="22"/>
        </w:rPr>
        <w:t xml:space="preserve">(with a 375-bp band). </w:t>
      </w:r>
      <w:r w:rsidRPr="00F44DB4">
        <w:rPr>
          <w:rFonts w:ascii="Arial" w:hAnsi="Arial" w:cs="Arial"/>
          <w:i/>
          <w:iCs/>
          <w:sz w:val="22"/>
          <w:szCs w:val="22"/>
        </w:rPr>
        <w:t>tdT, tdTomato</w:t>
      </w:r>
      <w:r w:rsidRPr="00F44DB4">
        <w:rPr>
          <w:rFonts w:ascii="Arial" w:hAnsi="Arial" w:cs="Arial"/>
          <w:sz w:val="22"/>
          <w:szCs w:val="22"/>
        </w:rPr>
        <w:t xml:space="preserve">.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(d) </w:t>
      </w:r>
      <w:r w:rsidRPr="00F44DB4">
        <w:rPr>
          <w:rFonts w:ascii="Arial" w:hAnsi="Arial" w:cs="Arial"/>
          <w:sz w:val="22"/>
          <w:szCs w:val="22"/>
        </w:rPr>
        <w:t xml:space="preserve">Flat mount of homozygous </w:t>
      </w:r>
      <w:r w:rsidRPr="00F44DB4">
        <w:rPr>
          <w:rFonts w:ascii="Arial" w:hAnsi="Arial" w:cs="Arial"/>
          <w:i/>
          <w:iCs/>
          <w:sz w:val="22"/>
          <w:szCs w:val="22"/>
        </w:rPr>
        <w:t>Zic3-T2A-tdTomato-IRES-CreERT2</w:t>
      </w:r>
      <w:r w:rsidRPr="00F44DB4">
        <w:rPr>
          <w:rFonts w:ascii="Arial" w:hAnsi="Arial" w:cs="Arial"/>
          <w:sz w:val="22"/>
          <w:szCs w:val="22"/>
        </w:rPr>
        <w:t xml:space="preserve"> mouse retina.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(e) </w:t>
      </w:r>
      <w:r w:rsidRPr="00F44DB4">
        <w:rPr>
          <w:rFonts w:ascii="Arial" w:hAnsi="Arial" w:cs="Arial"/>
          <w:sz w:val="22"/>
          <w:szCs w:val="22"/>
        </w:rPr>
        <w:t xml:space="preserve">Colocalization of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 xml:space="preserve">-tdTomato with endothelial marker CD31 (green) on Lectin (gray) positive endothelium. </w:t>
      </w:r>
      <w:r w:rsidRPr="00F44DB4">
        <w:rPr>
          <w:rFonts w:ascii="Arial" w:hAnsi="Arial" w:cs="Arial"/>
          <w:color w:val="000000" w:themeColor="text1"/>
          <w:sz w:val="22"/>
          <w:szCs w:val="22"/>
        </w:rPr>
        <w:t xml:space="preserve">Scale bar: 50 µm.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(f) </w:t>
      </w:r>
      <w:r w:rsidRPr="00F44DB4">
        <w:rPr>
          <w:rFonts w:ascii="Arial" w:hAnsi="Arial" w:cs="Arial"/>
          <w:sz w:val="22"/>
          <w:szCs w:val="22"/>
        </w:rPr>
        <w:t xml:space="preserve">Representative confocal images showing that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>-tdTomato is not expressed in CD13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pericytes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. (g) </w:t>
      </w:r>
      <w:r w:rsidRPr="00F44DB4">
        <w:rPr>
          <w:rFonts w:ascii="Arial" w:hAnsi="Arial" w:cs="Arial"/>
          <w:sz w:val="22"/>
          <w:szCs w:val="22"/>
        </w:rPr>
        <w:t xml:space="preserve">Quantification of the percentage of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>-tdTomato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cells in CD31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endothelial cells or CD13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pericytes. n = 3 mice. Data are presented in mean ± SEM.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(h-j) </w:t>
      </w:r>
      <w:r w:rsidRPr="00F44DB4">
        <w:rPr>
          <w:rFonts w:ascii="Arial" w:hAnsi="Arial" w:cs="Arial"/>
          <w:sz w:val="22"/>
          <w:szCs w:val="22"/>
        </w:rPr>
        <w:t xml:space="preserve">Representative confocal images showing that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>-tdTomato is not expressed in NeuN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cortical neurons (</w:t>
      </w:r>
      <w:r w:rsidRPr="00F44DB4">
        <w:rPr>
          <w:rFonts w:ascii="Arial" w:hAnsi="Arial" w:cs="Arial"/>
          <w:b/>
          <w:bCs/>
          <w:sz w:val="22"/>
          <w:szCs w:val="22"/>
        </w:rPr>
        <w:t>h</w:t>
      </w:r>
      <w:r w:rsidRPr="00F44DB4">
        <w:rPr>
          <w:rFonts w:ascii="Arial" w:hAnsi="Arial" w:cs="Arial"/>
          <w:sz w:val="22"/>
          <w:szCs w:val="22"/>
        </w:rPr>
        <w:t>), glial fibrillar acidic protein (GFAP)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astrocytes (</w:t>
      </w:r>
      <w:r w:rsidRPr="00F44DB4">
        <w:rPr>
          <w:rFonts w:ascii="Arial" w:hAnsi="Arial" w:cs="Arial"/>
          <w:b/>
          <w:bCs/>
          <w:sz w:val="22"/>
          <w:szCs w:val="22"/>
        </w:rPr>
        <w:t>i</w:t>
      </w:r>
      <w:r w:rsidRPr="00F44DB4">
        <w:rPr>
          <w:rFonts w:ascii="Arial" w:hAnsi="Arial" w:cs="Arial"/>
          <w:sz w:val="22"/>
          <w:szCs w:val="22"/>
        </w:rPr>
        <w:t>), or ionized calcium binding adaptor molecule 1 Iba1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microglia (</w:t>
      </w:r>
      <w:r w:rsidRPr="00F44DB4">
        <w:rPr>
          <w:rFonts w:ascii="Arial" w:hAnsi="Arial" w:cs="Arial"/>
          <w:b/>
          <w:bCs/>
          <w:sz w:val="22"/>
          <w:szCs w:val="22"/>
        </w:rPr>
        <w:t>j</w:t>
      </w:r>
      <w:r w:rsidRPr="00F44DB4">
        <w:rPr>
          <w:rFonts w:ascii="Arial" w:hAnsi="Arial" w:cs="Arial"/>
          <w:sz w:val="22"/>
          <w:szCs w:val="22"/>
        </w:rPr>
        <w:t>). (</w:t>
      </w:r>
      <w:r w:rsidRPr="00F44DB4">
        <w:rPr>
          <w:rFonts w:ascii="Arial" w:hAnsi="Arial" w:cs="Arial"/>
          <w:b/>
          <w:bCs/>
          <w:sz w:val="22"/>
          <w:szCs w:val="22"/>
        </w:rPr>
        <w:t>k</w:t>
      </w:r>
      <w:r w:rsidRPr="00F44DB4">
        <w:rPr>
          <w:rFonts w:ascii="Arial" w:hAnsi="Arial" w:cs="Arial"/>
          <w:sz w:val="22"/>
          <w:szCs w:val="22"/>
        </w:rPr>
        <w:t>)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F44DB4">
        <w:rPr>
          <w:rFonts w:ascii="Arial" w:hAnsi="Arial" w:cs="Arial"/>
          <w:sz w:val="22"/>
          <w:szCs w:val="22"/>
        </w:rPr>
        <w:t xml:space="preserve">Quantification of the percentage of </w:t>
      </w:r>
      <w:r w:rsidRPr="00F44DB4">
        <w:rPr>
          <w:rFonts w:ascii="Arial" w:hAnsi="Arial" w:cs="Arial"/>
          <w:i/>
          <w:iCs/>
          <w:sz w:val="22"/>
          <w:szCs w:val="22"/>
        </w:rPr>
        <w:t>Zic3</w:t>
      </w:r>
      <w:r w:rsidRPr="00F44DB4">
        <w:rPr>
          <w:rFonts w:ascii="Arial" w:hAnsi="Arial" w:cs="Arial"/>
          <w:sz w:val="22"/>
          <w:szCs w:val="22"/>
        </w:rPr>
        <w:t>-tdTomato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cells in lectin</w:t>
      </w:r>
      <w:r w:rsidRPr="00F44DB4">
        <w:rPr>
          <w:rFonts w:ascii="Arial" w:hAnsi="Arial" w:cs="Arial"/>
          <w:sz w:val="22"/>
          <w:szCs w:val="22"/>
          <w:vertAlign w:val="superscript"/>
        </w:rPr>
        <w:t>+</w:t>
      </w:r>
      <w:r w:rsidRPr="00F44DB4">
        <w:rPr>
          <w:rFonts w:ascii="Arial" w:hAnsi="Arial" w:cs="Arial"/>
          <w:sz w:val="22"/>
          <w:szCs w:val="22"/>
        </w:rPr>
        <w:t xml:space="preserve"> vessels. n = 3 mice. Data are presented in mean ± SEM. </w:t>
      </w:r>
    </w:p>
    <w:p w14:paraId="2F6288CC" w14:textId="77777777" w:rsidR="008954AE" w:rsidRDefault="008954AE" w:rsidP="008954AE">
      <w:pPr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</w:pPr>
      <w:r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  <w:br w:type="page"/>
      </w:r>
    </w:p>
    <w:p w14:paraId="7226BA8C" w14:textId="77777777" w:rsidR="008954AE" w:rsidRPr="00F44DB4" w:rsidRDefault="008954AE" w:rsidP="008954A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F44DB4"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  <w:lastRenderedPageBreak/>
        <w:drawing>
          <wp:inline distT="0" distB="0" distL="0" distR="0" wp14:anchorId="5D1B198C" wp14:editId="73AFF1CA">
            <wp:extent cx="5943600" cy="3243580"/>
            <wp:effectExtent l="0" t="0" r="0" b="0"/>
            <wp:docPr id="1190710146" name="Picture 1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710146" name="Picture 11" descr="A screenshot of a computer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F6ECA" w14:textId="77777777" w:rsidR="008954AE" w:rsidRPr="00C401DE" w:rsidRDefault="008954AE" w:rsidP="008954AE">
      <w:pPr>
        <w:tabs>
          <w:tab w:val="left" w:pos="10800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F44DB4">
        <w:rPr>
          <w:rFonts w:ascii="Arial" w:hAnsi="Arial" w:cs="Arial"/>
          <w:b/>
          <w:bCs/>
          <w:sz w:val="22"/>
          <w:szCs w:val="22"/>
        </w:rPr>
        <w:t xml:space="preserve">Extended Data Figure 4. Generation of the </w:t>
      </w:r>
      <w:r w:rsidRPr="00F44DB4">
        <w:rPr>
          <w:rFonts w:ascii="Arial" w:hAnsi="Arial" w:cs="Arial"/>
          <w:b/>
          <w:bCs/>
          <w:i/>
          <w:iCs/>
          <w:sz w:val="22"/>
          <w:szCs w:val="22"/>
        </w:rPr>
        <w:t xml:space="preserve">Plvap-T2A-EGFP-IRES-CreERT2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knock-in model and additional characterization. (a) </w:t>
      </w:r>
      <w:r w:rsidRPr="00F44DB4">
        <w:rPr>
          <w:rFonts w:ascii="Arial" w:hAnsi="Arial" w:cs="Arial"/>
          <w:sz w:val="22"/>
          <w:szCs w:val="22"/>
        </w:rPr>
        <w:t xml:space="preserve">Sequencing analysis of F1 </w:t>
      </w:r>
      <w:r w:rsidRPr="00F44DB4">
        <w:rPr>
          <w:rFonts w:ascii="Arial" w:hAnsi="Arial" w:cs="Arial"/>
          <w:i/>
          <w:iCs/>
          <w:sz w:val="22"/>
          <w:szCs w:val="22"/>
        </w:rPr>
        <w:t>Plvap</w:t>
      </w:r>
      <w:r w:rsidRPr="00F44DB4">
        <w:rPr>
          <w:rFonts w:ascii="Arial" w:hAnsi="Arial" w:cs="Arial"/>
          <w:i/>
          <w:iCs/>
          <w:sz w:val="22"/>
          <w:szCs w:val="22"/>
          <w:vertAlign w:val="superscript"/>
        </w:rPr>
        <w:t>EGFP/</w:t>
      </w:r>
      <w:r w:rsidRPr="00F44DB4">
        <w:rPr>
          <w:rFonts w:ascii="Arial" w:hAnsi="Arial" w:cs="Arial"/>
          <w:sz w:val="22"/>
          <w:szCs w:val="22"/>
          <w:vertAlign w:val="superscript"/>
        </w:rPr>
        <w:t xml:space="preserve">+ </w:t>
      </w:r>
      <w:r w:rsidRPr="00F44DB4">
        <w:rPr>
          <w:rFonts w:ascii="Arial" w:hAnsi="Arial" w:cs="Arial"/>
          <w:sz w:val="22"/>
          <w:szCs w:val="22"/>
        </w:rPr>
        <w:t xml:space="preserve">mice showing the insertions at 5’arm (top) and 3’arm (bottom). No additional mutation or deletion were found. </w:t>
      </w:r>
      <w:r w:rsidRPr="00F44DB4">
        <w:rPr>
          <w:rFonts w:ascii="Arial" w:hAnsi="Arial" w:cs="Arial"/>
          <w:b/>
          <w:bCs/>
          <w:sz w:val="22"/>
          <w:szCs w:val="22"/>
        </w:rPr>
        <w:t>(b)</w:t>
      </w:r>
      <w:r w:rsidRPr="00F44DB4">
        <w:rPr>
          <w:rFonts w:ascii="Arial" w:hAnsi="Arial" w:cs="Arial"/>
          <w:sz w:val="22"/>
          <w:szCs w:val="22"/>
        </w:rPr>
        <w:t xml:space="preserve"> Southern blotting analysis showing F0 and 3 F1 founders (#1, #14, #16) carrying the intact allele based on hybridization of probes targeting the 5’ and 3’ arms, compared to a WT littermate.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(c)</w:t>
      </w:r>
      <w:r w:rsidRPr="00F44DB4">
        <w:rPr>
          <w:rFonts w:ascii="Arial" w:hAnsi="Arial" w:cs="Arial"/>
          <w:sz w:val="22"/>
          <w:szCs w:val="22"/>
        </w:rPr>
        <w:t xml:space="preserve"> Genotyping result showing the genotype of WT (with a 483-bp band) and </w:t>
      </w:r>
      <w:r w:rsidRPr="00F44DB4">
        <w:rPr>
          <w:rFonts w:ascii="Arial" w:hAnsi="Arial" w:cs="Arial"/>
          <w:i/>
          <w:iCs/>
          <w:sz w:val="22"/>
          <w:szCs w:val="22"/>
        </w:rPr>
        <w:t>plvap</w:t>
      </w:r>
      <w:r w:rsidRPr="00F44DB4">
        <w:rPr>
          <w:rFonts w:ascii="Arial" w:hAnsi="Arial" w:cs="Arial"/>
          <w:i/>
          <w:iCs/>
          <w:sz w:val="22"/>
          <w:szCs w:val="22"/>
          <w:vertAlign w:val="superscript"/>
        </w:rPr>
        <w:t>EGFP/</w:t>
      </w:r>
      <w:r w:rsidRPr="00F44DB4">
        <w:rPr>
          <w:rFonts w:ascii="Arial" w:hAnsi="Arial" w:cs="Arial"/>
          <w:sz w:val="22"/>
          <w:szCs w:val="22"/>
          <w:vertAlign w:val="superscript"/>
        </w:rPr>
        <w:t xml:space="preserve">+ </w:t>
      </w:r>
      <w:r w:rsidRPr="00F44DB4">
        <w:rPr>
          <w:rFonts w:ascii="Arial" w:hAnsi="Arial" w:cs="Arial"/>
          <w:sz w:val="22"/>
          <w:szCs w:val="22"/>
        </w:rPr>
        <w:t xml:space="preserve">(with 483-bp and 405-bp bands). 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(d) </w:t>
      </w:r>
      <w:r w:rsidRPr="00F44DB4">
        <w:rPr>
          <w:rFonts w:ascii="Arial" w:hAnsi="Arial" w:cs="Arial"/>
          <w:sz w:val="22"/>
          <w:szCs w:val="22"/>
        </w:rPr>
        <w:t xml:space="preserve">Violin plots showing </w:t>
      </w:r>
      <w:r w:rsidRPr="00F44DB4">
        <w:rPr>
          <w:rFonts w:ascii="Arial" w:hAnsi="Arial" w:cs="Arial"/>
          <w:i/>
          <w:iCs/>
          <w:sz w:val="22"/>
          <w:szCs w:val="22"/>
        </w:rPr>
        <w:t>Plvap</w:t>
      </w:r>
      <w:r w:rsidRPr="00F44DB4">
        <w:rPr>
          <w:rFonts w:ascii="Arial" w:hAnsi="Arial" w:cs="Arial"/>
          <w:sz w:val="22"/>
          <w:szCs w:val="22"/>
        </w:rPr>
        <w:t xml:space="preserve"> that distinguish across and within 18 tissues in Tabula Muris dataset.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(e) </w:t>
      </w:r>
      <w:r w:rsidRPr="00F44DB4">
        <w:rPr>
          <w:rFonts w:ascii="Arial" w:hAnsi="Arial" w:cs="Arial"/>
          <w:sz w:val="22"/>
          <w:szCs w:val="22"/>
        </w:rPr>
        <w:t>IPA Pathway analysis</w:t>
      </w:r>
      <w:r w:rsidRPr="00F44D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F44DB4">
        <w:rPr>
          <w:rFonts w:ascii="Arial" w:hAnsi="Arial" w:cs="Arial"/>
          <w:sz w:val="22"/>
          <w:szCs w:val="22"/>
        </w:rPr>
        <w:t>on 341 BBB endothelial cells enriched genes.</w:t>
      </w:r>
    </w:p>
    <w:p w14:paraId="5401D430" w14:textId="77777777" w:rsidR="00F553FF" w:rsidRDefault="00F553FF"/>
    <w:sectPr w:rsidR="00F553FF" w:rsidSect="008954A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4AE"/>
    <w:rsid w:val="003C2EF4"/>
    <w:rsid w:val="00446799"/>
    <w:rsid w:val="006A7E07"/>
    <w:rsid w:val="00701021"/>
    <w:rsid w:val="008954AE"/>
    <w:rsid w:val="00B74216"/>
    <w:rsid w:val="00C10648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32555"/>
  <w15:chartTrackingRefBased/>
  <w15:docId w15:val="{EB78F344-89D5-4C8E-97E8-E90769E5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4AE"/>
    <w:pPr>
      <w:spacing w:after="0" w:line="240" w:lineRule="auto"/>
    </w:pPr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54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54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4A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54A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54A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54A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4A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4A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54A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54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54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4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54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54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54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4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4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54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54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954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4A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954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54AE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954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54AE"/>
    <w:pPr>
      <w:spacing w:after="160"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954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54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54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54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565</Words>
  <Characters>3226</Characters>
  <Application>Microsoft Office Word</Application>
  <DocSecurity>0</DocSecurity>
  <Lines>26</Lines>
  <Paragraphs>7</Paragraphs>
  <ScaleCrop>false</ScaleCrop>
  <Company>Springer Nature</Company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2025-08-27T05:52:00Z</dcterms:created>
  <dcterms:modified xsi:type="dcterms:W3CDTF">2025-08-27T05:53:00Z</dcterms:modified>
</cp:coreProperties>
</file>