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0DDA09" w14:textId="77777777" w:rsidR="00E450A7" w:rsidRPr="00E450A7" w:rsidRDefault="00E450A7" w:rsidP="00E450A7">
      <w:pPr>
        <w:rPr>
          <w:b/>
          <w:lang w:val="en"/>
        </w:rPr>
      </w:pPr>
      <w:r w:rsidRPr="00E450A7">
        <w:rPr>
          <w:b/>
          <w:lang w:val="en"/>
        </w:rPr>
        <w:t>Supplementary figure legends</w:t>
      </w:r>
    </w:p>
    <w:p w14:paraId="44724EEE" w14:textId="77777777" w:rsidR="00E450A7" w:rsidRPr="00E450A7" w:rsidRDefault="00E450A7" w:rsidP="00E450A7">
      <w:pPr>
        <w:rPr>
          <w:lang w:val="en"/>
        </w:rPr>
      </w:pPr>
      <w:r w:rsidRPr="00E450A7">
        <w:rPr>
          <w:b/>
          <w:lang w:val="en"/>
        </w:rPr>
        <w:t xml:space="preserve">Supplementary Figure 1. XRCC4/p53-deficient neural progenitor cell’s genomes were mostly diploid. </w:t>
      </w:r>
      <w:r w:rsidRPr="00E450A7">
        <w:rPr>
          <w:lang w:val="en"/>
        </w:rPr>
        <w:t xml:space="preserve">The figure presents four ploidy plots for all autosomes and the X chromosome in samples treated with either the solvent control (DMSO) or aphidicolin. The Y-axis represents copy number, and the X-axis represents chromosome length in </w:t>
      </w:r>
      <w:proofErr w:type="spellStart"/>
      <w:r w:rsidRPr="00E450A7">
        <w:rPr>
          <w:lang w:val="en"/>
        </w:rPr>
        <w:t>megabases</w:t>
      </w:r>
      <w:proofErr w:type="spellEnd"/>
      <w:r w:rsidRPr="00E450A7">
        <w:rPr>
          <w:lang w:val="en"/>
        </w:rPr>
        <w:t>.</w:t>
      </w:r>
    </w:p>
    <w:p w14:paraId="704ADB1F" w14:textId="77777777" w:rsidR="00E450A7" w:rsidRPr="00E450A7" w:rsidRDefault="00E450A7" w:rsidP="00E450A7">
      <w:pPr>
        <w:rPr>
          <w:lang w:val="en"/>
        </w:rPr>
      </w:pPr>
      <w:r w:rsidRPr="00E450A7">
        <w:rPr>
          <w:b/>
          <w:lang w:val="en"/>
        </w:rPr>
        <w:t>Supplementary Figure 2. Aphidicolin-induced heterozygous deletions arise at a subset of late-replicating constant-timing RDC, continued. (A)</w:t>
      </w:r>
      <w:r w:rsidRPr="00E450A7">
        <w:rPr>
          <w:lang w:val="en"/>
        </w:rPr>
        <w:t xml:space="preserve"> Two RDC locations exhibited significant DNA sequence losses near the Delly2 cutoff. </w:t>
      </w:r>
      <w:r w:rsidRPr="00E450A7">
        <w:rPr>
          <w:b/>
          <w:lang w:val="en"/>
        </w:rPr>
        <w:t>(B)</w:t>
      </w:r>
      <w:r w:rsidRPr="00E450A7">
        <w:rPr>
          <w:lang w:val="en"/>
        </w:rPr>
        <w:t xml:space="preserve"> Three RDCs are located at the timing transition region (TTR). </w:t>
      </w:r>
      <w:r w:rsidRPr="00E450A7">
        <w:rPr>
          <w:b/>
          <w:lang w:val="en"/>
        </w:rPr>
        <w:t>(C)</w:t>
      </w:r>
      <w:r w:rsidRPr="00E450A7">
        <w:rPr>
          <w:lang w:val="en"/>
        </w:rPr>
        <w:t xml:space="preserve"> Three RDCs are located at the biphasic replicating region. Tracks in Panel A-C are as in Figure 2A.</w:t>
      </w:r>
      <w:r w:rsidRPr="00E450A7">
        <w:rPr>
          <w:b/>
          <w:lang w:val="en"/>
        </w:rPr>
        <w:t xml:space="preserve"> (D)</w:t>
      </w:r>
      <w:r w:rsidRPr="00E450A7">
        <w:rPr>
          <w:lang w:val="en"/>
        </w:rPr>
        <w:t xml:space="preserve"> </w:t>
      </w:r>
      <w:proofErr w:type="spellStart"/>
      <w:r w:rsidRPr="00E450A7">
        <w:rPr>
          <w:lang w:val="en"/>
        </w:rPr>
        <w:t>Underreplication</w:t>
      </w:r>
      <w:proofErr w:type="spellEnd"/>
      <w:r w:rsidRPr="00E450A7">
        <w:rPr>
          <w:lang w:val="en"/>
        </w:rPr>
        <w:t xml:space="preserve"> index (URI) and whole-genome sequencing log₂(APH/DMSO) for six RDC-containing genomic regions. Four loci—</w:t>
      </w:r>
      <w:r w:rsidRPr="00E450A7">
        <w:rPr>
          <w:i/>
          <w:lang w:val="en"/>
        </w:rPr>
        <w:t>Ctnna2</w:t>
      </w:r>
      <w:r w:rsidRPr="00E450A7">
        <w:rPr>
          <w:lang w:val="en"/>
        </w:rPr>
        <w:t>,</w:t>
      </w:r>
      <w:r w:rsidRPr="00E450A7">
        <w:rPr>
          <w:i/>
          <w:lang w:val="en"/>
        </w:rPr>
        <w:t xml:space="preserve"> Lrp1b</w:t>
      </w:r>
      <w:r w:rsidRPr="00E450A7">
        <w:rPr>
          <w:lang w:val="en"/>
        </w:rPr>
        <w:t>,</w:t>
      </w:r>
      <w:r w:rsidRPr="00E450A7">
        <w:rPr>
          <w:i/>
          <w:lang w:val="en"/>
        </w:rPr>
        <w:t xml:space="preserve"> Nrg3</w:t>
      </w:r>
      <w:r w:rsidRPr="00E450A7">
        <w:rPr>
          <w:lang w:val="en"/>
        </w:rPr>
        <w:t xml:space="preserve">, and </w:t>
      </w:r>
      <w:r w:rsidRPr="00E450A7">
        <w:rPr>
          <w:i/>
          <w:lang w:val="en"/>
        </w:rPr>
        <w:t>Csmd1</w:t>
      </w:r>
      <w:r w:rsidRPr="00E450A7">
        <w:rPr>
          <w:lang w:val="en"/>
        </w:rPr>
        <w:t xml:space="preserve">—exhibited low URI values and significant DNA sequence loss. At the </w:t>
      </w:r>
      <w:r w:rsidRPr="00E450A7">
        <w:rPr>
          <w:i/>
          <w:lang w:val="en"/>
        </w:rPr>
        <w:t>Sox5</w:t>
      </w:r>
      <w:r w:rsidRPr="00E450A7">
        <w:rPr>
          <w:lang w:val="en"/>
        </w:rPr>
        <w:t xml:space="preserve"> locus, despite a high URI, a notable loss of DNA sequences was still observed. In contrast, the </w:t>
      </w:r>
      <w:r w:rsidRPr="00E450A7">
        <w:rPr>
          <w:i/>
          <w:lang w:val="en"/>
        </w:rPr>
        <w:t>Nkain2</w:t>
      </w:r>
      <w:r w:rsidRPr="00E450A7">
        <w:rPr>
          <w:lang w:val="en"/>
        </w:rPr>
        <w:t xml:space="preserve"> locus displayed a low URI without corresponding DNA sequence loss. The heatmap scale is shown above.</w:t>
      </w:r>
    </w:p>
    <w:p w14:paraId="02C52C3A" w14:textId="77777777" w:rsidR="00E450A7" w:rsidRPr="00E450A7" w:rsidRDefault="00E450A7" w:rsidP="00E450A7">
      <w:pPr>
        <w:rPr>
          <w:lang w:val="en"/>
        </w:rPr>
      </w:pPr>
      <w:r w:rsidRPr="00E450A7">
        <w:rPr>
          <w:b/>
          <w:lang w:val="en"/>
        </w:rPr>
        <w:t xml:space="preserve">Supplementary Figure 3. CRISPR/Cas9-mediated deletion strategies and validation for </w:t>
      </w:r>
      <w:r w:rsidRPr="00E450A7">
        <w:rPr>
          <w:b/>
          <w:i/>
          <w:lang w:val="en"/>
        </w:rPr>
        <w:t>Ctnna2</w:t>
      </w:r>
      <w:r w:rsidRPr="00E450A7">
        <w:rPr>
          <w:b/>
          <w:lang w:val="en"/>
        </w:rPr>
        <w:t xml:space="preserve"> and </w:t>
      </w:r>
      <w:r w:rsidRPr="00E450A7">
        <w:rPr>
          <w:b/>
          <w:i/>
          <w:lang w:val="en"/>
        </w:rPr>
        <w:t>Nrg3</w:t>
      </w:r>
      <w:r w:rsidRPr="00E450A7">
        <w:rPr>
          <w:b/>
          <w:lang w:val="en"/>
        </w:rPr>
        <w:t xml:space="preserve"> loci. (A)</w:t>
      </w:r>
      <w:r w:rsidRPr="00E450A7">
        <w:rPr>
          <w:lang w:val="en"/>
        </w:rPr>
        <w:t xml:space="preserve"> Two-step deletion strategy at the </w:t>
      </w:r>
      <w:r w:rsidRPr="00E450A7">
        <w:rPr>
          <w:i/>
          <w:lang w:val="en"/>
        </w:rPr>
        <w:t>Ctnna2</w:t>
      </w:r>
      <w:r w:rsidRPr="00E450A7">
        <w:rPr>
          <w:lang w:val="en"/>
        </w:rPr>
        <w:t xml:space="preserve"> locus. Schematic of CRISPR/Cas9-mediated allelic deletion (step 1, 1,102,860 bp) followed by promoter/enhancer deletion (step 2, 21,744 bp). Parental configuration (top) and promoter/enhancer deletion (Pe-del) configuration (middle) are shown, with sgRNA/Cas9 target sites indicated by scissors and deleted regions in black. PCR primers for deletion (purple) and retention (orange) assays are indicated, with expected amplicon sizes noted. Sanger sequencing traces from independent </w:t>
      </w:r>
      <w:r w:rsidRPr="00E450A7">
        <w:rPr>
          <w:i/>
          <w:lang w:val="en"/>
        </w:rPr>
        <w:t>Ctnna2</w:t>
      </w:r>
      <w:r w:rsidRPr="00E450A7">
        <w:rPr>
          <w:lang w:val="en"/>
        </w:rPr>
        <w:t xml:space="preserve"> Pe-del clones (C1 and C2) show the junction sequences, with target coordinates (mm10) labeled and the deletion breakpoints indicated by red dashed lines. </w:t>
      </w:r>
      <w:r w:rsidRPr="00E450A7">
        <w:rPr>
          <w:b/>
          <w:lang w:val="en"/>
        </w:rPr>
        <w:t>(B)</w:t>
      </w:r>
      <w:r w:rsidRPr="00E450A7">
        <w:rPr>
          <w:lang w:val="en"/>
        </w:rPr>
        <w:t xml:space="preserve"> One-step deletion strategy at the </w:t>
      </w:r>
      <w:r w:rsidRPr="00E450A7">
        <w:rPr>
          <w:i/>
          <w:lang w:val="en"/>
        </w:rPr>
        <w:t>Nrg3</w:t>
      </w:r>
      <w:r w:rsidRPr="00E450A7">
        <w:rPr>
          <w:lang w:val="en"/>
        </w:rPr>
        <w:t xml:space="preserve"> locus. Schematic of CRISPR/Cas9-mediated promoter/enhancer deletion (12,306 bp) in a single step. PCR primers and expected amplicon sizes are indicated. Sanger sequencing traces from </w:t>
      </w:r>
      <w:r w:rsidRPr="00E450A7">
        <w:rPr>
          <w:i/>
          <w:lang w:val="en"/>
        </w:rPr>
        <w:t>Nrg3</w:t>
      </w:r>
      <w:r w:rsidRPr="00E450A7">
        <w:rPr>
          <w:lang w:val="en"/>
        </w:rPr>
        <w:t xml:space="preserve"> Pe-del clones (C3 and C4) show deletion junctions, with mm10 coordinates and breakpoints indicated as in (A). </w:t>
      </w:r>
      <w:r w:rsidRPr="00E450A7">
        <w:rPr>
          <w:b/>
          <w:lang w:val="en"/>
        </w:rPr>
        <w:t>(C)</w:t>
      </w:r>
      <w:r w:rsidRPr="00E450A7">
        <w:rPr>
          <w:lang w:val="en"/>
        </w:rPr>
        <w:t xml:space="preserve"> PCR genotyping of </w:t>
      </w:r>
      <w:r w:rsidRPr="00E450A7">
        <w:rPr>
          <w:i/>
          <w:lang w:val="en"/>
        </w:rPr>
        <w:t>Nrg3</w:t>
      </w:r>
      <w:r w:rsidRPr="00E450A7">
        <w:rPr>
          <w:lang w:val="en"/>
        </w:rPr>
        <w:t xml:space="preserve"> Pe-del clones. Agarose gel electrophoresis showing amplicons for retention (left panel) and deletion (right panel) assays in parental, Pe-del clones (C3 and C4), and none-template controls (NTC). Expected band sizes correspond to schematics in (B). Asterisks indicate the expected PCR products. As Sanger sequencing detected only one junction in either the C3 or C4 clones, these results indicate that both clones harbor a deletion on either the a or b allele extending beyond the regions targeted by the deletion-specific primers.</w:t>
      </w:r>
    </w:p>
    <w:p w14:paraId="613E5934" w14:textId="77777777" w:rsidR="00E450A7" w:rsidRPr="00E450A7" w:rsidRDefault="00E450A7" w:rsidP="00E450A7">
      <w:pPr>
        <w:rPr>
          <w:b/>
          <w:lang w:val="en"/>
        </w:rPr>
      </w:pPr>
      <w:r w:rsidRPr="00E450A7">
        <w:rPr>
          <w:b/>
          <w:lang w:val="en"/>
        </w:rPr>
        <w:t xml:space="preserve">Supplementary Figure 4. Pol θ inhibition re-wires the repair of replication-stress-induced DSBs. (A) </w:t>
      </w:r>
      <w:r w:rsidRPr="00E450A7">
        <w:rPr>
          <w:lang w:val="en"/>
        </w:rPr>
        <w:t>Genome browser views of three large genes—</w:t>
      </w:r>
      <w:r w:rsidRPr="00E450A7">
        <w:rPr>
          <w:i/>
          <w:lang w:val="en"/>
        </w:rPr>
        <w:t>Ctnna2</w:t>
      </w:r>
      <w:r w:rsidRPr="00E450A7">
        <w:rPr>
          <w:lang w:val="en"/>
        </w:rPr>
        <w:t xml:space="preserve"> (chromosome </w:t>
      </w:r>
      <w:r w:rsidRPr="00E450A7">
        <w:rPr>
          <w:lang w:val="en"/>
        </w:rPr>
        <w:lastRenderedPageBreak/>
        <w:t xml:space="preserve">6), </w:t>
      </w:r>
      <w:r w:rsidRPr="00E450A7">
        <w:rPr>
          <w:i/>
          <w:lang w:val="en"/>
        </w:rPr>
        <w:t>Nrg3</w:t>
      </w:r>
      <w:r w:rsidRPr="00E450A7">
        <w:rPr>
          <w:lang w:val="en"/>
        </w:rPr>
        <w:t xml:space="preserve"> (chromosome 14), and </w:t>
      </w:r>
      <w:r w:rsidRPr="00E450A7">
        <w:rPr>
          <w:i/>
          <w:lang w:val="en"/>
        </w:rPr>
        <w:t>Large1</w:t>
      </w:r>
      <w:r w:rsidRPr="00E450A7">
        <w:rPr>
          <w:lang w:val="en"/>
        </w:rPr>
        <w:t xml:space="preserve"> (chromosome 8). Upper traces: replication-timing profiles (</w:t>
      </w:r>
      <w:proofErr w:type="spellStart"/>
      <w:r w:rsidRPr="00E450A7">
        <w:rPr>
          <w:lang w:val="en"/>
        </w:rPr>
        <w:t>Repli</w:t>
      </w:r>
      <w:proofErr w:type="spellEnd"/>
      <w:r w:rsidRPr="00E450A7">
        <w:rPr>
          <w:lang w:val="en"/>
        </w:rPr>
        <w:t>-seq, log₂ Early/Late) of cells exposed to low-dose aphidicolin (</w:t>
      </w:r>
      <w:proofErr w:type="spellStart"/>
      <w:r w:rsidRPr="00E450A7">
        <w:rPr>
          <w:lang w:val="en"/>
        </w:rPr>
        <w:t>Aph</w:t>
      </w:r>
      <w:proofErr w:type="spellEnd"/>
      <w:r w:rsidRPr="00E450A7">
        <w:rPr>
          <w:lang w:val="en"/>
        </w:rPr>
        <w:t xml:space="preserve">, black) with or without the ATR kinase inhibitor ART558 (magenta). Lower histograms: LAM-HTGTS maps of DSBs obtained from the same samples (blue, </w:t>
      </w:r>
      <w:proofErr w:type="spellStart"/>
      <w:r w:rsidRPr="00E450A7">
        <w:rPr>
          <w:lang w:val="en"/>
        </w:rPr>
        <w:t>Aph</w:t>
      </w:r>
      <w:proofErr w:type="spellEnd"/>
      <w:r w:rsidRPr="00E450A7">
        <w:rPr>
          <w:lang w:val="en"/>
        </w:rPr>
        <w:t xml:space="preserve">; pink, </w:t>
      </w:r>
      <w:proofErr w:type="spellStart"/>
      <w:r w:rsidRPr="00E450A7">
        <w:rPr>
          <w:lang w:val="en"/>
        </w:rPr>
        <w:t>Aph</w:t>
      </w:r>
      <w:proofErr w:type="spellEnd"/>
      <w:r w:rsidRPr="00E450A7">
        <w:rPr>
          <w:lang w:val="en"/>
        </w:rPr>
        <w:t xml:space="preserve"> + ART558). Grey horizontal lines mark the genome-wide </w:t>
      </w:r>
      <w:proofErr w:type="gramStart"/>
      <w:r w:rsidRPr="00E450A7">
        <w:rPr>
          <w:lang w:val="en"/>
        </w:rPr>
        <w:t>mean</w:t>
      </w:r>
      <w:proofErr w:type="gramEnd"/>
      <w:r w:rsidRPr="00E450A7">
        <w:rPr>
          <w:lang w:val="en"/>
        </w:rPr>
        <w:t>. (</w:t>
      </w:r>
      <w:r w:rsidRPr="00E450A7">
        <w:rPr>
          <w:b/>
          <w:lang w:val="en"/>
        </w:rPr>
        <w:t xml:space="preserve">B) </w:t>
      </w:r>
      <w:r w:rsidRPr="00E450A7">
        <w:rPr>
          <w:lang w:val="en"/>
        </w:rPr>
        <w:t xml:space="preserve">Quantification </w:t>
      </w:r>
      <w:proofErr w:type="gramStart"/>
      <w:r w:rsidRPr="00E450A7">
        <w:rPr>
          <w:lang w:val="en"/>
        </w:rPr>
        <w:t>of  DSB</w:t>
      </w:r>
      <w:proofErr w:type="gramEnd"/>
      <w:r w:rsidRPr="00E450A7">
        <w:rPr>
          <w:lang w:val="en"/>
        </w:rPr>
        <w:t xml:space="preserve"> density captured by LAM-HTGTS assays in 1520 randomly sampled equal-size genomic bins. Mean for each contusion was shown. Statistical power was determined by a two-tailed t-test. (</w:t>
      </w:r>
      <w:r w:rsidRPr="00E450A7">
        <w:rPr>
          <w:b/>
          <w:lang w:val="en"/>
        </w:rPr>
        <w:t xml:space="preserve">C) </w:t>
      </w:r>
      <w:r w:rsidRPr="00E450A7">
        <w:rPr>
          <w:lang w:val="en"/>
        </w:rPr>
        <w:t>Micro</w:t>
      </w:r>
      <w:r w:rsidRPr="00E450A7">
        <w:rPr>
          <w:b/>
          <w:lang w:val="en"/>
        </w:rPr>
        <w:t>-</w:t>
      </w:r>
      <w:r w:rsidRPr="00E450A7">
        <w:rPr>
          <w:lang w:val="en"/>
        </w:rPr>
        <w:t xml:space="preserve">homology frequency at RDC loci translocation junctions at chromosome 6, </w:t>
      </w:r>
      <w:proofErr w:type="gramStart"/>
      <w:r w:rsidRPr="00E450A7">
        <w:rPr>
          <w:lang w:val="en"/>
        </w:rPr>
        <w:t>8  ,</w:t>
      </w:r>
      <w:proofErr w:type="gramEnd"/>
      <w:r w:rsidRPr="00E450A7">
        <w:rPr>
          <w:lang w:val="en"/>
        </w:rPr>
        <w:t>and 12 baits. Mean and SEM were shown. (</w:t>
      </w:r>
      <w:r w:rsidRPr="00E450A7">
        <w:rPr>
          <w:b/>
          <w:lang w:val="en"/>
        </w:rPr>
        <w:t>D)</w:t>
      </w:r>
      <w:r w:rsidRPr="00E450A7">
        <w:rPr>
          <w:lang w:val="en"/>
        </w:rPr>
        <w:t xml:space="preserve"> Distribution of recovered bait lengths in RDC-loci </w:t>
      </w:r>
      <w:proofErr w:type="gramStart"/>
      <w:r w:rsidRPr="00E450A7">
        <w:rPr>
          <w:lang w:val="en"/>
        </w:rPr>
        <w:t>reads  for</w:t>
      </w:r>
      <w:proofErr w:type="gramEnd"/>
      <w:r w:rsidRPr="00E450A7">
        <w:rPr>
          <w:lang w:val="en"/>
        </w:rPr>
        <w:t xml:space="preserve"> chromosome 6 and chromosome 12 experiments. Mean and SEM were shown.</w:t>
      </w:r>
      <w:r w:rsidRPr="00E450A7">
        <w:rPr>
          <w:b/>
          <w:lang w:val="en"/>
        </w:rPr>
        <w:t xml:space="preserve"> </w:t>
      </w:r>
      <w:r w:rsidRPr="00E450A7">
        <w:rPr>
          <w:lang w:val="en"/>
        </w:rPr>
        <w:t xml:space="preserve">The total length of bait without end resection is marked by a light blue column (164 bp for the chr14 bait). Bins showing statistically significant differences between APH and APH + ART558 samples, as determined by a two-tailed t-test, are indicated by grey shading. For </w:t>
      </w:r>
      <w:r w:rsidRPr="00E450A7">
        <w:rPr>
          <w:b/>
          <w:lang w:val="en"/>
        </w:rPr>
        <w:t>(C)</w:t>
      </w:r>
      <w:r w:rsidRPr="00E450A7">
        <w:rPr>
          <w:lang w:val="en"/>
        </w:rPr>
        <w:t xml:space="preserve"> and </w:t>
      </w:r>
      <w:r w:rsidRPr="00E450A7">
        <w:rPr>
          <w:b/>
          <w:lang w:val="en"/>
        </w:rPr>
        <w:t>(D),</w:t>
      </w:r>
      <w:r w:rsidRPr="00E450A7">
        <w:rPr>
          <w:lang w:val="en"/>
        </w:rPr>
        <w:t xml:space="preserve"> values for individual repeats are shown in Supplementary Tables 2-3; junction numbers </w:t>
      </w:r>
      <w:proofErr w:type="spellStart"/>
      <w:r w:rsidRPr="00E450A7">
        <w:rPr>
          <w:lang w:val="en"/>
        </w:rPr>
        <w:t>analysed</w:t>
      </w:r>
      <w:proofErr w:type="spellEnd"/>
      <w:r w:rsidRPr="00E450A7">
        <w:rPr>
          <w:lang w:val="en"/>
        </w:rPr>
        <w:t xml:space="preserve"> per experiment, and statistical significance per bin are shown in Supplementary Table 4.</w:t>
      </w:r>
    </w:p>
    <w:p w14:paraId="2FF0F935" w14:textId="77777777" w:rsidR="00E450A7" w:rsidRPr="00E450A7" w:rsidRDefault="00E450A7" w:rsidP="00E450A7">
      <w:pPr>
        <w:rPr>
          <w:lang w:val="en"/>
        </w:rPr>
      </w:pPr>
      <w:r w:rsidRPr="00E450A7">
        <w:rPr>
          <w:b/>
          <w:lang w:val="en"/>
        </w:rPr>
        <w:t xml:space="preserve">Supplementary Figure 5. Pol θ inhibition slightly enhances direct joining, chromosome 6 experiments. (A) </w:t>
      </w:r>
      <w:r w:rsidRPr="00E450A7">
        <w:rPr>
          <w:lang w:val="en"/>
        </w:rPr>
        <w:t>Micro</w:t>
      </w:r>
      <w:r w:rsidRPr="00E450A7">
        <w:rPr>
          <w:b/>
          <w:lang w:val="en"/>
        </w:rPr>
        <w:t>-</w:t>
      </w:r>
      <w:r w:rsidRPr="00E450A7">
        <w:rPr>
          <w:lang w:val="en"/>
        </w:rPr>
        <w:t>homology frequency at genome-wide translocation junctions at chromosome 6 baits, and junctions at RDC-</w:t>
      </w:r>
      <w:proofErr w:type="gramStart"/>
      <w:r w:rsidRPr="00E450A7">
        <w:rPr>
          <w:lang w:val="en"/>
        </w:rPr>
        <w:t>loci</w:t>
      </w:r>
      <w:proofErr w:type="gramEnd"/>
      <w:r w:rsidRPr="00E450A7">
        <w:rPr>
          <w:lang w:val="en"/>
        </w:rPr>
        <w:t xml:space="preserve"> for chromosome 6 and 14 baits. The figures show mean (dots) and SEM (error bars). Bins showing significant differences between two treatments are highlighted in grey. Statistical significance was determined using a two-tailed t-test. </w:t>
      </w:r>
      <w:r w:rsidRPr="00E450A7">
        <w:rPr>
          <w:b/>
          <w:lang w:val="en"/>
        </w:rPr>
        <w:t>(B)</w:t>
      </w:r>
      <w:r w:rsidRPr="00E450A7">
        <w:rPr>
          <w:lang w:val="en"/>
        </w:rPr>
        <w:t xml:space="preserve"> Distribution of recovered bait lengths in deletion-sector reads for chromosome 6 and junctions at RDC-loci for chromosome 6 and 14 baits. An overview of bins 80 - 110 bp (chr6) and 140 - 170 bp (chr14) were shown. The figures show the mean (dots) and SEM (error bars). The total length of bait without end resection is marked by a light blue column (100 bp for the chr6 bait). Statistical significance was determined using a two-tailed t-test, and bins showing significant changes are highlighted in grey. Values for individual repeats are shown in Supplementary Tables 2-3; junction numbers </w:t>
      </w:r>
      <w:proofErr w:type="spellStart"/>
      <w:r w:rsidRPr="00E450A7">
        <w:rPr>
          <w:lang w:val="en"/>
        </w:rPr>
        <w:t>analysed</w:t>
      </w:r>
      <w:proofErr w:type="spellEnd"/>
      <w:r w:rsidRPr="00E450A7">
        <w:rPr>
          <w:lang w:val="en"/>
        </w:rPr>
        <w:t xml:space="preserve"> per experiment, and statistical significance per bin are shown in Supplementary Table 4.</w:t>
      </w:r>
    </w:p>
    <w:p w14:paraId="4A954483" w14:textId="77777777" w:rsidR="00E450A7" w:rsidRPr="00E450A7" w:rsidRDefault="00E450A7" w:rsidP="00E450A7">
      <w:pPr>
        <w:rPr>
          <w:b/>
          <w:lang w:val="en"/>
        </w:rPr>
      </w:pPr>
      <w:r w:rsidRPr="00E450A7">
        <w:rPr>
          <w:b/>
          <w:lang w:val="en"/>
        </w:rPr>
        <w:t xml:space="preserve">Supplementary Figure 6. Most CNVs are embedded in the Lamine associated domain (LAD). (A) </w:t>
      </w:r>
      <w:r w:rsidRPr="00E450A7">
        <w:rPr>
          <w:lang w:val="en"/>
        </w:rPr>
        <w:t>Genomic view of CNV loci located either within (</w:t>
      </w:r>
      <w:r w:rsidRPr="00E450A7">
        <w:rPr>
          <w:i/>
          <w:lang w:val="en"/>
        </w:rPr>
        <w:t>Magi2, Nrg3, Lrp1b, Ctnna2, Cadm2</w:t>
      </w:r>
      <w:r w:rsidRPr="00E450A7">
        <w:rPr>
          <w:lang w:val="en"/>
        </w:rPr>
        <w:t xml:space="preserve">) or outside (Grid2) LADs. The UCSC Genome Browser tracks show annotated genes and CNV-containing regions. Lamin B1 DamID signals in mouse neural progenitor cells are plotted as log2 ratios, with positive values indicating lamina association. </w:t>
      </w:r>
      <w:r w:rsidRPr="00E450A7">
        <w:rPr>
          <w:b/>
          <w:lang w:val="en"/>
        </w:rPr>
        <w:t>(B)</w:t>
      </w:r>
      <w:r w:rsidRPr="00E450A7">
        <w:rPr>
          <w:lang w:val="en"/>
        </w:rPr>
        <w:t xml:space="preserve"> Genomic view of 16 representative late-replicating RDC-containing loci within (upper) or outside (lower) of LADs. Panels are shown as in (A). Lamin B1 DamID data were generated using an array-based approach and mapped to the mm9 genome assembly.</w:t>
      </w:r>
      <w:r w:rsidRPr="00E450A7">
        <w:rPr>
          <w:b/>
          <w:lang w:val="en"/>
        </w:rPr>
        <w:br w:type="page"/>
      </w:r>
    </w:p>
    <w:p w14:paraId="5B7242C2" w14:textId="77777777" w:rsidR="00E450A7" w:rsidRPr="00E450A7" w:rsidRDefault="00E450A7" w:rsidP="00E450A7">
      <w:pPr>
        <w:rPr>
          <w:lang w:val="en"/>
        </w:rPr>
      </w:pPr>
      <w:r w:rsidRPr="00E450A7">
        <w:rPr>
          <w:b/>
          <w:lang w:val="en"/>
        </w:rPr>
        <w:lastRenderedPageBreak/>
        <w:t xml:space="preserve">Supplementary Data 1. </w:t>
      </w:r>
      <w:r w:rsidRPr="00E450A7">
        <w:rPr>
          <w:lang w:val="en"/>
        </w:rPr>
        <w:t>This table provides the coordinates and copy numbers for significant CNV loci shown for Figure 1 and 3. CHROM: chromosome, START: start of CNV, END: end of CNV, Copy Number APH: copy number in given CNV locus in cells treated with aphidicolin, and Gene: Gene overlap with CNV.</w:t>
      </w:r>
    </w:p>
    <w:p w14:paraId="4977FF44" w14:textId="77777777" w:rsidR="00E450A7" w:rsidRPr="00E450A7" w:rsidRDefault="00E450A7" w:rsidP="00E450A7">
      <w:pPr>
        <w:rPr>
          <w:lang w:val="en"/>
        </w:rPr>
      </w:pPr>
      <w:r w:rsidRPr="00E450A7">
        <w:rPr>
          <w:b/>
          <w:lang w:val="en"/>
        </w:rPr>
        <w:t xml:space="preserve">Supplementary Data 2. </w:t>
      </w:r>
      <w:r w:rsidRPr="00E450A7">
        <w:rPr>
          <w:lang w:val="en"/>
        </w:rPr>
        <w:t xml:space="preserve">This table summarizes the frequency of microhomology (MH) usage. It presents joining junctions recovered either from genome-wide translocations or from translocations specifically targeting RDC </w:t>
      </w:r>
      <w:proofErr w:type="gramStart"/>
      <w:r w:rsidRPr="00E450A7">
        <w:rPr>
          <w:lang w:val="en"/>
        </w:rPr>
        <w:t>loci</w:t>
      </w:r>
      <w:proofErr w:type="gramEnd"/>
      <w:r w:rsidRPr="00E450A7">
        <w:rPr>
          <w:lang w:val="en"/>
        </w:rPr>
        <w:t>. “Chr” denotes the chromosomal bait used in each experiment. MH (bp): microhomology in base-pairs, APH: aphidicolin, ART558: Pol θ</w:t>
      </w:r>
      <w:r w:rsidRPr="00E450A7">
        <w:rPr>
          <w:b/>
          <w:lang w:val="en"/>
        </w:rPr>
        <w:t xml:space="preserve"> </w:t>
      </w:r>
      <w:r w:rsidRPr="00E450A7">
        <w:rPr>
          <w:lang w:val="en"/>
        </w:rPr>
        <w:t xml:space="preserve">inhibitor, and untreated: cells without APH of ART558 treatment. </w:t>
      </w:r>
    </w:p>
    <w:p w14:paraId="1B88B809" w14:textId="77777777" w:rsidR="00E450A7" w:rsidRPr="00E450A7" w:rsidRDefault="00E450A7" w:rsidP="00E450A7">
      <w:pPr>
        <w:rPr>
          <w:lang w:val="en"/>
        </w:rPr>
      </w:pPr>
      <w:r w:rsidRPr="00E450A7">
        <w:rPr>
          <w:b/>
          <w:lang w:val="en"/>
        </w:rPr>
        <w:t>Supplementary Data 3.</w:t>
      </w:r>
      <w:r w:rsidRPr="00E450A7">
        <w:rPr>
          <w:lang w:val="en"/>
        </w:rPr>
        <w:t xml:space="preserve"> This table summarizes the frequency of bait length (bp) for reads involving end-joining. It presents joining junctions recovered either from genome-wide translocations or from translocations specifically targeting RDC </w:t>
      </w:r>
      <w:proofErr w:type="gramStart"/>
      <w:r w:rsidRPr="00E450A7">
        <w:rPr>
          <w:lang w:val="en"/>
        </w:rPr>
        <w:t>loci</w:t>
      </w:r>
      <w:proofErr w:type="gramEnd"/>
      <w:r w:rsidRPr="00E450A7">
        <w:rPr>
          <w:lang w:val="en"/>
        </w:rPr>
        <w:t>. “Chr” denotes the chromosomal bait used in each experiment. Blen (bp): bait length in base-pairs, APH: aphidicolin, ART558: Pol θ</w:t>
      </w:r>
      <w:r w:rsidRPr="00E450A7">
        <w:rPr>
          <w:b/>
          <w:lang w:val="en"/>
        </w:rPr>
        <w:t xml:space="preserve"> </w:t>
      </w:r>
      <w:r w:rsidRPr="00E450A7">
        <w:rPr>
          <w:lang w:val="en"/>
        </w:rPr>
        <w:t xml:space="preserve">inhibitor, and untreated: cells without APH of ART558 treatment. </w:t>
      </w:r>
    </w:p>
    <w:p w14:paraId="6708ED0F" w14:textId="77777777" w:rsidR="00E450A7" w:rsidRPr="00E450A7" w:rsidRDefault="00E450A7" w:rsidP="00E450A7">
      <w:pPr>
        <w:rPr>
          <w:lang w:val="en"/>
        </w:rPr>
      </w:pPr>
      <w:r w:rsidRPr="00E450A7">
        <w:rPr>
          <w:b/>
          <w:lang w:val="en"/>
        </w:rPr>
        <w:t>Supplementary Data 4.</w:t>
      </w:r>
      <w:r w:rsidRPr="00E450A7">
        <w:rPr>
          <w:lang w:val="en"/>
        </w:rPr>
        <w:t xml:space="preserve"> This table provides numbers of junctions analyzed for Figures 4 and 5 experiments. It also contains statistical significance values for results shown for Figures 4 and 5.</w:t>
      </w:r>
    </w:p>
    <w:p w14:paraId="5C7B56B4" w14:textId="77777777" w:rsidR="00E450A7" w:rsidRPr="00E450A7" w:rsidRDefault="00E450A7" w:rsidP="00E450A7">
      <w:pPr>
        <w:rPr>
          <w:lang w:val="en"/>
        </w:rPr>
      </w:pPr>
      <w:r w:rsidRPr="00E450A7">
        <w:rPr>
          <w:b/>
          <w:lang w:val="en"/>
        </w:rPr>
        <w:t>Supplementary Data 5.</w:t>
      </w:r>
      <w:r w:rsidRPr="00E450A7">
        <w:rPr>
          <w:lang w:val="en"/>
        </w:rPr>
        <w:t xml:space="preserve"> This table provides information for reagents, oligonucleotides, and equipment used for this article. Vender, catalog number, and purposes of assay for each reagent were shown. All reagents are commercially available.</w:t>
      </w:r>
      <w:r w:rsidRPr="00E450A7">
        <w:rPr>
          <w:lang w:val="en"/>
        </w:rPr>
        <w:br w:type="page"/>
      </w:r>
    </w:p>
    <w:p w14:paraId="1D013948"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0A7"/>
    <w:rsid w:val="0070507E"/>
    <w:rsid w:val="00767E38"/>
    <w:rsid w:val="00866F7D"/>
    <w:rsid w:val="00E450A7"/>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6EA465"/>
  <w15:chartTrackingRefBased/>
  <w15:docId w15:val="{157A9FAF-0957-4A6E-894D-2BADEE9AF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450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50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50A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50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50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50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50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50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50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50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50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50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50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50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50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50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50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50A7"/>
    <w:rPr>
      <w:rFonts w:eastAsiaTheme="majorEastAsia" w:cstheme="majorBidi"/>
      <w:color w:val="272727" w:themeColor="text1" w:themeTint="D8"/>
    </w:rPr>
  </w:style>
  <w:style w:type="paragraph" w:styleId="Title">
    <w:name w:val="Title"/>
    <w:basedOn w:val="Normal"/>
    <w:next w:val="Normal"/>
    <w:link w:val="TitleChar"/>
    <w:uiPriority w:val="10"/>
    <w:qFormat/>
    <w:rsid w:val="00E450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50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50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50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50A7"/>
    <w:pPr>
      <w:spacing w:before="160"/>
      <w:jc w:val="center"/>
    </w:pPr>
    <w:rPr>
      <w:i/>
      <w:iCs/>
      <w:color w:val="404040" w:themeColor="text1" w:themeTint="BF"/>
    </w:rPr>
  </w:style>
  <w:style w:type="character" w:customStyle="1" w:styleId="QuoteChar">
    <w:name w:val="Quote Char"/>
    <w:basedOn w:val="DefaultParagraphFont"/>
    <w:link w:val="Quote"/>
    <w:uiPriority w:val="29"/>
    <w:rsid w:val="00E450A7"/>
    <w:rPr>
      <w:i/>
      <w:iCs/>
      <w:color w:val="404040" w:themeColor="text1" w:themeTint="BF"/>
    </w:rPr>
  </w:style>
  <w:style w:type="paragraph" w:styleId="ListParagraph">
    <w:name w:val="List Paragraph"/>
    <w:basedOn w:val="Normal"/>
    <w:uiPriority w:val="34"/>
    <w:qFormat/>
    <w:rsid w:val="00E450A7"/>
    <w:pPr>
      <w:ind w:left="720"/>
      <w:contextualSpacing/>
    </w:pPr>
  </w:style>
  <w:style w:type="character" w:styleId="IntenseEmphasis">
    <w:name w:val="Intense Emphasis"/>
    <w:basedOn w:val="DefaultParagraphFont"/>
    <w:uiPriority w:val="21"/>
    <w:qFormat/>
    <w:rsid w:val="00E450A7"/>
    <w:rPr>
      <w:i/>
      <w:iCs/>
      <w:color w:val="0F4761" w:themeColor="accent1" w:themeShade="BF"/>
    </w:rPr>
  </w:style>
  <w:style w:type="paragraph" w:styleId="IntenseQuote">
    <w:name w:val="Intense Quote"/>
    <w:basedOn w:val="Normal"/>
    <w:next w:val="Normal"/>
    <w:link w:val="IntenseQuoteChar"/>
    <w:uiPriority w:val="30"/>
    <w:qFormat/>
    <w:rsid w:val="00E450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50A7"/>
    <w:rPr>
      <w:i/>
      <w:iCs/>
      <w:color w:val="0F4761" w:themeColor="accent1" w:themeShade="BF"/>
    </w:rPr>
  </w:style>
  <w:style w:type="character" w:styleId="IntenseReference">
    <w:name w:val="Intense Reference"/>
    <w:basedOn w:val="DefaultParagraphFont"/>
    <w:uiPriority w:val="32"/>
    <w:qFormat/>
    <w:rsid w:val="00E450A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3099758">
      <w:bodyDiv w:val="1"/>
      <w:marLeft w:val="0"/>
      <w:marRight w:val="0"/>
      <w:marTop w:val="0"/>
      <w:marBottom w:val="0"/>
      <w:divBdr>
        <w:top w:val="none" w:sz="0" w:space="0" w:color="auto"/>
        <w:left w:val="none" w:sz="0" w:space="0" w:color="auto"/>
        <w:bottom w:val="none" w:sz="0" w:space="0" w:color="auto"/>
        <w:right w:val="none" w:sz="0" w:space="0" w:color="auto"/>
      </w:divBdr>
    </w:div>
    <w:div w:id="1610235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1161</Words>
  <Characters>6623</Characters>
  <Application>Microsoft Office Word</Application>
  <DocSecurity>0</DocSecurity>
  <Lines>55</Lines>
  <Paragraphs>15</Paragraphs>
  <ScaleCrop>false</ScaleCrop>
  <Company/>
  <LinksUpToDate>false</LinksUpToDate>
  <CharactersWithSpaces>7769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2025-09-10T05:21:00Z</dcterms:created>
  <dcterms:modified xsi:type="dcterms:W3CDTF">2025-09-10T05:22:00Z</dcterms:modified>
</cp:coreProperties>
</file>