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73C51" w14:textId="77777777" w:rsidR="003F7F16" w:rsidRDefault="003F7F16" w:rsidP="003F7F16">
      <w:pPr>
        <w:pStyle w:val="Heading1"/>
      </w:pPr>
      <w:r>
        <w:t>Extended data</w:t>
      </w:r>
    </w:p>
    <w:p w14:paraId="6481926A" w14:textId="77777777" w:rsidR="003F7F16" w:rsidRDefault="003F7F16" w:rsidP="003F7F16">
      <w:pPr>
        <w:pStyle w:val="NoSpacing"/>
      </w:pPr>
      <w:r>
        <w:t>Extended Data</w:t>
      </w:r>
      <w:r w:rsidRPr="004D1D28">
        <w:t xml:space="preserve"> Figure 1</w:t>
      </w:r>
      <w:r>
        <w:t xml:space="preserve"> </w:t>
      </w:r>
      <w:r w:rsidRPr="00C42562">
        <w:t>Purification of vRNAP</w:t>
      </w:r>
      <w:r w:rsidRPr="00C42562">
        <w:rPr>
          <w:vertAlign w:val="superscript"/>
        </w:rPr>
        <w:t>AraC</w:t>
      </w:r>
      <w:r w:rsidRPr="00C42562">
        <w:t xml:space="preserve"> (A) and the iPIC (B) by sucrose density gradient centrifugation.</w:t>
      </w:r>
    </w:p>
    <w:p w14:paraId="59DAE60A" w14:textId="77777777" w:rsidR="003F7F16" w:rsidRDefault="003F7F16" w:rsidP="003F7F16">
      <w:r>
        <w:t>(A) The FLAG-IP elution from HeLa S3 cells treated with AraC during GLV-1h439 infection was separated on a 5% to 45% sucrose density gradient. Fractions were analyzed by 12% SDS-PAGE and visualized by silver staining. The molecular weight marker is shown on the left and respective proteins are given on the right. The asterisk (*) indicates non-specifically co-purified actin. (B) HeLa S3 lysate of AraC-treated cells during Vaccinia GLV-1h439 infection was incubated with intermediate promoter holding a DNA mismatch bubble from position -5 to +8. The sample was separated by a 5% to 45% sucrose density gradient, before fractions were analyzed by a 12% SDS-PAGE and visualized by silver staining. The lower panel shows ethidium bromide-staining in the same gel. The molecular weight marker is shown on the left and respective proteins are given on the right. The asterisk (*) indicates non-specifically co-purified actin.</w:t>
      </w:r>
    </w:p>
    <w:p w14:paraId="3DB7FF4D" w14:textId="77777777" w:rsidR="003F7F16" w:rsidRDefault="003F7F16" w:rsidP="003F7F16">
      <w:pPr>
        <w:pStyle w:val="NoSpacing"/>
      </w:pPr>
      <w:bookmarkStart w:id="0" w:name="_Hlk206491542"/>
      <w:r>
        <w:t xml:space="preserve">Extended Data Figure 2 </w:t>
      </w:r>
      <w:r w:rsidRPr="00C42562">
        <w:t>Cryo-EM reconstruction of the iPIC.</w:t>
      </w:r>
    </w:p>
    <w:p w14:paraId="56C9F581" w14:textId="77777777" w:rsidR="003F7F16" w:rsidRDefault="003F7F16" w:rsidP="003F7F16">
      <w:bookmarkStart w:id="1" w:name="_Hlk206491499"/>
      <w:bookmarkEnd w:id="0"/>
      <w:r w:rsidRPr="00C42562">
        <w:t>(A) Classification and refinement scheme of iPIC</w:t>
      </w:r>
      <w:r w:rsidRPr="00C42562">
        <w:rPr>
          <w:vertAlign w:val="subscript"/>
        </w:rPr>
        <w:t>s</w:t>
      </w:r>
      <w:r w:rsidRPr="00C42562">
        <w:t xml:space="preserve"> (Class 1), iPIC</w:t>
      </w:r>
      <w:r w:rsidRPr="00C42562">
        <w:rPr>
          <w:vertAlign w:val="subscript"/>
        </w:rPr>
        <w:t>d</w:t>
      </w:r>
      <w:r w:rsidRPr="00C42562">
        <w:t xml:space="preserve"> (Class 2) and iPIC</w:t>
      </w:r>
      <w:r w:rsidRPr="00C42562">
        <w:rPr>
          <w:vertAlign w:val="subscript"/>
        </w:rPr>
        <w:t>Cem</w:t>
      </w:r>
      <w:r w:rsidRPr="00C42562">
        <w:t xml:space="preserve"> (Class 3). (B) Local resolution mapped to the reconstruction density isosurface for the iPIC</w:t>
      </w:r>
      <w:r w:rsidRPr="00C42562">
        <w:rPr>
          <w:vertAlign w:val="subscript"/>
        </w:rPr>
        <w:t>d</w:t>
      </w:r>
      <w:r w:rsidRPr="00C42562">
        <w:t xml:space="preserve"> structure. The local resolution of the cryo-EM map is color-coded and projected onto the density isosurface. (C) Orientation distribution plot for the final reconstruction of the iPIC</w:t>
      </w:r>
      <w:r w:rsidRPr="00C42562">
        <w:rPr>
          <w:vertAlign w:val="subscript"/>
        </w:rPr>
        <w:t>d</w:t>
      </w:r>
      <w:r w:rsidRPr="00C42562">
        <w:t xml:space="preserve"> structure. (D) FSC plots of the final reconstruction of the iPIC</w:t>
      </w:r>
      <w:r w:rsidRPr="00C42562">
        <w:rPr>
          <w:vertAlign w:val="subscript"/>
        </w:rPr>
        <w:t>d</w:t>
      </w:r>
      <w:r w:rsidRPr="00C42562">
        <w:t>. (E) Typical micrograph of the dataset with size marker indicating 100 nm. (F) Selected 2D classes.</w:t>
      </w:r>
    </w:p>
    <w:p w14:paraId="1CDC291C" w14:textId="77777777" w:rsidR="003F7F16" w:rsidRDefault="003F7F16" w:rsidP="003F7F16">
      <w:pPr>
        <w:pStyle w:val="NoSpacing"/>
      </w:pPr>
      <w:bookmarkStart w:id="2" w:name="_Hlk206491667"/>
      <w:bookmarkEnd w:id="1"/>
      <w:r>
        <w:t xml:space="preserve">Extended Data Figure 3 </w:t>
      </w:r>
      <w:r w:rsidRPr="00C42562">
        <w:t>EMSA reconstitution of the iPIC using a native DNA template.</w:t>
      </w:r>
    </w:p>
    <w:p w14:paraId="4521E971" w14:textId="77777777" w:rsidR="003F7F16" w:rsidRPr="004D1D28" w:rsidRDefault="003F7F16" w:rsidP="003F7F16">
      <w:r w:rsidRPr="00C42562">
        <w:t>EMSAs were performed using radiolabeled DNA containing an intermediate promoter or randomized control DNA of equal length and AT content. Reactions included VITF-3, vRNAP</w:t>
      </w:r>
      <w:r w:rsidRPr="00C42562">
        <w:rPr>
          <w:vertAlign w:val="superscript"/>
        </w:rPr>
        <w:t>AraC</w:t>
      </w:r>
      <w:r w:rsidRPr="00C42562">
        <w:t>, or both, along with NTPs and antibodies targeting HA (monoclonal; recognizing vRNAP</w:t>
      </w:r>
      <w:r w:rsidRPr="00C42562">
        <w:rPr>
          <w:vertAlign w:val="superscript"/>
        </w:rPr>
        <w:t>AraC</w:t>
      </w:r>
      <w:r w:rsidRPr="00C42562">
        <w:t>) or VITF-3 (polyclonal), as indicated above. Schematic representations of the resulting complexes are shown on the right. The asterisk (*) indicates an artifact of DNA annealing.</w:t>
      </w:r>
    </w:p>
    <w:bookmarkEnd w:id="2"/>
    <w:p w14:paraId="41057ED3" w14:textId="77777777" w:rsidR="003F7F16" w:rsidRDefault="003F7F16" w:rsidP="003F7F16">
      <w:pPr>
        <w:pStyle w:val="Heading1"/>
      </w:pPr>
      <w:r>
        <w:lastRenderedPageBreak/>
        <w:t>Supplementary Information</w:t>
      </w:r>
    </w:p>
    <w:p w14:paraId="0ADF3847" w14:textId="77777777" w:rsidR="003F7F16" w:rsidRDefault="003F7F16" w:rsidP="003F7F16">
      <w:pPr>
        <w:pStyle w:val="NoSpacing"/>
      </w:pPr>
      <w:r>
        <w:t xml:space="preserve">Supplementary Table 1 </w:t>
      </w:r>
    </w:p>
    <w:p w14:paraId="307EA42E" w14:textId="77777777" w:rsidR="003F7F16" w:rsidRDefault="003F7F16" w:rsidP="003F7F16">
      <w:pPr>
        <w:pStyle w:val="NoSpacing"/>
      </w:pPr>
      <w:r w:rsidRPr="00AA5623">
        <w:rPr>
          <w:b w:val="0"/>
          <w:bCs/>
        </w:rPr>
        <w:t>Quantification of capping efficiency</w:t>
      </w:r>
      <w:r>
        <w:rPr>
          <w:b w:val="0"/>
          <w:bCs/>
        </w:rPr>
        <w:t xml:space="preserve"> of T7 polymerase, complete vRNAP and vRNAP</w:t>
      </w:r>
      <w:r>
        <w:rPr>
          <w:b w:val="0"/>
          <w:bCs/>
          <w:vertAlign w:val="superscript"/>
        </w:rPr>
        <w:t>AraC</w:t>
      </w:r>
      <w:r>
        <w:rPr>
          <w:b w:val="0"/>
          <w:bCs/>
        </w:rPr>
        <w:t>.</w:t>
      </w:r>
    </w:p>
    <w:p w14:paraId="056D4EE2" w14:textId="77777777" w:rsidR="003F7F16" w:rsidRDefault="003F7F16" w:rsidP="003F7F16">
      <w:pPr>
        <w:pStyle w:val="NoSpacing"/>
      </w:pPr>
      <w:r>
        <w:t xml:space="preserve">Supplementary </w:t>
      </w:r>
      <w:r w:rsidRPr="004D1D28">
        <w:t>Video 1</w:t>
      </w:r>
      <w:r>
        <w:t xml:space="preserve"> </w:t>
      </w:r>
    </w:p>
    <w:p w14:paraId="4D77E33B" w14:textId="77777777" w:rsidR="003F7F16" w:rsidRDefault="003F7F16" w:rsidP="003F7F16">
      <w:pPr>
        <w:pStyle w:val="NoSpacing"/>
      </w:pPr>
      <w:r w:rsidRPr="00AA5623">
        <w:rPr>
          <w:b w:val="0"/>
          <w:bCs/>
        </w:rPr>
        <w:t>Molecular morphing between the structures of iPIC</w:t>
      </w:r>
      <w:r w:rsidRPr="00AA5623">
        <w:rPr>
          <w:b w:val="0"/>
          <w:bCs/>
          <w:vertAlign w:val="subscript"/>
        </w:rPr>
        <w:t>d</w:t>
      </w:r>
      <w:r w:rsidRPr="00AA5623">
        <w:rPr>
          <w:b w:val="0"/>
          <w:bCs/>
        </w:rPr>
        <w:t xml:space="preserve"> and iPIC</w:t>
      </w:r>
      <w:r w:rsidRPr="00AA5623">
        <w:rPr>
          <w:b w:val="0"/>
          <w:bCs/>
          <w:vertAlign w:val="subscript"/>
        </w:rPr>
        <w:t>s</w:t>
      </w:r>
      <w:r w:rsidRPr="00AA5623">
        <w:rPr>
          <w:b w:val="0"/>
          <w:bCs/>
        </w:rPr>
        <w:t>.</w:t>
      </w:r>
    </w:p>
    <w:p w14:paraId="0B5531F1" w14:textId="77777777" w:rsidR="003F7F16" w:rsidRDefault="003F7F16" w:rsidP="003F7F16">
      <w:pPr>
        <w:pStyle w:val="Heading1"/>
      </w:pPr>
      <w:r>
        <w:t>Source data</w:t>
      </w:r>
    </w:p>
    <w:p w14:paraId="5E69A66B" w14:textId="77777777" w:rsidR="003F7F16" w:rsidRPr="009A2EE6" w:rsidRDefault="003F7F16" w:rsidP="003F7F16">
      <w:r w:rsidRPr="009A2EE6">
        <w:t xml:space="preserve">Unprocessed </w:t>
      </w:r>
      <w:r>
        <w:t>gel and radiation film images for Figures 1, 4 and 5, as well as for Extended Data Figures 1 and 3 are provided.</w:t>
      </w:r>
    </w:p>
    <w:p w14:paraId="162235BC" w14:textId="77777777" w:rsidR="003F7F16" w:rsidRPr="004D1D28" w:rsidRDefault="003F7F16" w:rsidP="003F7F16">
      <w:pPr>
        <w:pStyle w:val="EndNoteBibliography"/>
        <w:ind w:left="720" w:hanging="720"/>
        <w:rPr>
          <w:rFonts w:cs="Arial"/>
        </w:rPr>
      </w:pPr>
    </w:p>
    <w:p w14:paraId="61AE895D" w14:textId="77777777" w:rsidR="00865217" w:rsidRDefault="00865217"/>
    <w:sectPr w:rsidR="00865217" w:rsidSect="003F7F16">
      <w:footerReference w:type="even" r:id="rId4"/>
      <w:footerReference w:type="default" r:id="rId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69352508"/>
      <w:docPartObj>
        <w:docPartGallery w:val="Page Numbers (Bottom of Page)"/>
        <w:docPartUnique/>
      </w:docPartObj>
    </w:sdtPr>
    <w:sdtContent>
      <w:p w14:paraId="39741F20" w14:textId="77777777" w:rsidR="003F7F16" w:rsidRDefault="003F7F16" w:rsidP="009D61F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DAE073" w14:textId="77777777" w:rsidR="003F7F16" w:rsidRDefault="003F7F16" w:rsidP="00D8499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09102855"/>
      <w:docPartObj>
        <w:docPartGallery w:val="Page Numbers (Bottom of Page)"/>
        <w:docPartUnique/>
      </w:docPartObj>
    </w:sdtPr>
    <w:sdtContent>
      <w:p w14:paraId="31AFAB02" w14:textId="77777777" w:rsidR="003F7F16" w:rsidRDefault="003F7F16" w:rsidP="009D61F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3B40383B" w14:textId="77777777" w:rsidR="003F7F16" w:rsidRDefault="003F7F16" w:rsidP="00D8499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F16"/>
    <w:rsid w:val="002E281E"/>
    <w:rsid w:val="003201BB"/>
    <w:rsid w:val="003F7F16"/>
    <w:rsid w:val="00865217"/>
    <w:rsid w:val="0087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45325"/>
  <w15:chartTrackingRefBased/>
  <w15:docId w15:val="{E767ABFE-1714-44E7-B2A4-37835C658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F16"/>
    <w:pPr>
      <w:spacing w:line="360" w:lineRule="auto"/>
      <w:jc w:val="both"/>
    </w:pPr>
    <w:rPr>
      <w:rFonts w:ascii="Arial" w:hAnsi="Arial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7F1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F1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F1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F1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F1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F16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F16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F16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F16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F1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7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F16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7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F16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7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F16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7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F16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Zchn"/>
    <w:rsid w:val="003F7F16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Zchn">
    <w:name w:val="EndNote Bibliography Zchn"/>
    <w:basedOn w:val="DefaultParagraphFont"/>
    <w:link w:val="EndNoteBibliography"/>
    <w:rsid w:val="003F7F16"/>
    <w:rPr>
      <w:rFonts w:ascii="Calibri" w:hAnsi="Calibri" w:cs="Calibri"/>
      <w:noProof/>
      <w:kern w:val="0"/>
      <w:sz w:val="22"/>
      <w:szCs w:val="22"/>
      <w14:ligatures w14:val="none"/>
    </w:rPr>
  </w:style>
  <w:style w:type="paragraph" w:styleId="NoSpacing">
    <w:name w:val="No Spacing"/>
    <w:aliases w:val="Sub-Headline 1"/>
    <w:next w:val="Normal"/>
    <w:uiPriority w:val="1"/>
    <w:qFormat/>
    <w:rsid w:val="003F7F16"/>
    <w:pPr>
      <w:spacing w:before="160" w:line="360" w:lineRule="auto"/>
      <w:jc w:val="both"/>
    </w:pPr>
    <w:rPr>
      <w:rFonts w:ascii="Arial" w:hAnsi="Arial"/>
      <w:b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7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F16"/>
    <w:rPr>
      <w:rFonts w:ascii="Arial" w:hAnsi="Arial"/>
      <w:kern w:val="0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F7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2154</Characters>
  <Application>Microsoft Office Word</Application>
  <DocSecurity>0</DocSecurity>
  <Lines>17</Lines>
  <Paragraphs>5</Paragraphs>
  <ScaleCrop>false</ScaleCrop>
  <Company>Springer Nature</Company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2025-09-11T07:05:00Z</dcterms:created>
  <dcterms:modified xsi:type="dcterms:W3CDTF">2025-09-11T07:06:00Z</dcterms:modified>
</cp:coreProperties>
</file>