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C31C6" w14:textId="6BE21DEA" w:rsidR="00D64E94" w:rsidRPr="00D64E94" w:rsidRDefault="00D64E94" w:rsidP="00D64E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</w:pPr>
      <w:r w:rsidRPr="00D64E94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ARRIVE guidelines</w:t>
      </w:r>
    </w:p>
    <w:p w14:paraId="5CA27EDC" w14:textId="44402B4E" w:rsidR="00D64E94" w:rsidRPr="00D64E94" w:rsidRDefault="00D64E94" w:rsidP="00D64E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B2B1C">
        <w:rPr>
          <w:rFonts w:ascii="Arial" w:hAnsi="Arial" w:cs="Arial"/>
          <w:caps/>
          <w:color w:val="642D5C"/>
          <w:sz w:val="23"/>
          <w:szCs w:val="23"/>
          <w:shd w:val="clear" w:color="auto" w:fill="E6E6EA"/>
        </w:rPr>
        <w:t>ESSENTIAL 10</w:t>
      </w:r>
    </w:p>
    <w:p w14:paraId="10CC6EE2" w14:textId="7686FC7B" w:rsidR="00675272" w:rsidRDefault="00D64E94">
      <w:hyperlink r:id="rId6" w:tgtFrame="_blank" w:history="1">
        <w:r>
          <w:rPr>
            <w:rStyle w:val="a7"/>
            <w:rFonts w:ascii="inherit" w:hAnsi="inherit" w:cs="Arial"/>
            <w:color w:val="004466"/>
            <w:u w:val="single"/>
            <w:bdr w:val="none" w:sz="0" w:space="0" w:color="auto" w:frame="1"/>
          </w:rPr>
          <w:t>item 1 – Study design</w:t>
        </w:r>
      </w:hyperlink>
    </w:p>
    <w:p w14:paraId="77FAE4B0" w14:textId="4E7115E9" w:rsidR="00D64E94" w:rsidRPr="004A6D86" w:rsidRDefault="00D64E94" w:rsidP="00D64E94">
      <w:pPr>
        <w:pStyle w:val="HTML"/>
        <w:jc w:val="both"/>
        <w:rPr>
          <w:rFonts w:ascii="Times New Roman" w:eastAsiaTheme="minorEastAsia" w:hAnsi="Times New Roman" w:cs="Times New Roman"/>
          <w:kern w:val="2"/>
        </w:rPr>
      </w:pPr>
      <w:r w:rsidRPr="00D64E94">
        <w:rPr>
          <w:rFonts w:ascii="Times New Roman" w:hAnsi="Times New Roman" w:cs="Times New Roman"/>
        </w:rPr>
        <w:t xml:space="preserve">Current investigation aimed to identified cell types in bladder tissues, and two </w:t>
      </w:r>
      <w:bookmarkStart w:id="0" w:name="OLE_LINK1"/>
      <w:r w:rsidRPr="00CF5D22">
        <w:rPr>
          <w:rFonts w:ascii="Times New Roman" w:hAnsi="Times New Roman" w:cs="Times New Roman"/>
        </w:rPr>
        <w:t>Sprague–Dawley</w:t>
      </w:r>
      <w:bookmarkEnd w:id="0"/>
      <w:r w:rsidRPr="00CF5D22">
        <w:rPr>
          <w:rFonts w:ascii="Times New Roman" w:hAnsi="Times New Roman" w:cs="Times New Roman"/>
        </w:rPr>
        <w:t xml:space="preserve"> (SD) rats were</w:t>
      </w:r>
      <w:r w:rsidRPr="00D64E94">
        <w:rPr>
          <w:rFonts w:ascii="Times New Roman" w:hAnsi="Times New Roman" w:cs="Times New Roman"/>
        </w:rPr>
        <w:t xml:space="preserve"> involved for study (</w:t>
      </w:r>
      <w:r w:rsidRPr="00D64E94">
        <w:rPr>
          <w:rFonts w:ascii="Times New Roman" w:hAnsi="Times New Roman" w:cs="Times New Roman"/>
        </w:rPr>
        <w:t>“</w:t>
      </w:r>
      <w:r w:rsidRPr="004A6D86">
        <w:rPr>
          <w:rFonts w:ascii="Times New Roman" w:eastAsiaTheme="minorEastAsia" w:hAnsi="Times New Roman" w:cs="Times New Roman"/>
          <w:kern w:val="2"/>
        </w:rPr>
        <w:t xml:space="preserve">Methods, </w:t>
      </w:r>
      <w:r w:rsidRPr="004A6D86">
        <w:rPr>
          <w:rFonts w:ascii="Times New Roman" w:eastAsiaTheme="minorEastAsia" w:hAnsi="Times New Roman" w:cs="Times New Roman"/>
          <w:kern w:val="2"/>
        </w:rPr>
        <w:t xml:space="preserve">Samples, </w:t>
      </w:r>
      <w:r w:rsidRPr="004A6D86">
        <w:rPr>
          <w:rFonts w:ascii="Times New Roman" w:eastAsiaTheme="minorEastAsia" w:hAnsi="Times New Roman" w:cs="Times New Roman"/>
          <w:kern w:val="2"/>
        </w:rPr>
        <w:t>paragraph 2”</w:t>
      </w:r>
      <w:r w:rsidRPr="004A6D86">
        <w:rPr>
          <w:rFonts w:ascii="Times New Roman" w:eastAsiaTheme="minorEastAsia" w:hAnsi="Times New Roman" w:cs="Times New Roman"/>
          <w:kern w:val="2"/>
        </w:rPr>
        <w:t>). Therefore, no control was used for comparing.</w:t>
      </w:r>
    </w:p>
    <w:p w14:paraId="5A207CB2" w14:textId="77777777" w:rsidR="00D64E94" w:rsidRDefault="00D64E94">
      <w:pPr>
        <w:rPr>
          <w:rFonts w:hint="eastAsia"/>
        </w:rPr>
      </w:pPr>
    </w:p>
    <w:p w14:paraId="63213835" w14:textId="0DE8E594" w:rsidR="00D64E94" w:rsidRDefault="00D64E94">
      <w:hyperlink r:id="rId7" w:tgtFrame="_blank" w:history="1">
        <w:r>
          <w:rPr>
            <w:rStyle w:val="a7"/>
            <w:rFonts w:ascii="inherit" w:hAnsi="inherit" w:cs="Arial"/>
            <w:color w:val="006699"/>
            <w:u w:val="single"/>
            <w:bdr w:val="none" w:sz="0" w:space="0" w:color="auto" w:frame="1"/>
          </w:rPr>
          <w:t>item 2 – Sample siz</w:t>
        </w:r>
      </w:hyperlink>
    </w:p>
    <w:p w14:paraId="4A58DF8C" w14:textId="419B5CC4" w:rsidR="009D1161" w:rsidRDefault="003C3F79">
      <w:r>
        <w:rPr>
          <w:rFonts w:ascii="Times New Roman" w:hAnsi="Times New Roman" w:cs="Times New Roman"/>
          <w:sz w:val="24"/>
          <w:szCs w:val="24"/>
        </w:rPr>
        <w:t>T</w:t>
      </w:r>
      <w:r w:rsidRPr="00D64E94">
        <w:rPr>
          <w:rFonts w:ascii="Times New Roman" w:hAnsi="Times New Roman" w:cs="Times New Roman"/>
          <w:sz w:val="24"/>
          <w:szCs w:val="24"/>
        </w:rPr>
        <w:t xml:space="preserve">wo </w:t>
      </w:r>
      <w:r w:rsidRPr="00CF5D22">
        <w:rPr>
          <w:rFonts w:ascii="Times New Roman" w:hAnsi="Times New Roman" w:cs="Times New Roman"/>
          <w:sz w:val="24"/>
          <w:szCs w:val="24"/>
        </w:rPr>
        <w:t>Sprague–Dawley (SD) rats</w:t>
      </w:r>
      <w:r>
        <w:rPr>
          <w:rFonts w:ascii="Times New Roman" w:hAnsi="Times New Roman" w:cs="Times New Roman"/>
          <w:sz w:val="24"/>
          <w:szCs w:val="24"/>
        </w:rPr>
        <w:t xml:space="preserve"> (n=2) including female and male were enrolled, which have already been stated in Methods (</w:t>
      </w:r>
      <w:r w:rsidRPr="00D64E94">
        <w:rPr>
          <w:rFonts w:ascii="Times New Roman" w:hAnsi="Times New Roman" w:cs="Times New Roman"/>
          <w:sz w:val="24"/>
          <w:szCs w:val="24"/>
        </w:rPr>
        <w:t xml:space="preserve">“Methods, </w:t>
      </w:r>
      <w:r w:rsidRPr="004A6D86">
        <w:rPr>
          <w:rFonts w:ascii="Times New Roman" w:hAnsi="Times New Roman" w:cs="Times New Roman"/>
          <w:sz w:val="24"/>
          <w:szCs w:val="24"/>
        </w:rPr>
        <w:t xml:space="preserve">Samples, </w:t>
      </w:r>
      <w:r w:rsidRPr="00D64E94">
        <w:rPr>
          <w:rFonts w:ascii="Times New Roman" w:hAnsi="Times New Roman" w:cs="Times New Roman"/>
          <w:sz w:val="24"/>
          <w:szCs w:val="24"/>
        </w:rPr>
        <w:t>paragraph 2”</w:t>
      </w:r>
      <w:r>
        <w:rPr>
          <w:rFonts w:ascii="Times New Roman" w:hAnsi="Times New Roman" w:cs="Times New Roman"/>
          <w:sz w:val="24"/>
          <w:szCs w:val="24"/>
        </w:rPr>
        <w:t>)</w:t>
      </w:r>
      <w:r w:rsidR="00DC022B">
        <w:rPr>
          <w:rFonts w:ascii="Times New Roman" w:hAnsi="Times New Roman" w:cs="Times New Roman"/>
          <w:sz w:val="24"/>
          <w:szCs w:val="24"/>
        </w:rPr>
        <w:t>.</w:t>
      </w:r>
    </w:p>
    <w:p w14:paraId="5A36D57B" w14:textId="77777777" w:rsidR="009D1161" w:rsidRPr="003C3F79" w:rsidRDefault="009D1161">
      <w:pPr>
        <w:rPr>
          <w:rFonts w:hint="eastAsia"/>
        </w:rPr>
      </w:pPr>
    </w:p>
    <w:p w14:paraId="5B93EC9B" w14:textId="5BFEAB3F" w:rsidR="00D64E94" w:rsidRDefault="00D64E94">
      <w:hyperlink r:id="rId8" w:tgtFrame="_blank" w:history="1">
        <w:r>
          <w:rPr>
            <w:rStyle w:val="a7"/>
            <w:rFonts w:ascii="inherit" w:hAnsi="inherit" w:cs="Arial"/>
            <w:color w:val="004466"/>
            <w:u w:val="single"/>
            <w:bdr w:val="none" w:sz="0" w:space="0" w:color="auto" w:frame="1"/>
          </w:rPr>
          <w:t>item 3 – Inclusion and exclusion criteria</w:t>
        </w:r>
      </w:hyperlink>
    </w:p>
    <w:p w14:paraId="1C4368CE" w14:textId="5EC78A6B" w:rsidR="00D64E94" w:rsidRDefault="00DC022B">
      <w:r>
        <w:rPr>
          <w:rFonts w:ascii="Times New Roman" w:hAnsi="Times New Roman" w:cs="Times New Roman"/>
          <w:sz w:val="24"/>
          <w:szCs w:val="24"/>
        </w:rPr>
        <w:t>T</w:t>
      </w:r>
      <w:r w:rsidRPr="00DC022B">
        <w:rPr>
          <w:rFonts w:ascii="Times New Roman" w:hAnsi="Times New Roman" w:cs="Times New Roman"/>
          <w:sz w:val="24"/>
          <w:szCs w:val="24"/>
        </w:rPr>
        <w:t xml:space="preserve">wo healthy adult </w:t>
      </w:r>
      <w:r w:rsidRPr="00CF5D22">
        <w:rPr>
          <w:rFonts w:ascii="Times New Roman" w:hAnsi="Times New Roman" w:cs="Times New Roman"/>
          <w:sz w:val="24"/>
          <w:szCs w:val="24"/>
        </w:rPr>
        <w:t>Sprague–Dawley (SD) rats</w:t>
      </w:r>
      <w:r>
        <w:rPr>
          <w:rFonts w:ascii="Times New Roman" w:hAnsi="Times New Roman" w:cs="Times New Roman"/>
          <w:sz w:val="24"/>
          <w:szCs w:val="24"/>
        </w:rPr>
        <w:t xml:space="preserve"> aged </w:t>
      </w:r>
      <w:r w:rsidR="004A6D86">
        <w:rPr>
          <w:rFonts w:ascii="Times New Roman" w:hAnsi="Times New Roman" w:cs="Times New Roman"/>
          <w:sz w:val="24"/>
          <w:szCs w:val="24"/>
        </w:rPr>
        <w:t xml:space="preserve">about </w:t>
      </w:r>
      <w:r>
        <w:rPr>
          <w:rFonts w:ascii="Times New Roman" w:hAnsi="Times New Roman" w:cs="Times New Roman"/>
          <w:sz w:val="24"/>
          <w:szCs w:val="24"/>
        </w:rPr>
        <w:t>half a year were involved</w:t>
      </w:r>
      <w:r w:rsidR="00527413">
        <w:rPr>
          <w:rFonts w:ascii="Times New Roman" w:hAnsi="Times New Roman" w:cs="Times New Roman"/>
          <w:sz w:val="24"/>
          <w:szCs w:val="24"/>
        </w:rPr>
        <w:t xml:space="preserve"> (</w:t>
      </w:r>
      <w:r w:rsidR="00527413" w:rsidRPr="00D64E94">
        <w:rPr>
          <w:rFonts w:ascii="Times New Roman" w:hAnsi="Times New Roman" w:cs="Times New Roman"/>
          <w:sz w:val="24"/>
          <w:szCs w:val="24"/>
        </w:rPr>
        <w:t xml:space="preserve">“Methods, </w:t>
      </w:r>
      <w:r w:rsidR="00527413">
        <w:rPr>
          <w:rFonts w:ascii="Times New Roman" w:hAnsi="Times New Roman" w:cs="Times New Roman"/>
        </w:rPr>
        <w:t xml:space="preserve">Samples, </w:t>
      </w:r>
      <w:r w:rsidR="00527413" w:rsidRPr="00D64E94">
        <w:rPr>
          <w:rFonts w:ascii="Times New Roman" w:hAnsi="Times New Roman" w:cs="Times New Roman"/>
          <w:sz w:val="24"/>
          <w:szCs w:val="24"/>
        </w:rPr>
        <w:t>paragraph 2”</w:t>
      </w:r>
      <w:r w:rsidR="0052741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6CC84C" w14:textId="77777777" w:rsidR="00D64E94" w:rsidRDefault="00D64E94">
      <w:pPr>
        <w:rPr>
          <w:rFonts w:hint="eastAsia"/>
        </w:rPr>
      </w:pPr>
    </w:p>
    <w:p w14:paraId="5A9AEA3E" w14:textId="684CB305" w:rsidR="00D64E94" w:rsidRDefault="00D64E94">
      <w:hyperlink r:id="rId9" w:tgtFrame="_blank" w:history="1">
        <w:r>
          <w:rPr>
            <w:rStyle w:val="a7"/>
            <w:rFonts w:ascii="inherit" w:hAnsi="inherit" w:cs="Arial"/>
            <w:color w:val="004466"/>
            <w:u w:val="single"/>
            <w:bdr w:val="none" w:sz="0" w:space="0" w:color="auto" w:frame="1"/>
          </w:rPr>
          <w:t>item 4 – Randomisation</w:t>
        </w:r>
      </w:hyperlink>
    </w:p>
    <w:p w14:paraId="3C84E0D2" w14:textId="28789605" w:rsidR="00107A5C" w:rsidRDefault="00107A5C" w:rsidP="00107A5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107A5C">
        <w:rPr>
          <w:rFonts w:ascii="Times New Roman" w:hAnsi="Times New Roman" w:cs="Times New Roman"/>
          <w:sz w:val="24"/>
          <w:szCs w:val="24"/>
        </w:rPr>
        <w:t>N/A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200214" w14:textId="77777777" w:rsidR="00107A5C" w:rsidRDefault="00107A5C" w:rsidP="00107A5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hint="eastAsia"/>
        </w:rPr>
      </w:pPr>
    </w:p>
    <w:p w14:paraId="4AD18299" w14:textId="777C03C5" w:rsidR="00D64E94" w:rsidRDefault="00D64E94">
      <w:hyperlink r:id="rId10" w:tgtFrame="_blank" w:history="1"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item 5 – Blinding</w:t>
        </w:r>
      </w:hyperlink>
    </w:p>
    <w:p w14:paraId="1C9F0746" w14:textId="77777777" w:rsidR="00107A5C" w:rsidRDefault="00107A5C" w:rsidP="00107A5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107A5C">
        <w:rPr>
          <w:rFonts w:ascii="Times New Roman" w:hAnsi="Times New Roman" w:cs="Times New Roman"/>
          <w:sz w:val="24"/>
          <w:szCs w:val="24"/>
        </w:rPr>
        <w:t>N/A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FCDF76" w14:textId="221DAB52" w:rsidR="00D64E94" w:rsidRDefault="00D64E94"/>
    <w:p w14:paraId="70A1B316" w14:textId="2BEA7E07" w:rsidR="00107A5C" w:rsidRDefault="00107A5C" w:rsidP="00107A5C">
      <w:pPr>
        <w:rPr>
          <w:rStyle w:val="a7"/>
          <w:rFonts w:ascii="Arial" w:hAnsi="Arial" w:cs="Arial"/>
          <w:color w:val="555555"/>
          <w:bdr w:val="none" w:sz="0" w:space="0" w:color="auto" w:frame="1"/>
        </w:rPr>
      </w:pPr>
      <w:hyperlink r:id="rId11" w:tgtFrame="_blank" w:history="1"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item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6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 –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Outcome measures</w:t>
        </w:r>
      </w:hyperlink>
    </w:p>
    <w:p w14:paraId="47B27A16" w14:textId="0331AB7F" w:rsidR="00107A5C" w:rsidRDefault="004A6D86" w:rsidP="00107A5C">
      <w:pPr>
        <w:rPr>
          <w:rFonts w:ascii="Times New Roman" w:hAnsi="Times New Roman" w:cs="Times New Roman"/>
          <w:sz w:val="24"/>
          <w:szCs w:val="24"/>
        </w:rPr>
      </w:pPr>
      <w:r w:rsidRPr="00107A5C">
        <w:rPr>
          <w:rFonts w:ascii="Times New Roman" w:hAnsi="Times New Roman" w:cs="Times New Roman"/>
          <w:sz w:val="24"/>
          <w:szCs w:val="24"/>
        </w:rPr>
        <w:t>N/A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8CC902" w14:textId="77777777" w:rsidR="004A6D86" w:rsidRDefault="004A6D86" w:rsidP="00107A5C">
      <w:pPr>
        <w:rPr>
          <w:rStyle w:val="a7"/>
          <w:rFonts w:ascii="Arial" w:hAnsi="Arial" w:cs="Arial"/>
          <w:color w:val="555555"/>
          <w:bdr w:val="none" w:sz="0" w:space="0" w:color="auto" w:frame="1"/>
        </w:rPr>
      </w:pPr>
    </w:p>
    <w:p w14:paraId="617D0A7A" w14:textId="3C12B4AD" w:rsidR="00107A5C" w:rsidRPr="00107A5C" w:rsidRDefault="00107A5C" w:rsidP="00107A5C">
      <w:pPr>
        <w:rPr>
          <w:rStyle w:val="a8"/>
          <w:rFonts w:ascii="inherit" w:hAnsi="inherit" w:cs="Arial"/>
          <w:b/>
          <w:bCs/>
          <w:color w:val="006699"/>
          <w:bdr w:val="none" w:sz="0" w:space="0" w:color="auto" w:frame="1"/>
        </w:rPr>
      </w:pPr>
      <w:hyperlink r:id="rId12" w:tgtFrame="_blank" w:history="1">
        <w:r w:rsidRPr="00107A5C"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item </w:t>
        </w:r>
        <w:r w:rsidRPr="00107A5C"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7</w:t>
        </w:r>
        <w:r w:rsidRPr="00107A5C"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 – </w:t>
        </w:r>
        <w:r w:rsidRPr="00107A5C"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Statistical</w:t>
        </w:r>
      </w:hyperlink>
      <w:r w:rsidRPr="00107A5C">
        <w:rPr>
          <w:rStyle w:val="a8"/>
          <w:rFonts w:ascii="inherit" w:hAnsi="inherit"/>
          <w:b/>
          <w:bCs/>
          <w:color w:val="006699"/>
        </w:rPr>
        <w:t xml:space="preserve"> methods</w:t>
      </w:r>
    </w:p>
    <w:p w14:paraId="6C57058E" w14:textId="3C92C414" w:rsidR="00107A5C" w:rsidRPr="004A6D86" w:rsidRDefault="004A6D86" w:rsidP="00107A5C">
      <w:pPr>
        <w:rPr>
          <w:rFonts w:ascii="Times New Roman" w:hAnsi="Times New Roman" w:cs="Times New Roman"/>
          <w:sz w:val="24"/>
          <w:szCs w:val="24"/>
        </w:rPr>
      </w:pPr>
      <w:r w:rsidRPr="004A6D86">
        <w:rPr>
          <w:rFonts w:ascii="Times New Roman" w:hAnsi="Times New Roman" w:cs="Times New Roman"/>
          <w:sz w:val="24"/>
          <w:szCs w:val="24"/>
        </w:rPr>
        <w:t xml:space="preserve">All data statistical methods have been descripted in Methods </w:t>
      </w:r>
      <w:r w:rsidRPr="004A6D86">
        <w:rPr>
          <w:rFonts w:ascii="Times New Roman" w:hAnsi="Times New Roman" w:cs="Times New Roman"/>
          <w:sz w:val="24"/>
          <w:szCs w:val="24"/>
        </w:rPr>
        <w:t xml:space="preserve">(“Methods, Data </w:t>
      </w:r>
      <w:r w:rsidRPr="004A6D86">
        <w:rPr>
          <w:rFonts w:ascii="Times New Roman" w:hAnsi="Times New Roman" w:cs="Times New Roman" w:hint="eastAsia"/>
          <w:sz w:val="24"/>
          <w:szCs w:val="24"/>
        </w:rPr>
        <w:t>p</w:t>
      </w:r>
      <w:r w:rsidRPr="004A6D86">
        <w:rPr>
          <w:rFonts w:ascii="Times New Roman" w:hAnsi="Times New Roman" w:cs="Times New Roman"/>
          <w:sz w:val="24"/>
          <w:szCs w:val="24"/>
        </w:rPr>
        <w:t xml:space="preserve">rocessing </w:t>
      </w:r>
      <w:r w:rsidRPr="004A6D86">
        <w:rPr>
          <w:rFonts w:ascii="Times New Roman" w:hAnsi="Times New Roman" w:cs="Times New Roman" w:hint="eastAsia"/>
          <w:sz w:val="24"/>
          <w:szCs w:val="24"/>
        </w:rPr>
        <w:t>t</w:t>
      </w:r>
      <w:r w:rsidRPr="004A6D86">
        <w:rPr>
          <w:rFonts w:ascii="Times New Roman" w:hAnsi="Times New Roman" w:cs="Times New Roman"/>
          <w:sz w:val="24"/>
          <w:szCs w:val="24"/>
        </w:rPr>
        <w:t>ools”)</w:t>
      </w:r>
      <w:r w:rsidRPr="004A6D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51FDD8" w14:textId="77777777" w:rsidR="004A6D86" w:rsidRDefault="004A6D86" w:rsidP="00107A5C">
      <w:pPr>
        <w:rPr>
          <w:rFonts w:hint="eastAsia"/>
        </w:rPr>
      </w:pPr>
    </w:p>
    <w:p w14:paraId="64A8C8AA" w14:textId="677B2467" w:rsidR="00107A5C" w:rsidRDefault="00107A5C" w:rsidP="00107A5C">
      <w:pPr>
        <w:rPr>
          <w:rStyle w:val="a7"/>
          <w:rFonts w:ascii="Arial" w:hAnsi="Arial" w:cs="Arial"/>
          <w:color w:val="555555"/>
          <w:bdr w:val="none" w:sz="0" w:space="0" w:color="auto" w:frame="1"/>
        </w:rPr>
      </w:pPr>
      <w:hyperlink r:id="rId13" w:tgtFrame="_blank" w:history="1"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item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8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 –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Experimental animals</w:t>
        </w:r>
      </w:hyperlink>
    </w:p>
    <w:p w14:paraId="2CFD719F" w14:textId="77777777" w:rsidR="002F3CCF" w:rsidRDefault="002F3CCF" w:rsidP="002F3CCF">
      <w:r>
        <w:rPr>
          <w:rFonts w:ascii="Times New Roman" w:hAnsi="Times New Roman" w:cs="Times New Roman"/>
          <w:sz w:val="24"/>
          <w:szCs w:val="24"/>
        </w:rPr>
        <w:t>T</w:t>
      </w:r>
      <w:r w:rsidRPr="00D64E94">
        <w:rPr>
          <w:rFonts w:ascii="Times New Roman" w:hAnsi="Times New Roman" w:cs="Times New Roman"/>
          <w:sz w:val="24"/>
          <w:szCs w:val="24"/>
        </w:rPr>
        <w:t xml:space="preserve">wo </w:t>
      </w:r>
      <w:r w:rsidRPr="00CF5D22">
        <w:rPr>
          <w:rFonts w:ascii="Times New Roman" w:hAnsi="Times New Roman" w:cs="Times New Roman"/>
          <w:sz w:val="24"/>
          <w:szCs w:val="24"/>
        </w:rPr>
        <w:t>Sprague–Dawley (SD) rats</w:t>
      </w:r>
      <w:r>
        <w:rPr>
          <w:rFonts w:ascii="Times New Roman" w:hAnsi="Times New Roman" w:cs="Times New Roman"/>
          <w:sz w:val="24"/>
          <w:szCs w:val="24"/>
        </w:rPr>
        <w:t xml:space="preserve"> (n=2) including female and male were enrolled, which have already been stated in Methods (</w:t>
      </w:r>
      <w:r w:rsidRPr="00D64E94">
        <w:rPr>
          <w:rFonts w:ascii="Times New Roman" w:hAnsi="Times New Roman" w:cs="Times New Roman"/>
          <w:sz w:val="24"/>
          <w:szCs w:val="24"/>
        </w:rPr>
        <w:t xml:space="preserve">“Methods, </w:t>
      </w:r>
      <w:r w:rsidRPr="004A6D86">
        <w:rPr>
          <w:rFonts w:ascii="Times New Roman" w:hAnsi="Times New Roman" w:cs="Times New Roman"/>
          <w:sz w:val="24"/>
          <w:szCs w:val="24"/>
        </w:rPr>
        <w:t xml:space="preserve">Samples, </w:t>
      </w:r>
      <w:r w:rsidRPr="00D64E94">
        <w:rPr>
          <w:rFonts w:ascii="Times New Roman" w:hAnsi="Times New Roman" w:cs="Times New Roman"/>
          <w:sz w:val="24"/>
          <w:szCs w:val="24"/>
        </w:rPr>
        <w:t>paragraph 2”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78DA5AB" w14:textId="77777777" w:rsidR="00987D3C" w:rsidRDefault="00987D3C">
      <w:pPr>
        <w:rPr>
          <w:rFonts w:hint="eastAsia"/>
        </w:rPr>
      </w:pPr>
    </w:p>
    <w:p w14:paraId="6C0DE7B3" w14:textId="74E35000" w:rsidR="00107A5C" w:rsidRDefault="00107A5C" w:rsidP="00107A5C">
      <w:pPr>
        <w:rPr>
          <w:rStyle w:val="a7"/>
          <w:rFonts w:ascii="Arial" w:hAnsi="Arial" w:cs="Arial"/>
          <w:color w:val="555555"/>
          <w:bdr w:val="none" w:sz="0" w:space="0" w:color="auto" w:frame="1"/>
        </w:rPr>
      </w:pPr>
      <w:hyperlink r:id="rId14" w:tgtFrame="_blank" w:history="1"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item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9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 –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Experimental procedures</w:t>
        </w:r>
      </w:hyperlink>
    </w:p>
    <w:p w14:paraId="6B668CA3" w14:textId="174EBE0E" w:rsidR="002F3CCF" w:rsidRPr="002F3CCF" w:rsidRDefault="002F3CCF">
      <w:r w:rsidRPr="002F3CCF">
        <w:rPr>
          <w:rFonts w:ascii="Times New Roman" w:hAnsi="Times New Roman" w:cs="Times New Roman"/>
          <w:sz w:val="24"/>
          <w:szCs w:val="24"/>
        </w:rPr>
        <w:t>Experimental procedures were descripted detail in Methods (</w:t>
      </w:r>
      <w:r w:rsidRPr="00D64E94">
        <w:rPr>
          <w:rFonts w:ascii="Times New Roman" w:hAnsi="Times New Roman" w:cs="Times New Roman"/>
          <w:sz w:val="24"/>
          <w:szCs w:val="24"/>
        </w:rPr>
        <w:t xml:space="preserve">“Methods, </w:t>
      </w:r>
      <w:r w:rsidRPr="004A6D86">
        <w:rPr>
          <w:rFonts w:ascii="Times New Roman" w:hAnsi="Times New Roman" w:cs="Times New Roman"/>
          <w:sz w:val="24"/>
          <w:szCs w:val="24"/>
        </w:rPr>
        <w:t>Samples,</w:t>
      </w:r>
      <w:r w:rsidRPr="002F3CCF">
        <w:rPr>
          <w:rFonts w:ascii="Times New Roman" w:hAnsi="Times New Roman" w:cs="Times New Roman"/>
          <w:sz w:val="24"/>
          <w:szCs w:val="24"/>
        </w:rPr>
        <w:t xml:space="preserve"> </w:t>
      </w:r>
      <w:r w:rsidRPr="002F3CCF">
        <w:rPr>
          <w:rFonts w:ascii="Times New Roman" w:hAnsi="Times New Roman" w:cs="Times New Roman"/>
          <w:sz w:val="24"/>
          <w:szCs w:val="24"/>
        </w:rPr>
        <w:t xml:space="preserve">Tissue </w:t>
      </w:r>
      <w:r w:rsidRPr="002F3CCF">
        <w:rPr>
          <w:rFonts w:ascii="Times New Roman" w:hAnsi="Times New Roman" w:cs="Times New Roman" w:hint="eastAsia"/>
          <w:sz w:val="24"/>
          <w:szCs w:val="24"/>
        </w:rPr>
        <w:t>p</w:t>
      </w:r>
      <w:r w:rsidRPr="002F3CCF">
        <w:rPr>
          <w:rFonts w:ascii="Times New Roman" w:hAnsi="Times New Roman" w:cs="Times New Roman"/>
          <w:sz w:val="24"/>
          <w:szCs w:val="24"/>
        </w:rPr>
        <w:t xml:space="preserve">reparing, </w:t>
      </w:r>
      <w:r w:rsidRPr="002F3CCF">
        <w:rPr>
          <w:rFonts w:ascii="Times New Roman" w:hAnsi="Times New Roman" w:cs="Times New Roman" w:hint="eastAsia"/>
          <w:sz w:val="24"/>
          <w:szCs w:val="24"/>
        </w:rPr>
        <w:t>h</w:t>
      </w:r>
      <w:r w:rsidRPr="002F3CCF">
        <w:rPr>
          <w:rFonts w:ascii="Times New Roman" w:hAnsi="Times New Roman" w:cs="Times New Roman"/>
          <w:sz w:val="24"/>
          <w:szCs w:val="24"/>
        </w:rPr>
        <w:t xml:space="preserve">andling, and </w:t>
      </w:r>
      <w:r w:rsidRPr="002F3CCF">
        <w:rPr>
          <w:rFonts w:ascii="Times New Roman" w:hAnsi="Times New Roman" w:cs="Times New Roman" w:hint="eastAsia"/>
          <w:sz w:val="24"/>
          <w:szCs w:val="24"/>
        </w:rPr>
        <w:t>e</w:t>
      </w:r>
      <w:r w:rsidRPr="002F3CCF">
        <w:rPr>
          <w:rFonts w:ascii="Times New Roman" w:hAnsi="Times New Roman" w:cs="Times New Roman"/>
          <w:sz w:val="24"/>
          <w:szCs w:val="24"/>
        </w:rPr>
        <w:t xml:space="preserve">nzymatic </w:t>
      </w:r>
      <w:r w:rsidRPr="002F3CCF">
        <w:rPr>
          <w:rFonts w:ascii="Times New Roman" w:hAnsi="Times New Roman" w:cs="Times New Roman" w:hint="eastAsia"/>
          <w:sz w:val="24"/>
          <w:szCs w:val="24"/>
        </w:rPr>
        <w:t>i</w:t>
      </w:r>
      <w:r w:rsidRPr="002F3CCF">
        <w:rPr>
          <w:rFonts w:ascii="Times New Roman" w:hAnsi="Times New Roman" w:cs="Times New Roman"/>
          <w:sz w:val="24"/>
          <w:szCs w:val="24"/>
        </w:rPr>
        <w:t>solation</w:t>
      </w:r>
      <w:r w:rsidRPr="00D64E94">
        <w:rPr>
          <w:rFonts w:ascii="Times New Roman" w:hAnsi="Times New Roman" w:cs="Times New Roman"/>
          <w:sz w:val="24"/>
          <w:szCs w:val="24"/>
        </w:rPr>
        <w:t>”</w:t>
      </w:r>
      <w:r w:rsidRPr="002F3CCF">
        <w:rPr>
          <w:rFonts w:ascii="Times New Roman" w:hAnsi="Times New Roman" w:cs="Times New Roman"/>
          <w:sz w:val="24"/>
          <w:szCs w:val="24"/>
        </w:rPr>
        <w:t>).</w:t>
      </w:r>
    </w:p>
    <w:p w14:paraId="7F17755E" w14:textId="77777777" w:rsidR="002F3CCF" w:rsidRDefault="002F3CCF">
      <w:pPr>
        <w:rPr>
          <w:rFonts w:hint="eastAsia"/>
        </w:rPr>
      </w:pPr>
    </w:p>
    <w:p w14:paraId="7A4348A6" w14:textId="3EBE7603" w:rsidR="00107A5C" w:rsidRDefault="00107A5C" w:rsidP="00107A5C">
      <w:pPr>
        <w:rPr>
          <w:rStyle w:val="a7"/>
          <w:rFonts w:ascii="Arial" w:hAnsi="Arial" w:cs="Arial"/>
          <w:color w:val="555555"/>
          <w:bdr w:val="none" w:sz="0" w:space="0" w:color="auto" w:frame="1"/>
        </w:rPr>
      </w:pPr>
      <w:hyperlink r:id="rId15" w:tgtFrame="_blank" w:history="1"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item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10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 xml:space="preserve"> – </w:t>
        </w:r>
        <w:r>
          <w:rPr>
            <w:rStyle w:val="a8"/>
            <w:rFonts w:ascii="inherit" w:hAnsi="inherit" w:cs="Arial"/>
            <w:b/>
            <w:bCs/>
            <w:color w:val="006699"/>
            <w:bdr w:val="none" w:sz="0" w:space="0" w:color="auto" w:frame="1"/>
          </w:rPr>
          <w:t>Results</w:t>
        </w:r>
      </w:hyperlink>
    </w:p>
    <w:p w14:paraId="59F922CA" w14:textId="22BEACC6" w:rsidR="00107A5C" w:rsidRDefault="002F3CCF" w:rsidP="00107A5C">
      <w:pPr>
        <w:rPr>
          <w:rStyle w:val="a7"/>
          <w:rFonts w:ascii="Arial" w:hAnsi="Arial" w:cs="Arial" w:hint="eastAsia"/>
          <w:color w:val="555555"/>
          <w:bdr w:val="none" w:sz="0" w:space="0" w:color="auto" w:frame="1"/>
        </w:rPr>
      </w:pPr>
      <w:r w:rsidRPr="002F3CCF">
        <w:rPr>
          <w:rFonts w:ascii="Times New Roman" w:hAnsi="Times New Roman" w:cs="Times New Roman" w:hint="eastAsia"/>
          <w:sz w:val="24"/>
          <w:szCs w:val="24"/>
        </w:rPr>
        <w:t>R</w:t>
      </w:r>
      <w:r w:rsidRPr="002F3CCF">
        <w:rPr>
          <w:rFonts w:ascii="Times New Roman" w:hAnsi="Times New Roman" w:cs="Times New Roman"/>
          <w:sz w:val="24"/>
          <w:szCs w:val="24"/>
        </w:rPr>
        <w:t>esults have been present in figures.</w:t>
      </w:r>
    </w:p>
    <w:p w14:paraId="5163BC80" w14:textId="0246F375" w:rsidR="00107A5C" w:rsidRDefault="00107A5C"/>
    <w:p w14:paraId="76F67963" w14:textId="77777777" w:rsidR="00107A5C" w:rsidRPr="00107A5C" w:rsidRDefault="00107A5C">
      <w:pPr>
        <w:rPr>
          <w:rFonts w:hint="eastAsia"/>
        </w:rPr>
      </w:pPr>
    </w:p>
    <w:p w14:paraId="777F7037" w14:textId="6F00D827" w:rsidR="00107A5C" w:rsidRDefault="00107A5C"/>
    <w:p w14:paraId="0E7138D9" w14:textId="77777777" w:rsidR="00107A5C" w:rsidRDefault="00107A5C">
      <w:pPr>
        <w:rPr>
          <w:rFonts w:hint="eastAsia"/>
        </w:rPr>
      </w:pPr>
    </w:p>
    <w:p w14:paraId="7D19EC94" w14:textId="77777777" w:rsidR="00107A5C" w:rsidRPr="00107A5C" w:rsidRDefault="00107A5C">
      <w:pPr>
        <w:rPr>
          <w:rFonts w:hint="eastAsia"/>
        </w:rPr>
      </w:pPr>
    </w:p>
    <w:sectPr w:rsidR="00107A5C" w:rsidRPr="00107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839FFA" w14:textId="77777777" w:rsidR="00BB79E3" w:rsidRDefault="00BB79E3" w:rsidP="00D64E94">
      <w:r>
        <w:separator/>
      </w:r>
    </w:p>
  </w:endnote>
  <w:endnote w:type="continuationSeparator" w:id="0">
    <w:p w14:paraId="5A41897B" w14:textId="77777777" w:rsidR="00BB79E3" w:rsidRDefault="00BB79E3" w:rsidP="00D64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2D999" w14:textId="77777777" w:rsidR="00BB79E3" w:rsidRDefault="00BB79E3" w:rsidP="00D64E94">
      <w:r>
        <w:separator/>
      </w:r>
    </w:p>
  </w:footnote>
  <w:footnote w:type="continuationSeparator" w:id="0">
    <w:p w14:paraId="460DB31D" w14:textId="77777777" w:rsidR="00BB79E3" w:rsidRDefault="00BB79E3" w:rsidP="00D64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617B5"/>
    <w:rsid w:val="00107A5C"/>
    <w:rsid w:val="002F3CCF"/>
    <w:rsid w:val="003C3F79"/>
    <w:rsid w:val="004A6D86"/>
    <w:rsid w:val="00527413"/>
    <w:rsid w:val="00675272"/>
    <w:rsid w:val="007B3EE5"/>
    <w:rsid w:val="00987D3C"/>
    <w:rsid w:val="009D1161"/>
    <w:rsid w:val="00AB2B1C"/>
    <w:rsid w:val="00BB79E3"/>
    <w:rsid w:val="00C617B5"/>
    <w:rsid w:val="00D64E94"/>
    <w:rsid w:val="00DC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A4084"/>
  <w15:chartTrackingRefBased/>
  <w15:docId w15:val="{7096F38A-A5FB-462B-A0C7-F7B77FEE8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E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E94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D64E9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D64E94"/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64E94"/>
    <w:rPr>
      <w:b/>
      <w:bCs/>
    </w:rPr>
  </w:style>
  <w:style w:type="character" w:styleId="a8">
    <w:name w:val="Hyperlink"/>
    <w:basedOn w:val="a0"/>
    <w:uiPriority w:val="99"/>
    <w:semiHidden/>
    <w:unhideWhenUsed/>
    <w:rsid w:val="00D64E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6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riveguidelines.org/arrive-guidelines/inclusion-and-exclusion-criteria" TargetMode="External"/><Relationship Id="rId13" Type="http://schemas.openxmlformats.org/officeDocument/2006/relationships/hyperlink" Target="https://arriveguidelines.org/arrive-guidelines/blind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rriveguidelines.org/arrive-guidelines/sample-size" TargetMode="External"/><Relationship Id="rId12" Type="http://schemas.openxmlformats.org/officeDocument/2006/relationships/hyperlink" Target="https://arriveguidelines.org/arrive-guidelines/blindin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arriveguidelines.org/arrive-guidelines/study-design" TargetMode="External"/><Relationship Id="rId11" Type="http://schemas.openxmlformats.org/officeDocument/2006/relationships/hyperlink" Target="https://arriveguidelines.org/arrive-guidelines/blinding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arriveguidelines.org/arrive-guidelines/blinding" TargetMode="External"/><Relationship Id="rId10" Type="http://schemas.openxmlformats.org/officeDocument/2006/relationships/hyperlink" Target="https://arriveguidelines.org/arrive-guidelines/blindin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arriveguidelines.org/arrive-guidelines/randomisation" TargetMode="External"/><Relationship Id="rId14" Type="http://schemas.openxmlformats.org/officeDocument/2006/relationships/hyperlink" Target="https://arriveguidelines.org/arrive-guidelines/blindi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Zhenxing</dc:creator>
  <cp:keywords/>
  <dc:description/>
  <cp:lastModifiedBy>Zhenxing</cp:lastModifiedBy>
  <cp:revision>10</cp:revision>
  <dcterms:created xsi:type="dcterms:W3CDTF">2020-09-11T01:06:00Z</dcterms:created>
  <dcterms:modified xsi:type="dcterms:W3CDTF">2020-09-11T01:32:00Z</dcterms:modified>
</cp:coreProperties>
</file>