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A23A6" w:rsidRPr="00D6611B" w:rsidRDefault="008A23A6" w:rsidP="008A23A6">
      <w:pPr>
        <w:spacing w:line="480" w:lineRule="auto"/>
        <w:rPr>
          <w:rFonts w:ascii="Times New Roman" w:hAnsi="Times New Roman" w:cs="Times New Roman"/>
          <w:b/>
        </w:rPr>
      </w:pPr>
      <w:r w:rsidRPr="00D6611B">
        <w:rPr>
          <w:rFonts w:ascii="Times New Roman" w:hAnsi="Times New Roman" w:cs="Times New Roman"/>
          <w:b/>
        </w:rPr>
        <w:t>SUPPLEMENTARY MATERIAL</w:t>
      </w:r>
    </w:p>
    <w:p w:rsidR="008A23A6" w:rsidRPr="00D6611B" w:rsidRDefault="008A23A6" w:rsidP="008A23A6">
      <w:pPr>
        <w:spacing w:line="480" w:lineRule="auto"/>
        <w:rPr>
          <w:rFonts w:ascii="Times New Roman" w:eastAsia="Times New Roman" w:hAnsi="Times New Roman" w:cs="Times New Roman"/>
        </w:rPr>
      </w:pPr>
      <w:r w:rsidRPr="00D6611B">
        <w:rPr>
          <w:rFonts w:ascii="Times New Roman" w:eastAsia="Times New Roman" w:hAnsi="Times New Roman" w:cs="Times New Roman"/>
          <w:b/>
          <w:bCs/>
          <w:shd w:val="clear" w:color="auto" w:fill="FFFFFF"/>
        </w:rPr>
        <w:t>Reporting of Health Service Use</w:t>
      </w:r>
      <w:r w:rsidRPr="00D6611B">
        <w:rPr>
          <w:rFonts w:ascii="Times New Roman" w:eastAsia="Times New Roman" w:hAnsi="Times New Roman" w:cs="Times New Roman"/>
        </w:rPr>
        <w:br/>
      </w:r>
      <w:r w:rsidRPr="00D6611B">
        <w:rPr>
          <w:rFonts w:ascii="Times New Roman" w:eastAsia="Times New Roman" w:hAnsi="Times New Roman" w:cs="Times New Roman"/>
          <w:color w:val="333333"/>
          <w:shd w:val="clear" w:color="auto" w:fill="FFFFFF"/>
        </w:rPr>
        <w:t>Respondents to the NHS were asked whether they had taken any of the following actions in the last 12 months (shown on a prompt card):</w:t>
      </w:r>
    </w:p>
    <w:p w:rsidR="008A23A6" w:rsidRPr="00D6611B" w:rsidRDefault="008A23A6" w:rsidP="008A23A6">
      <w:pPr>
        <w:numPr>
          <w:ilvl w:val="0"/>
          <w:numId w:val="1"/>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Consulted a GP</w:t>
      </w:r>
    </w:p>
    <w:p w:rsidR="008A23A6" w:rsidRPr="00D6611B" w:rsidRDefault="008A23A6" w:rsidP="008A23A6">
      <w:pPr>
        <w:numPr>
          <w:ilvl w:val="0"/>
          <w:numId w:val="1"/>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Consulted a specialist</w:t>
      </w:r>
    </w:p>
    <w:p w:rsidR="008A23A6" w:rsidRPr="00D6611B" w:rsidRDefault="008A23A6" w:rsidP="008A23A6">
      <w:pPr>
        <w:numPr>
          <w:ilvl w:val="0"/>
          <w:numId w:val="1"/>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Consulted a dentist</w:t>
      </w:r>
    </w:p>
    <w:p w:rsidR="008A23A6" w:rsidRPr="00D6611B" w:rsidRDefault="008A23A6" w:rsidP="008A23A6">
      <w:pPr>
        <w:numPr>
          <w:ilvl w:val="0"/>
          <w:numId w:val="1"/>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Consulted other health professional</w:t>
      </w:r>
    </w:p>
    <w:p w:rsidR="008A23A6" w:rsidRPr="00D6611B" w:rsidRDefault="008A23A6" w:rsidP="008A23A6">
      <w:pPr>
        <w:numPr>
          <w:ilvl w:val="0"/>
          <w:numId w:val="1"/>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Admitted to hospital as an inpatient</w:t>
      </w:r>
    </w:p>
    <w:p w:rsidR="008A23A6" w:rsidRPr="00D6611B" w:rsidRDefault="008A23A6" w:rsidP="008A23A6">
      <w:pPr>
        <w:numPr>
          <w:ilvl w:val="0"/>
          <w:numId w:val="1"/>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Visited an outpatient clinic</w:t>
      </w:r>
    </w:p>
    <w:p w:rsidR="008A23A6" w:rsidRPr="00D6611B" w:rsidRDefault="008A23A6" w:rsidP="008A23A6">
      <w:pPr>
        <w:numPr>
          <w:ilvl w:val="0"/>
          <w:numId w:val="1"/>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Visited emergency/casualty</w:t>
      </w:r>
    </w:p>
    <w:p w:rsidR="008A23A6" w:rsidRPr="00D6611B" w:rsidRDefault="008A23A6" w:rsidP="008A23A6">
      <w:pPr>
        <w:numPr>
          <w:ilvl w:val="0"/>
          <w:numId w:val="1"/>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Visited a day clinic.</w:t>
      </w:r>
    </w:p>
    <w:p w:rsidR="008A23A6" w:rsidRPr="00D6611B" w:rsidRDefault="008A23A6" w:rsidP="008A23A6">
      <w:pPr>
        <w:spacing w:after="0" w:line="480" w:lineRule="auto"/>
        <w:rPr>
          <w:rFonts w:ascii="Times New Roman" w:eastAsia="Times New Roman" w:hAnsi="Times New Roman" w:cs="Times New Roman"/>
          <w:color w:val="333333"/>
          <w:shd w:val="clear" w:color="auto" w:fill="FFFFFF"/>
        </w:rPr>
      </w:pPr>
      <w:r w:rsidRPr="00D6611B">
        <w:rPr>
          <w:rFonts w:ascii="Times New Roman" w:eastAsia="Times New Roman" w:hAnsi="Times New Roman" w:cs="Times New Roman"/>
          <w:color w:val="333333"/>
          <w:shd w:val="clear" w:color="auto" w:fill="FFFFFF"/>
        </w:rPr>
        <w:t>More than one response was allowed. If the respondent indicated they had consulted an 'other health professional' in the last 12 months, they were asked (excluding any time spent in hospital) which other health professional(s) they had consulted, with a list of 24 other health professionals shown no a prompt card:</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Aboriginal Health Worker</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Accredited counsellor</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Acupuncturist</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Alcohol and drug worker</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Audiologist/</w:t>
      </w:r>
      <w:proofErr w:type="spellStart"/>
      <w:r w:rsidRPr="00D6611B">
        <w:rPr>
          <w:rFonts w:ascii="Times New Roman" w:eastAsia="Times New Roman" w:hAnsi="Times New Roman" w:cs="Times New Roman"/>
          <w:color w:val="333333"/>
        </w:rPr>
        <w:t>Audiometrist</w:t>
      </w:r>
      <w:proofErr w:type="spellEnd"/>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Chemist/Pharmacist (for advice only)</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Chiropodist/Podiatrist</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Chiropractor</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Diabetes educator</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Dietitian/Nutritionist</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Naturopath</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lastRenderedPageBreak/>
        <w:t>Herbalist</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Hypnotherapist</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Nurse</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Occupational therapist</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Optician/Optometrist/Orthoptist</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Osteopath</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Physiotherapist/</w:t>
      </w:r>
      <w:proofErr w:type="spellStart"/>
      <w:r w:rsidRPr="00D6611B">
        <w:rPr>
          <w:rFonts w:ascii="Times New Roman" w:eastAsia="Times New Roman" w:hAnsi="Times New Roman" w:cs="Times New Roman"/>
          <w:color w:val="333333"/>
        </w:rPr>
        <w:t>Hydrotherapist</w:t>
      </w:r>
      <w:proofErr w:type="spellEnd"/>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Psychologist</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Radiographer;</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Social worker/Welfare officer</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Sonographer</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Speech therapist/Pathologist</w:t>
      </w:r>
    </w:p>
    <w:p w:rsidR="008A23A6" w:rsidRPr="00D6611B" w:rsidRDefault="008A23A6" w:rsidP="008A23A6">
      <w:pPr>
        <w:numPr>
          <w:ilvl w:val="0"/>
          <w:numId w:val="2"/>
        </w:numPr>
        <w:shd w:val="clear" w:color="auto" w:fill="FFFFFF"/>
        <w:spacing w:after="0" w:line="480" w:lineRule="auto"/>
        <w:ind w:left="450"/>
        <w:textAlignment w:val="baseline"/>
        <w:rPr>
          <w:rFonts w:ascii="Times New Roman" w:eastAsia="Times New Roman" w:hAnsi="Times New Roman" w:cs="Times New Roman"/>
          <w:color w:val="333333"/>
        </w:rPr>
      </w:pPr>
      <w:r w:rsidRPr="00D6611B">
        <w:rPr>
          <w:rFonts w:ascii="Times New Roman" w:eastAsia="Times New Roman" w:hAnsi="Times New Roman" w:cs="Times New Roman"/>
          <w:color w:val="333333"/>
        </w:rPr>
        <w:t>Other.</w:t>
      </w:r>
    </w:p>
    <w:p w:rsidR="008A23A6" w:rsidRPr="00D6611B" w:rsidRDefault="008A23A6" w:rsidP="008A23A6">
      <w:pPr>
        <w:spacing w:after="0" w:line="480" w:lineRule="auto"/>
        <w:rPr>
          <w:rFonts w:ascii="Times New Roman" w:eastAsia="Times New Roman" w:hAnsi="Times New Roman" w:cs="Times New Roman"/>
          <w:color w:val="333333"/>
          <w:shd w:val="clear" w:color="auto" w:fill="FFFFFF"/>
        </w:rPr>
      </w:pPr>
    </w:p>
    <w:p w:rsidR="008A23A6" w:rsidRPr="00D6611B" w:rsidRDefault="008A23A6" w:rsidP="008A23A6">
      <w:pPr>
        <w:spacing w:after="0" w:line="480" w:lineRule="auto"/>
        <w:rPr>
          <w:rFonts w:ascii="Times New Roman" w:eastAsia="Times New Roman" w:hAnsi="Times New Roman" w:cs="Times New Roman"/>
          <w:color w:val="333333"/>
          <w:shd w:val="clear" w:color="auto" w:fill="FFFFFF"/>
        </w:rPr>
      </w:pPr>
      <w:r w:rsidRPr="00D6611B">
        <w:rPr>
          <w:rFonts w:ascii="Times New Roman" w:eastAsia="Times New Roman" w:hAnsi="Times New Roman" w:cs="Times New Roman"/>
          <w:color w:val="333333"/>
          <w:shd w:val="clear" w:color="auto" w:fill="FFFFFF"/>
        </w:rPr>
        <w:t xml:space="preserve">More than one response was allowed. </w:t>
      </w:r>
    </w:p>
    <w:p w:rsidR="008A23A6" w:rsidRPr="00D6611B" w:rsidRDefault="008A23A6" w:rsidP="008A23A6">
      <w:pPr>
        <w:spacing w:after="0" w:line="480" w:lineRule="auto"/>
        <w:rPr>
          <w:rFonts w:ascii="Times New Roman" w:eastAsia="Times New Roman" w:hAnsi="Times New Roman" w:cs="Times New Roman"/>
          <w:color w:val="333333"/>
          <w:shd w:val="clear" w:color="auto" w:fill="FFFFFF"/>
        </w:rPr>
      </w:pPr>
      <w:r w:rsidRPr="00D6611B">
        <w:rPr>
          <w:rFonts w:ascii="Times New Roman" w:hAnsi="Times New Roman" w:cs="Times New Roman"/>
          <w:color w:val="333333"/>
          <w:shd w:val="clear" w:color="auto" w:fill="FFFFFF"/>
        </w:rPr>
        <w:t>In addition, respondents who had consulted a GP, specialist or dentist, been admitted to hospital as an inpatient, visited an outpatient or day clinic, or visited emergency/casualty in the last 12 months were asked how many times they had done so during that period. </w:t>
      </w:r>
    </w:p>
    <w:p w:rsidR="008A23A6" w:rsidRPr="00D6611B" w:rsidRDefault="008A23A6" w:rsidP="008A23A6">
      <w:pPr>
        <w:spacing w:line="480" w:lineRule="auto"/>
        <w:rPr>
          <w:rFonts w:ascii="Times New Roman" w:eastAsia="Times New Roman" w:hAnsi="Times New Roman" w:cs="Times New Roman"/>
          <w:b/>
          <w:bCs/>
          <w:shd w:val="clear" w:color="auto" w:fill="FFFFFF"/>
        </w:rPr>
      </w:pPr>
    </w:p>
    <w:p w:rsidR="008A23A6" w:rsidRPr="00D6611B" w:rsidRDefault="008A23A6" w:rsidP="008A23A6">
      <w:pPr>
        <w:spacing w:line="480" w:lineRule="auto"/>
        <w:rPr>
          <w:rFonts w:ascii="Times New Roman" w:eastAsia="Times New Roman" w:hAnsi="Times New Roman" w:cs="Times New Roman"/>
          <w:shd w:val="clear" w:color="auto" w:fill="FFFFFF"/>
        </w:rPr>
      </w:pPr>
      <w:r w:rsidRPr="00D6611B">
        <w:rPr>
          <w:rFonts w:ascii="Times New Roman" w:eastAsia="Times New Roman" w:hAnsi="Times New Roman" w:cs="Times New Roman"/>
          <w:b/>
          <w:bCs/>
          <w:shd w:val="clear" w:color="auto" w:fill="FFFFFF"/>
        </w:rPr>
        <w:t>Reporting of Medication Use</w:t>
      </w:r>
    </w:p>
    <w:p w:rsidR="008A23A6" w:rsidRPr="00D6611B" w:rsidRDefault="008A23A6" w:rsidP="008A23A6">
      <w:pPr>
        <w:spacing w:line="480" w:lineRule="auto"/>
        <w:rPr>
          <w:rFonts w:ascii="Times New Roman" w:hAnsi="Times New Roman" w:cs="Times New Roman"/>
        </w:rPr>
      </w:pPr>
      <w:r w:rsidRPr="00D6611B">
        <w:rPr>
          <w:rFonts w:ascii="Times New Roman" w:hAnsi="Times New Roman" w:cs="Times New Roman"/>
          <w:color w:val="333333"/>
          <w:shd w:val="clear" w:color="auto" w:fill="FFFFFF"/>
        </w:rPr>
        <w:t>Respondents were asked for the names or brands of all medications and dietary supplements (vitamins, minerals or natural or herbal supplements) they had taken in the last 2 weeks. Respondents were encouraged to have all of their medications and supplements in front of them during the interview to assist in reporting the information.</w:t>
      </w:r>
      <w:r w:rsidRPr="00D6611B">
        <w:rPr>
          <w:rFonts w:ascii="Times New Roman" w:hAnsi="Times New Roman" w:cs="Times New Roman"/>
          <w:color w:val="333333"/>
        </w:rPr>
        <w:t xml:space="preserve"> </w:t>
      </w:r>
      <w:r w:rsidRPr="00D6611B">
        <w:rPr>
          <w:rFonts w:ascii="Times New Roman" w:hAnsi="Times New Roman" w:cs="Times New Roman"/>
          <w:color w:val="333333"/>
          <w:shd w:val="clear" w:color="auto" w:fill="FFFFFF"/>
        </w:rPr>
        <w:t xml:space="preserve">Interviewers recorded the Australian Register of Therapeutic Goods Administration (TGA) identification number of each medication taken by the respondent. The therapeutic substances people reported were coded as either ‘medications’ or as ‘dietary </w:t>
      </w:r>
      <w:proofErr w:type="gramStart"/>
      <w:r w:rsidRPr="00D6611B">
        <w:rPr>
          <w:rFonts w:ascii="Times New Roman" w:hAnsi="Times New Roman" w:cs="Times New Roman"/>
          <w:color w:val="333333"/>
          <w:shd w:val="clear" w:color="auto" w:fill="FFFFFF"/>
        </w:rPr>
        <w:t>supplements’</w:t>
      </w:r>
      <w:proofErr w:type="gramEnd"/>
      <w:r w:rsidRPr="00D6611B">
        <w:rPr>
          <w:rFonts w:ascii="Times New Roman" w:hAnsi="Times New Roman" w:cs="Times New Roman"/>
          <w:color w:val="333333"/>
          <w:shd w:val="clear" w:color="auto" w:fill="FFFFFF"/>
        </w:rPr>
        <w:t xml:space="preserve">. </w:t>
      </w:r>
      <w:r w:rsidRPr="00D6611B">
        <w:rPr>
          <w:rFonts w:ascii="Times New Roman" w:hAnsi="Times New Roman" w:cs="Times New Roman"/>
          <w:color w:val="333333"/>
        </w:rPr>
        <w:t xml:space="preserve">Medications were coded based on their active ingredient(s) and their </w:t>
      </w:r>
      <w:r w:rsidRPr="00D6611B">
        <w:rPr>
          <w:rFonts w:ascii="Times New Roman" w:hAnsi="Times New Roman" w:cs="Times New Roman"/>
          <w:color w:val="333333"/>
        </w:rPr>
        <w:lastRenderedPageBreak/>
        <w:t>therapeutic application, to the World Health Organisation Anatomical Therapeutic Chemical (ATC) classification system.</w:t>
      </w:r>
    </w:p>
    <w:p w:rsidR="008A23A6" w:rsidRDefault="008A23A6"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826DCA" w:rsidRDefault="00826DCA"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Default="00EE04FF" w:rsidP="008A23A6">
      <w:pPr>
        <w:spacing w:line="480" w:lineRule="auto"/>
        <w:rPr>
          <w:rFonts w:ascii="Times New Roman" w:hAnsi="Times New Roman" w:cs="Times New Roman"/>
          <w:b/>
        </w:rPr>
      </w:pPr>
    </w:p>
    <w:p w:rsidR="00EE04FF" w:rsidRPr="00D6611B" w:rsidRDefault="00EE04FF" w:rsidP="008A23A6">
      <w:pPr>
        <w:spacing w:line="480" w:lineRule="auto"/>
        <w:rPr>
          <w:rFonts w:ascii="Times New Roman" w:hAnsi="Times New Roman" w:cs="Times New Roman"/>
          <w:b/>
        </w:rPr>
      </w:pPr>
    </w:p>
    <w:p w:rsidR="00AC25B9" w:rsidRPr="00D6611B" w:rsidRDefault="00AC25B9" w:rsidP="00AC25B9">
      <w:pPr>
        <w:rPr>
          <w:rFonts w:ascii="Times New Roman" w:hAnsi="Times New Roman" w:cs="Times New Roman"/>
        </w:rPr>
      </w:pPr>
      <w:r>
        <w:rPr>
          <w:rFonts w:ascii="Times New Roman" w:hAnsi="Times New Roman" w:cs="Times New Roman"/>
          <w:b/>
          <w:bCs/>
        </w:rPr>
        <w:lastRenderedPageBreak/>
        <w:t>Supplementary T</w:t>
      </w:r>
      <w:r w:rsidRPr="00D6611B">
        <w:rPr>
          <w:rFonts w:ascii="Times New Roman" w:hAnsi="Times New Roman" w:cs="Times New Roman"/>
          <w:b/>
          <w:bCs/>
        </w:rPr>
        <w:t xml:space="preserve">able </w:t>
      </w:r>
      <w:r w:rsidR="002A51B5">
        <w:rPr>
          <w:rFonts w:ascii="Times New Roman" w:hAnsi="Times New Roman" w:cs="Times New Roman"/>
          <w:b/>
          <w:bCs/>
        </w:rPr>
        <w:t>1</w:t>
      </w:r>
      <w:r w:rsidRPr="00D6611B">
        <w:rPr>
          <w:rFonts w:ascii="Times New Roman" w:hAnsi="Times New Roman" w:cs="Times New Roman"/>
          <w:b/>
          <w:bCs/>
        </w:rPr>
        <w:t>.</w:t>
      </w:r>
      <w:r w:rsidRPr="00D6611B">
        <w:rPr>
          <w:rFonts w:ascii="Times New Roman" w:hAnsi="Times New Roman" w:cs="Times New Roman"/>
        </w:rPr>
        <w:t xml:space="preserve"> </w:t>
      </w:r>
      <w:r>
        <w:rPr>
          <w:rFonts w:ascii="Times New Roman" w:hAnsi="Times New Roman" w:cs="Times New Roman"/>
        </w:rPr>
        <w:t xml:space="preserve">Results of negative binomial regression model testing factors associated with the frequency of General Practitioner consultations in the past 12 months among disability benefit recipients. </w:t>
      </w:r>
    </w:p>
    <w:tbl>
      <w:tblPr>
        <w:tblW w:w="6600" w:type="dxa"/>
        <w:tblLook w:val="04A0" w:firstRow="1" w:lastRow="0" w:firstColumn="1" w:lastColumn="0" w:noHBand="0" w:noVBand="1"/>
      </w:tblPr>
      <w:tblGrid>
        <w:gridCol w:w="2740"/>
        <w:gridCol w:w="960"/>
        <w:gridCol w:w="960"/>
        <w:gridCol w:w="980"/>
        <w:gridCol w:w="960"/>
      </w:tblGrid>
      <w:tr w:rsidR="00AC25B9" w:rsidRPr="00D6611B" w:rsidTr="00804B72">
        <w:trPr>
          <w:trHeight w:val="290"/>
        </w:trPr>
        <w:tc>
          <w:tcPr>
            <w:tcW w:w="27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p>
        </w:tc>
        <w:tc>
          <w:tcPr>
            <w:tcW w:w="960" w:type="dxa"/>
            <w:tcBorders>
              <w:top w:val="single" w:sz="4" w:space="0" w:color="auto"/>
              <w:left w:val="single" w:sz="4" w:space="0" w:color="auto"/>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b/>
                <w:bCs/>
              </w:rPr>
            </w:pPr>
            <w:r w:rsidRPr="00D6611B">
              <w:rPr>
                <w:rFonts w:ascii="Times New Roman" w:eastAsia="Times New Roman" w:hAnsi="Times New Roman" w:cs="Times New Roman"/>
                <w:b/>
                <w:bCs/>
              </w:rPr>
              <w:t>IRR</w:t>
            </w:r>
          </w:p>
        </w:tc>
        <w:tc>
          <w:tcPr>
            <w:tcW w:w="960" w:type="dxa"/>
            <w:tcBorders>
              <w:top w:val="single" w:sz="4" w:space="0" w:color="auto"/>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b/>
                <w:bCs/>
              </w:rPr>
            </w:pPr>
            <w:r w:rsidRPr="00D6611B">
              <w:rPr>
                <w:rFonts w:ascii="Times New Roman" w:eastAsia="Times New Roman" w:hAnsi="Times New Roman" w:cs="Times New Roman"/>
                <w:b/>
                <w:bCs/>
              </w:rPr>
              <w:t>LCI</w:t>
            </w:r>
          </w:p>
        </w:tc>
        <w:tc>
          <w:tcPr>
            <w:tcW w:w="980" w:type="dxa"/>
            <w:tcBorders>
              <w:top w:val="single" w:sz="4" w:space="0" w:color="auto"/>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b/>
                <w:bCs/>
              </w:rPr>
            </w:pPr>
            <w:r w:rsidRPr="00D6611B">
              <w:rPr>
                <w:rFonts w:ascii="Times New Roman" w:eastAsia="Times New Roman" w:hAnsi="Times New Roman" w:cs="Times New Roman"/>
                <w:b/>
                <w:bCs/>
              </w:rPr>
              <w:t>UCI</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b/>
                <w:bCs/>
              </w:rPr>
            </w:pPr>
            <w:r w:rsidRPr="00D6611B">
              <w:rPr>
                <w:rFonts w:ascii="Times New Roman" w:eastAsia="Times New Roman" w:hAnsi="Times New Roman" w:cs="Times New Roman"/>
                <w:b/>
                <w:bCs/>
              </w:rPr>
              <w:t>p</w:t>
            </w:r>
          </w:p>
        </w:tc>
      </w:tr>
      <w:tr w:rsidR="00AC25B9" w:rsidRPr="00D6611B" w:rsidTr="00804B72">
        <w:trPr>
          <w:trHeight w:val="290"/>
        </w:trPr>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Sex</w:t>
            </w:r>
          </w:p>
        </w:tc>
        <w:tc>
          <w:tcPr>
            <w:tcW w:w="960" w:type="dxa"/>
            <w:tcBorders>
              <w:top w:val="single" w:sz="4" w:space="0" w:color="auto"/>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Male</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Female</w:t>
            </w:r>
          </w:p>
        </w:tc>
        <w:tc>
          <w:tcPr>
            <w:tcW w:w="960" w:type="dxa"/>
            <w:tcBorders>
              <w:top w:val="nil"/>
              <w:left w:val="single" w:sz="4" w:space="0" w:color="auto"/>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1.13</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1.03</w:t>
            </w:r>
          </w:p>
        </w:tc>
        <w:tc>
          <w:tcPr>
            <w:tcW w:w="98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1.24</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0.01</w:t>
            </w:r>
          </w:p>
        </w:tc>
      </w:tr>
      <w:tr w:rsidR="00AC25B9" w:rsidRPr="00D6611B" w:rsidTr="00804B72">
        <w:trPr>
          <w:trHeight w:val="290"/>
        </w:trPr>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Age</w:t>
            </w:r>
          </w:p>
        </w:tc>
        <w:tc>
          <w:tcPr>
            <w:tcW w:w="960" w:type="dxa"/>
            <w:tcBorders>
              <w:top w:val="single" w:sz="4" w:space="0" w:color="auto"/>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18-24</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0.81</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0.59</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1.11</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0.19</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25-34</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1.10</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0.88</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1.36</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0.41</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35-44</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0.93</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1.21</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0.41</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45-54</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0.95</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0.86</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1.06</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0.39</w:t>
            </w:r>
          </w:p>
        </w:tc>
      </w:tr>
      <w:tr w:rsidR="00AC25B9" w:rsidRPr="00D6611B" w:rsidTr="00804B72">
        <w:trPr>
          <w:trHeight w:val="29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55-64</w:t>
            </w:r>
          </w:p>
        </w:tc>
        <w:tc>
          <w:tcPr>
            <w:tcW w:w="960" w:type="dxa"/>
            <w:tcBorders>
              <w:top w:val="nil"/>
              <w:left w:val="single" w:sz="4" w:space="0" w:color="auto"/>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Age Started Smoking Daily</w:t>
            </w:r>
          </w:p>
        </w:tc>
        <w:tc>
          <w:tcPr>
            <w:tcW w:w="960" w:type="dxa"/>
            <w:tcBorders>
              <w:top w:val="single" w:sz="4" w:space="0" w:color="auto"/>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Never</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&lt;15</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1.02</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1.31</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0.02</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15-17</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1.15</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1.01</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1.30</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0.03</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18-24</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0.92</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1.22</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0.42</w:t>
            </w:r>
          </w:p>
        </w:tc>
      </w:tr>
      <w:tr w:rsidR="00AC25B9" w:rsidRPr="00D6611B" w:rsidTr="00804B72">
        <w:trPr>
          <w:trHeight w:val="29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&gt;24</w:t>
            </w:r>
          </w:p>
        </w:tc>
        <w:tc>
          <w:tcPr>
            <w:tcW w:w="960" w:type="dxa"/>
            <w:tcBorders>
              <w:top w:val="nil"/>
              <w:left w:val="single" w:sz="4" w:space="0" w:color="auto"/>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1.08</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0.81</w:t>
            </w:r>
          </w:p>
        </w:tc>
        <w:tc>
          <w:tcPr>
            <w:tcW w:w="98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1.44</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0.60</w:t>
            </w:r>
          </w:p>
        </w:tc>
      </w:tr>
      <w:tr w:rsidR="00AC25B9" w:rsidRPr="00D6611B" w:rsidTr="00804B72">
        <w:trPr>
          <w:trHeight w:val="290"/>
        </w:trPr>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Number of ICD-10 Categories</w:t>
            </w:r>
          </w:p>
        </w:tc>
        <w:tc>
          <w:tcPr>
            <w:tcW w:w="960" w:type="dxa"/>
            <w:tcBorders>
              <w:top w:val="single" w:sz="4" w:space="0" w:color="auto"/>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0-4</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5-9</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1.29</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1.12</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1.47</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&lt;0.001</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10-14</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1.35</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1.16</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1.56</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&lt;0.001</w:t>
            </w:r>
          </w:p>
        </w:tc>
      </w:tr>
      <w:tr w:rsidR="00AC25B9" w:rsidRPr="00D6611B" w:rsidTr="00804B72">
        <w:trPr>
          <w:trHeight w:val="29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15+</w:t>
            </w:r>
          </w:p>
        </w:tc>
        <w:tc>
          <w:tcPr>
            <w:tcW w:w="960" w:type="dxa"/>
            <w:tcBorders>
              <w:top w:val="nil"/>
              <w:left w:val="single" w:sz="4" w:space="0" w:color="auto"/>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1.48</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1.26</w:t>
            </w:r>
          </w:p>
        </w:tc>
        <w:tc>
          <w:tcPr>
            <w:tcW w:w="98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1.75</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&lt;0.001</w:t>
            </w:r>
          </w:p>
        </w:tc>
      </w:tr>
      <w:tr w:rsidR="00AC25B9" w:rsidRPr="00D6611B" w:rsidTr="00804B72">
        <w:trPr>
          <w:trHeight w:val="290"/>
        </w:trPr>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Pain in Past 4 Weeks</w:t>
            </w:r>
          </w:p>
        </w:tc>
        <w:tc>
          <w:tcPr>
            <w:tcW w:w="960" w:type="dxa"/>
            <w:tcBorders>
              <w:top w:val="single" w:sz="4" w:space="0" w:color="auto"/>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None</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Mild/Very Mild</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0.97</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1.35</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0.11</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Moderate</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1.15</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0.98</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1.35</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0.09</w:t>
            </w:r>
          </w:p>
        </w:tc>
      </w:tr>
      <w:tr w:rsidR="00AC25B9" w:rsidRPr="00D6611B" w:rsidTr="00804B72">
        <w:trPr>
          <w:trHeight w:val="29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Severe/Very Severe</w:t>
            </w:r>
          </w:p>
        </w:tc>
        <w:tc>
          <w:tcPr>
            <w:tcW w:w="960" w:type="dxa"/>
            <w:tcBorders>
              <w:top w:val="nil"/>
              <w:left w:val="single" w:sz="4" w:space="0" w:color="auto"/>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1.28</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1.09</w:t>
            </w:r>
          </w:p>
        </w:tc>
        <w:tc>
          <w:tcPr>
            <w:tcW w:w="98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1.50</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0.003</w:t>
            </w:r>
          </w:p>
        </w:tc>
      </w:tr>
      <w:tr w:rsidR="00AC25B9" w:rsidRPr="00D6611B" w:rsidTr="00804B72">
        <w:trPr>
          <w:trHeight w:val="290"/>
        </w:trPr>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Highest Level of Education</w:t>
            </w:r>
          </w:p>
        </w:tc>
        <w:tc>
          <w:tcPr>
            <w:tcW w:w="960" w:type="dxa"/>
            <w:tcBorders>
              <w:top w:val="single" w:sz="4" w:space="0" w:color="auto"/>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Less than Year 12</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Year 12</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0.83</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1.11</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0.60</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Cert III/IV or Diploma</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0.96</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1.18</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0.26</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Bachelor Degree</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1.05</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0.87</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1.27</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0.62</w:t>
            </w:r>
          </w:p>
        </w:tc>
      </w:tr>
      <w:tr w:rsidR="00AC25B9" w:rsidRPr="00D6611B" w:rsidTr="00804B72">
        <w:trPr>
          <w:trHeight w:val="29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Postgraduate Studies</w:t>
            </w:r>
          </w:p>
        </w:tc>
        <w:tc>
          <w:tcPr>
            <w:tcW w:w="960" w:type="dxa"/>
            <w:tcBorders>
              <w:top w:val="nil"/>
              <w:left w:val="single" w:sz="4" w:space="0" w:color="auto"/>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0.58</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0.37</w:t>
            </w:r>
          </w:p>
        </w:tc>
        <w:tc>
          <w:tcPr>
            <w:tcW w:w="98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0.91</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0.02</w:t>
            </w:r>
          </w:p>
        </w:tc>
      </w:tr>
      <w:tr w:rsidR="00AC25B9" w:rsidRPr="00D6611B" w:rsidTr="00804B72">
        <w:trPr>
          <w:trHeight w:val="290"/>
        </w:trPr>
        <w:tc>
          <w:tcPr>
            <w:tcW w:w="274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Self-Assessed Health</w:t>
            </w:r>
          </w:p>
        </w:tc>
        <w:tc>
          <w:tcPr>
            <w:tcW w:w="960" w:type="dxa"/>
            <w:tcBorders>
              <w:top w:val="single" w:sz="4" w:space="0" w:color="auto"/>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Excellent</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0.72</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0.52</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1.00</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0.05</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Very Good</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0.76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0.62</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0.93</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0.01</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Good</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0.74</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0.96</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0.01</w:t>
            </w:r>
          </w:p>
        </w:tc>
      </w:tr>
      <w:tr w:rsidR="00AC25B9" w:rsidRPr="00D6611B" w:rsidTr="00804B72">
        <w:trPr>
          <w:trHeight w:val="290"/>
        </w:trPr>
        <w:tc>
          <w:tcPr>
            <w:tcW w:w="274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Fair</w:t>
            </w:r>
          </w:p>
        </w:tc>
        <w:tc>
          <w:tcPr>
            <w:tcW w:w="960" w:type="dxa"/>
            <w:tcBorders>
              <w:top w:val="nil"/>
              <w:left w:val="single" w:sz="4" w:space="0" w:color="auto"/>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0.89</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0.80</w:t>
            </w:r>
          </w:p>
        </w:tc>
        <w:tc>
          <w:tcPr>
            <w:tcW w:w="98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1.00</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0.05</w:t>
            </w:r>
          </w:p>
        </w:tc>
      </w:tr>
      <w:tr w:rsidR="00AC25B9" w:rsidRPr="00D6611B" w:rsidTr="00804B72">
        <w:trPr>
          <w:trHeight w:val="290"/>
        </w:trPr>
        <w:tc>
          <w:tcPr>
            <w:tcW w:w="274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Poor</w:t>
            </w:r>
          </w:p>
        </w:tc>
        <w:tc>
          <w:tcPr>
            <w:tcW w:w="960" w:type="dxa"/>
            <w:tcBorders>
              <w:top w:val="nil"/>
              <w:left w:val="single" w:sz="4" w:space="0" w:color="auto"/>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8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bl>
    <w:p w:rsidR="00AC25B9" w:rsidRPr="00D6611B" w:rsidRDefault="00AC25B9" w:rsidP="00AC25B9">
      <w:pPr>
        <w:rPr>
          <w:rFonts w:ascii="Times New Roman" w:hAnsi="Times New Roman" w:cs="Times New Roman"/>
        </w:rPr>
      </w:pPr>
      <w:r>
        <w:rPr>
          <w:rFonts w:ascii="Times New Roman" w:hAnsi="Times New Roman" w:cs="Times New Roman"/>
        </w:rPr>
        <w:t>Note: IRR = Incidence Rate Ratio; LCI = Lower Confidence Interval; UCI = Upper Confidence Interval; p = results of significance testing; Ref = reference category; ICD-10 = International Classification of Diseases version 10.</w:t>
      </w:r>
    </w:p>
    <w:p w:rsidR="00AC25B9" w:rsidRPr="00D6611B" w:rsidRDefault="00AC25B9" w:rsidP="00AC25B9">
      <w:pPr>
        <w:rPr>
          <w:rFonts w:ascii="Times New Roman" w:hAnsi="Times New Roman" w:cs="Times New Roman"/>
        </w:rPr>
      </w:pPr>
      <w:r>
        <w:rPr>
          <w:rFonts w:ascii="Times New Roman" w:hAnsi="Times New Roman" w:cs="Times New Roman"/>
          <w:b/>
          <w:bCs/>
        </w:rPr>
        <w:lastRenderedPageBreak/>
        <w:t xml:space="preserve">Supplementary </w:t>
      </w:r>
      <w:r w:rsidRPr="00D6611B">
        <w:rPr>
          <w:rFonts w:ascii="Times New Roman" w:hAnsi="Times New Roman" w:cs="Times New Roman"/>
          <w:b/>
          <w:bCs/>
        </w:rPr>
        <w:t xml:space="preserve">Table </w:t>
      </w:r>
      <w:r w:rsidR="002A51B5">
        <w:rPr>
          <w:rFonts w:ascii="Times New Roman" w:hAnsi="Times New Roman" w:cs="Times New Roman"/>
          <w:b/>
          <w:bCs/>
        </w:rPr>
        <w:t>2</w:t>
      </w:r>
      <w:bookmarkStart w:id="0" w:name="_GoBack"/>
      <w:bookmarkEnd w:id="0"/>
      <w:r w:rsidRPr="00D6611B">
        <w:rPr>
          <w:rFonts w:ascii="Times New Roman" w:hAnsi="Times New Roman" w:cs="Times New Roman"/>
          <w:b/>
          <w:bCs/>
        </w:rPr>
        <w:t>.</w:t>
      </w:r>
      <w:r w:rsidRPr="00D6611B">
        <w:rPr>
          <w:rFonts w:ascii="Times New Roman" w:hAnsi="Times New Roman" w:cs="Times New Roman"/>
        </w:rPr>
        <w:t xml:space="preserve"> </w:t>
      </w:r>
      <w:r>
        <w:rPr>
          <w:rFonts w:ascii="Times New Roman" w:hAnsi="Times New Roman" w:cs="Times New Roman"/>
        </w:rPr>
        <w:t>Results of negative binomial regression model testing factors associated with the frequency of hospital admission in the past 12 months among disability benefit recipients</w:t>
      </w:r>
    </w:p>
    <w:tbl>
      <w:tblPr>
        <w:tblW w:w="6740" w:type="dxa"/>
        <w:tblLook w:val="04A0" w:firstRow="1" w:lastRow="0" w:firstColumn="1" w:lastColumn="0" w:noHBand="0" w:noVBand="1"/>
      </w:tblPr>
      <w:tblGrid>
        <w:gridCol w:w="2900"/>
        <w:gridCol w:w="960"/>
        <w:gridCol w:w="960"/>
        <w:gridCol w:w="960"/>
        <w:gridCol w:w="960"/>
      </w:tblGrid>
      <w:tr w:rsidR="00AC25B9" w:rsidRPr="00D6611B" w:rsidTr="00804B72">
        <w:trPr>
          <w:trHeight w:val="290"/>
        </w:trPr>
        <w:tc>
          <w:tcPr>
            <w:tcW w:w="2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p>
        </w:tc>
        <w:tc>
          <w:tcPr>
            <w:tcW w:w="960" w:type="dxa"/>
            <w:tcBorders>
              <w:top w:val="single" w:sz="4" w:space="0" w:color="auto"/>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b/>
                <w:bCs/>
              </w:rPr>
            </w:pPr>
            <w:r w:rsidRPr="00D6611B">
              <w:rPr>
                <w:rFonts w:ascii="Times New Roman" w:eastAsia="Times New Roman" w:hAnsi="Times New Roman" w:cs="Times New Roman"/>
                <w:b/>
                <w:bCs/>
              </w:rPr>
              <w:t>IRR</w:t>
            </w:r>
          </w:p>
        </w:tc>
        <w:tc>
          <w:tcPr>
            <w:tcW w:w="960" w:type="dxa"/>
            <w:tcBorders>
              <w:top w:val="single" w:sz="4" w:space="0" w:color="auto"/>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b/>
                <w:bCs/>
              </w:rPr>
            </w:pPr>
            <w:r w:rsidRPr="00D6611B">
              <w:rPr>
                <w:rFonts w:ascii="Times New Roman" w:eastAsia="Times New Roman" w:hAnsi="Times New Roman" w:cs="Times New Roman"/>
                <w:b/>
                <w:bCs/>
              </w:rPr>
              <w:t>LCI</w:t>
            </w:r>
          </w:p>
        </w:tc>
        <w:tc>
          <w:tcPr>
            <w:tcW w:w="960" w:type="dxa"/>
            <w:tcBorders>
              <w:top w:val="single" w:sz="4" w:space="0" w:color="auto"/>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b/>
                <w:bCs/>
              </w:rPr>
            </w:pPr>
            <w:r w:rsidRPr="00D6611B">
              <w:rPr>
                <w:rFonts w:ascii="Times New Roman" w:eastAsia="Times New Roman" w:hAnsi="Times New Roman" w:cs="Times New Roman"/>
                <w:b/>
                <w:bCs/>
              </w:rPr>
              <w:t>UCI</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b/>
                <w:bCs/>
              </w:rPr>
            </w:pPr>
            <w:r w:rsidRPr="00D6611B">
              <w:rPr>
                <w:rFonts w:ascii="Times New Roman" w:eastAsia="Times New Roman" w:hAnsi="Times New Roman" w:cs="Times New Roman"/>
                <w:b/>
                <w:bCs/>
              </w:rPr>
              <w:t>p</w:t>
            </w:r>
          </w:p>
        </w:tc>
      </w:tr>
      <w:tr w:rsidR="00AC25B9" w:rsidRPr="00D6611B" w:rsidTr="00804B72">
        <w:trPr>
          <w:trHeight w:val="290"/>
        </w:trPr>
        <w:tc>
          <w:tcPr>
            <w:tcW w:w="290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Sex</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Male</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Female</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1.10</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0.75</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1.62</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0.62</w:t>
            </w:r>
          </w:p>
        </w:tc>
      </w:tr>
      <w:tr w:rsidR="00AC25B9" w:rsidRPr="00D6611B" w:rsidTr="00804B72">
        <w:trPr>
          <w:trHeight w:val="290"/>
        </w:trPr>
        <w:tc>
          <w:tcPr>
            <w:tcW w:w="290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Age</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18-24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4.76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1.80</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12.62</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0.002</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25-34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0.92</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0.34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2.48</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0.87</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35-44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1.68</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2.92</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0.07</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45-54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0.90</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0.59</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1.38</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0.63</w:t>
            </w:r>
          </w:p>
        </w:tc>
      </w:tr>
      <w:tr w:rsidR="00AC25B9" w:rsidRPr="00D6611B" w:rsidTr="00804B72">
        <w:trPr>
          <w:trHeight w:val="290"/>
        </w:trPr>
        <w:tc>
          <w:tcPr>
            <w:tcW w:w="290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55-64</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Self-Perceived Body Mass</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Acceptable</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Underweight</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3.79</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1.91</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7.54</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&lt;0.001</w:t>
            </w:r>
          </w:p>
        </w:tc>
      </w:tr>
      <w:tr w:rsidR="00AC25B9" w:rsidRPr="00D6611B" w:rsidTr="00804B72">
        <w:trPr>
          <w:trHeight w:val="290"/>
        </w:trPr>
        <w:tc>
          <w:tcPr>
            <w:tcW w:w="290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Overweight</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1.20</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0.79</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1.83</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0.40</w:t>
            </w:r>
          </w:p>
        </w:tc>
      </w:tr>
      <w:tr w:rsidR="00AC25B9" w:rsidRPr="00D6611B" w:rsidTr="00804B72">
        <w:trPr>
          <w:trHeight w:val="290"/>
        </w:trPr>
        <w:tc>
          <w:tcPr>
            <w:tcW w:w="290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Hypertension</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No</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Yes</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1.72</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1.14</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2.58</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0.01</w:t>
            </w:r>
          </w:p>
        </w:tc>
      </w:tr>
      <w:tr w:rsidR="00AC25B9" w:rsidRPr="00D6611B" w:rsidTr="00804B72">
        <w:trPr>
          <w:trHeight w:val="290"/>
        </w:trPr>
        <w:tc>
          <w:tcPr>
            <w:tcW w:w="290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Number of ICD-10 Conditions</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0-4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5-9</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1.74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0.96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3.18</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0.07</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10-14</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2.26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1.20</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4.26</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0.01</w:t>
            </w:r>
          </w:p>
        </w:tc>
      </w:tr>
      <w:tr w:rsidR="00AC25B9" w:rsidRPr="00D6611B" w:rsidTr="00804B72">
        <w:trPr>
          <w:trHeight w:val="290"/>
        </w:trPr>
        <w:tc>
          <w:tcPr>
            <w:tcW w:w="290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15+</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4.05</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2.07</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7.95</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&lt;0.001</w:t>
            </w:r>
          </w:p>
        </w:tc>
      </w:tr>
      <w:tr w:rsidR="00AC25B9" w:rsidRPr="00D6611B" w:rsidTr="00804B72">
        <w:trPr>
          <w:trHeight w:val="290"/>
        </w:trPr>
        <w:tc>
          <w:tcPr>
            <w:tcW w:w="2900" w:type="dxa"/>
            <w:tcBorders>
              <w:top w:val="single" w:sz="4" w:space="0" w:color="auto"/>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b/>
                <w:bCs/>
              </w:rPr>
            </w:pPr>
            <w:r w:rsidRPr="00D6611B">
              <w:rPr>
                <w:rFonts w:ascii="Times New Roman" w:eastAsia="Times New Roman" w:hAnsi="Times New Roman" w:cs="Times New Roman"/>
                <w:b/>
                <w:bCs/>
              </w:rPr>
              <w:t>Self-Assessed Health</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single" w:sz="4" w:space="0" w:color="auto"/>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Excellent</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0.16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0.03</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0.74</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0.02</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Very Good</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0.36</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0.17</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0.80</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0.01</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Good</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0.31</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0.19</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0.51</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&lt;0.001</w:t>
            </w:r>
          </w:p>
        </w:tc>
      </w:tr>
      <w:tr w:rsidR="00AC25B9" w:rsidRPr="00D6611B" w:rsidTr="00804B72">
        <w:trPr>
          <w:trHeight w:val="290"/>
        </w:trPr>
        <w:tc>
          <w:tcPr>
            <w:tcW w:w="2900" w:type="dxa"/>
            <w:tcBorders>
              <w:top w:val="nil"/>
              <w:left w:val="single" w:sz="4" w:space="0" w:color="auto"/>
              <w:bottom w:val="nil"/>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Fair</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0.49</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0.32</w:t>
            </w:r>
          </w:p>
        </w:tc>
        <w:tc>
          <w:tcPr>
            <w:tcW w:w="960" w:type="dxa"/>
            <w:tcBorders>
              <w:top w:val="nil"/>
              <w:left w:val="nil"/>
              <w:bottom w:val="nil"/>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0.74</w:t>
            </w:r>
          </w:p>
        </w:tc>
        <w:tc>
          <w:tcPr>
            <w:tcW w:w="960" w:type="dxa"/>
            <w:tcBorders>
              <w:top w:val="nil"/>
              <w:left w:val="nil"/>
              <w:bottom w:val="nil"/>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0.001</w:t>
            </w:r>
          </w:p>
        </w:tc>
      </w:tr>
      <w:tr w:rsidR="00AC25B9" w:rsidRPr="00D6611B" w:rsidTr="00804B72">
        <w:trPr>
          <w:trHeight w:val="290"/>
        </w:trPr>
        <w:tc>
          <w:tcPr>
            <w:tcW w:w="2900" w:type="dxa"/>
            <w:tcBorders>
              <w:top w:val="nil"/>
              <w:left w:val="single" w:sz="4" w:space="0" w:color="auto"/>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rPr>
                <w:rFonts w:ascii="Times New Roman" w:eastAsia="Times New Roman" w:hAnsi="Times New Roman" w:cs="Times New Roman"/>
              </w:rPr>
            </w:pPr>
            <w:r w:rsidRPr="00D6611B">
              <w:rPr>
                <w:rFonts w:ascii="Times New Roman" w:eastAsia="Times New Roman" w:hAnsi="Times New Roman" w:cs="Times New Roman"/>
              </w:rPr>
              <w:t>Poor</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Ref</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single" w:sz="4" w:space="0" w:color="auto"/>
              <w:right w:val="nil"/>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c>
          <w:tcPr>
            <w:tcW w:w="960" w:type="dxa"/>
            <w:tcBorders>
              <w:top w:val="nil"/>
              <w:left w:val="nil"/>
              <w:bottom w:val="single" w:sz="4" w:space="0" w:color="auto"/>
              <w:right w:val="single" w:sz="4" w:space="0" w:color="auto"/>
            </w:tcBorders>
            <w:shd w:val="clear" w:color="auto" w:fill="auto"/>
            <w:noWrap/>
            <w:vAlign w:val="bottom"/>
            <w:hideMark/>
          </w:tcPr>
          <w:p w:rsidR="00AC25B9" w:rsidRPr="00D6611B" w:rsidRDefault="00AC25B9" w:rsidP="00804B72">
            <w:pPr>
              <w:spacing w:after="0" w:line="240" w:lineRule="auto"/>
              <w:jc w:val="right"/>
              <w:rPr>
                <w:rFonts w:ascii="Times New Roman" w:eastAsia="Times New Roman" w:hAnsi="Times New Roman" w:cs="Times New Roman"/>
              </w:rPr>
            </w:pPr>
            <w:r w:rsidRPr="00D6611B">
              <w:rPr>
                <w:rFonts w:ascii="Times New Roman" w:eastAsia="Times New Roman" w:hAnsi="Times New Roman" w:cs="Times New Roman"/>
              </w:rPr>
              <w:t> </w:t>
            </w:r>
          </w:p>
        </w:tc>
      </w:tr>
    </w:tbl>
    <w:p w:rsidR="00AC25B9" w:rsidRPr="00D6611B" w:rsidRDefault="00AC25B9" w:rsidP="008A23A6">
      <w:pPr>
        <w:rPr>
          <w:rFonts w:ascii="Times New Roman" w:hAnsi="Times New Roman" w:cs="Times New Roman"/>
        </w:rPr>
        <w:sectPr w:rsidR="00AC25B9" w:rsidRPr="00D6611B" w:rsidSect="008A23A6">
          <w:pgSz w:w="11906" w:h="16838"/>
          <w:pgMar w:top="1440" w:right="1440" w:bottom="1440" w:left="1440" w:header="709" w:footer="709" w:gutter="0"/>
          <w:cols w:space="708"/>
          <w:docGrid w:linePitch="360"/>
        </w:sectPr>
      </w:pPr>
      <w:r>
        <w:rPr>
          <w:rFonts w:ascii="Times New Roman" w:hAnsi="Times New Roman" w:cs="Times New Roman"/>
        </w:rPr>
        <w:t>Note: IRR = Incidence Rate Ratio; LCI = Lower Confidence Interval; UCI = Upper Confidence Interval; p = results of significance testing; Ref = reference category; ICD-10 = International Classification of Diseases version 10.</w:t>
      </w:r>
    </w:p>
    <w:p w:rsidR="008A23A6" w:rsidRPr="00D6611B" w:rsidRDefault="008A23A6" w:rsidP="008A23A6">
      <w:pPr>
        <w:rPr>
          <w:rFonts w:ascii="Times New Roman" w:hAnsi="Times New Roman" w:cs="Times New Roman"/>
        </w:rPr>
      </w:pPr>
      <w:r w:rsidRPr="00D6611B">
        <w:rPr>
          <w:rFonts w:ascii="Times New Roman" w:hAnsi="Times New Roman" w:cs="Times New Roman"/>
          <w:noProof/>
        </w:rPr>
        <w:lastRenderedPageBreak/>
        <w:drawing>
          <wp:inline distT="0" distB="0" distL="0" distR="0" wp14:anchorId="7C70E5B4" wp14:editId="12292580">
            <wp:extent cx="6828545" cy="4969318"/>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DSP ATC Medication Categories RRs.png"/>
                    <pic:cNvPicPr/>
                  </pic:nvPicPr>
                  <pic:blipFill>
                    <a:blip r:embed="rId5">
                      <a:extLst>
                        <a:ext uri="{28A0092B-C50C-407E-A947-70E740481C1C}">
                          <a14:useLocalDpi xmlns:a14="http://schemas.microsoft.com/office/drawing/2010/main" val="0"/>
                        </a:ext>
                      </a:extLst>
                    </a:blip>
                    <a:stretch>
                      <a:fillRect/>
                    </a:stretch>
                  </pic:blipFill>
                  <pic:spPr>
                    <a:xfrm>
                      <a:off x="0" y="0"/>
                      <a:ext cx="6853643" cy="4987583"/>
                    </a:xfrm>
                    <a:prstGeom prst="rect">
                      <a:avLst/>
                    </a:prstGeom>
                  </pic:spPr>
                </pic:pic>
              </a:graphicData>
            </a:graphic>
          </wp:inline>
        </w:drawing>
      </w:r>
    </w:p>
    <w:p w:rsidR="008A23A6" w:rsidRPr="008C666F" w:rsidRDefault="008A23A6" w:rsidP="008A23A6">
      <w:pPr>
        <w:spacing w:line="480" w:lineRule="auto"/>
        <w:rPr>
          <w:rFonts w:ascii="Times New Roman" w:hAnsi="Times New Roman" w:cs="Times New Roman"/>
          <w:b/>
        </w:rPr>
      </w:pPr>
      <w:r w:rsidRPr="00D6611B">
        <w:rPr>
          <w:rFonts w:ascii="Times New Roman" w:hAnsi="Times New Roman" w:cs="Times New Roman"/>
          <w:b/>
        </w:rPr>
        <w:t xml:space="preserve">Supplementary Figure 1. </w:t>
      </w:r>
      <w:r w:rsidRPr="008C666F">
        <w:rPr>
          <w:rFonts w:ascii="Times New Roman" w:hAnsi="Times New Roman" w:cs="Times New Roman"/>
        </w:rPr>
        <w:t>Age and sex adjusted risk ratios for having used a medication from an Anatomical Therapeutic Chemical Classification System category at least once in the past 2 weeks for DSP recipients compared to the working population.</w:t>
      </w:r>
    </w:p>
    <w:p w:rsidR="008A23A6" w:rsidRPr="00D6611B" w:rsidRDefault="008A23A6" w:rsidP="008A23A6">
      <w:pPr>
        <w:rPr>
          <w:rFonts w:ascii="Times New Roman" w:hAnsi="Times New Roman" w:cs="Times New Roman"/>
        </w:rPr>
      </w:pPr>
      <w:r w:rsidRPr="00D6611B">
        <w:rPr>
          <w:rFonts w:ascii="Times New Roman" w:hAnsi="Times New Roman" w:cs="Times New Roman"/>
          <w:noProof/>
        </w:rPr>
        <w:lastRenderedPageBreak/>
        <w:drawing>
          <wp:inline distT="0" distB="0" distL="0" distR="0" wp14:anchorId="4F9063C2" wp14:editId="714FF585">
            <wp:extent cx="6985000" cy="5083174"/>
            <wp:effectExtent l="0" t="0" r="635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NSA ATC Medication Categories RRs.png"/>
                    <pic:cNvPicPr/>
                  </pic:nvPicPr>
                  <pic:blipFill>
                    <a:blip r:embed="rId6">
                      <a:extLst>
                        <a:ext uri="{28A0092B-C50C-407E-A947-70E740481C1C}">
                          <a14:useLocalDpi xmlns:a14="http://schemas.microsoft.com/office/drawing/2010/main" val="0"/>
                        </a:ext>
                      </a:extLst>
                    </a:blip>
                    <a:stretch>
                      <a:fillRect/>
                    </a:stretch>
                  </pic:blipFill>
                  <pic:spPr>
                    <a:xfrm>
                      <a:off x="0" y="0"/>
                      <a:ext cx="7022647" cy="5110570"/>
                    </a:xfrm>
                    <a:prstGeom prst="rect">
                      <a:avLst/>
                    </a:prstGeom>
                  </pic:spPr>
                </pic:pic>
              </a:graphicData>
            </a:graphic>
          </wp:inline>
        </w:drawing>
      </w:r>
    </w:p>
    <w:p w:rsidR="008A23A6" w:rsidRDefault="008A23A6" w:rsidP="008A23A6">
      <w:pPr>
        <w:spacing w:line="480" w:lineRule="auto"/>
        <w:rPr>
          <w:rFonts w:ascii="Times New Roman" w:hAnsi="Times New Roman" w:cs="Times New Roman"/>
        </w:rPr>
      </w:pPr>
      <w:r w:rsidRPr="00D6611B">
        <w:rPr>
          <w:rFonts w:ascii="Times New Roman" w:hAnsi="Times New Roman" w:cs="Times New Roman"/>
          <w:b/>
        </w:rPr>
        <w:t xml:space="preserve">Supplementary Figure 2. </w:t>
      </w:r>
      <w:r w:rsidRPr="00D6611B">
        <w:rPr>
          <w:rFonts w:ascii="Times New Roman" w:hAnsi="Times New Roman" w:cs="Times New Roman"/>
        </w:rPr>
        <w:t>Age and sex adjusted risk ratios for having used a medication from an Anatomical Therapeutic Chemical Classification System category at least once in the past 2 weeks for NSA recipients compared to the working population.</w:t>
      </w:r>
    </w:p>
    <w:p w:rsidR="00804B72" w:rsidRDefault="00804B72"/>
    <w:sectPr w:rsidR="00804B72" w:rsidSect="008A23A6">
      <w:pgSz w:w="16838" w:h="11906"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775C7E"/>
    <w:multiLevelType w:val="multilevel"/>
    <w:tmpl w:val="20A854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C4697F"/>
    <w:multiLevelType w:val="multilevel"/>
    <w:tmpl w:val="E904D5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3A6"/>
    <w:rsid w:val="001D0A3B"/>
    <w:rsid w:val="002A51B5"/>
    <w:rsid w:val="00804B72"/>
    <w:rsid w:val="00826DCA"/>
    <w:rsid w:val="008A23A6"/>
    <w:rsid w:val="00A759B6"/>
    <w:rsid w:val="00AC25B9"/>
    <w:rsid w:val="00E605F9"/>
    <w:rsid w:val="00EE04F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6CE93"/>
  <w15:chartTrackingRefBased/>
  <w15:docId w15:val="{CAFBA543-76B7-4A75-BB20-5213F7972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A23A6"/>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805</Words>
  <Characters>4592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Monash University</Company>
  <LinksUpToDate>false</LinksUpToDate>
  <CharactersWithSpaces>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Collie</dc:creator>
  <cp:keywords/>
  <dc:description/>
  <cp:lastModifiedBy>Alex Collie</cp:lastModifiedBy>
  <cp:revision>2</cp:revision>
  <dcterms:created xsi:type="dcterms:W3CDTF">2020-09-08T04:56:00Z</dcterms:created>
  <dcterms:modified xsi:type="dcterms:W3CDTF">2020-09-08T04:56:00Z</dcterms:modified>
</cp:coreProperties>
</file>