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12B8B" w14:textId="77777777" w:rsidR="00FC2A75" w:rsidRDefault="00FC2A75" w:rsidP="00FC2A75">
      <w:pPr>
        <w:spacing w:line="36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4B0C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Reevaluating the Global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and Temporal </w:t>
      </w:r>
      <w:r w:rsidRPr="004B0C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Distribution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</w:t>
      </w:r>
      <w:r w:rsidRPr="004B0C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of Lightning Superbolts: Insights from ENTLN Data (2018–202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</w:t>
      </w:r>
      <w:r w:rsidRPr="004B0C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)</w:t>
      </w:r>
    </w:p>
    <w:p w14:paraId="12102A6C" w14:textId="77777777" w:rsidR="00FC2A75" w:rsidRDefault="00FC2A75" w:rsidP="00FC2A75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27B55">
        <w:rPr>
          <w:rFonts w:asciiTheme="majorBidi" w:hAnsiTheme="majorBidi" w:cstheme="majorBidi"/>
          <w:color w:val="000000" w:themeColor="text1"/>
          <w:sz w:val="24"/>
          <w:szCs w:val="24"/>
        </w:rPr>
        <w:t>Mustafa Asfur</w:t>
      </w:r>
      <w:r w:rsidRPr="00F03AEA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and </w:t>
      </w:r>
      <w:r w:rsidRPr="00027B55">
        <w:rPr>
          <w:rFonts w:asciiTheme="majorBidi" w:hAnsiTheme="majorBidi" w:cstheme="majorBidi"/>
          <w:color w:val="000000" w:themeColor="text1"/>
          <w:sz w:val="24"/>
          <w:szCs w:val="24"/>
        </w:rPr>
        <w:t>Jacob Silverman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2</w:t>
      </w:r>
    </w:p>
    <w:p w14:paraId="11382A2F" w14:textId="77777777" w:rsidR="00FC2A75" w:rsidRPr="00C25A9C" w:rsidRDefault="00FC2A75" w:rsidP="00FC2A7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Theme="majorBidi" w:hAnsiTheme="majorBidi" w:cstheme="majorBidi"/>
          <w:sz w:val="24"/>
          <w:szCs w:val="24"/>
        </w:rPr>
      </w:pPr>
      <w:r w:rsidRPr="00C25A9C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C25A9C">
        <w:rPr>
          <w:rFonts w:asciiTheme="majorBidi" w:hAnsiTheme="majorBidi" w:cstheme="majorBidi"/>
          <w:sz w:val="24"/>
          <w:szCs w:val="24"/>
        </w:rPr>
        <w:t xml:space="preserve">Faculty of Marine Sciences, </w:t>
      </w:r>
      <w:proofErr w:type="spellStart"/>
      <w:r w:rsidRPr="00C25A9C">
        <w:rPr>
          <w:rFonts w:asciiTheme="majorBidi" w:hAnsiTheme="majorBidi" w:cstheme="majorBidi"/>
          <w:sz w:val="24"/>
          <w:szCs w:val="24"/>
        </w:rPr>
        <w:t>Ruppin</w:t>
      </w:r>
      <w:proofErr w:type="spellEnd"/>
      <w:r w:rsidRPr="00C25A9C">
        <w:rPr>
          <w:rFonts w:asciiTheme="majorBidi" w:hAnsiTheme="majorBidi" w:cstheme="majorBidi"/>
          <w:sz w:val="24"/>
          <w:szCs w:val="24"/>
        </w:rPr>
        <w:t xml:space="preserve"> Academic Center, </w:t>
      </w:r>
      <w:proofErr w:type="spellStart"/>
      <w:r w:rsidRPr="00C25A9C">
        <w:rPr>
          <w:rFonts w:asciiTheme="majorBidi" w:hAnsiTheme="majorBidi" w:cstheme="majorBidi"/>
          <w:sz w:val="24"/>
          <w:szCs w:val="24"/>
        </w:rPr>
        <w:t>Mikhmoret</w:t>
      </w:r>
      <w:proofErr w:type="spellEnd"/>
      <w:r w:rsidRPr="00C25A9C">
        <w:rPr>
          <w:rFonts w:asciiTheme="majorBidi" w:hAnsiTheme="majorBidi" w:cstheme="majorBidi"/>
          <w:sz w:val="24"/>
          <w:szCs w:val="24"/>
        </w:rPr>
        <w:t>, Israel</w:t>
      </w:r>
    </w:p>
    <w:p w14:paraId="32B70259" w14:textId="77777777" w:rsidR="00FC2A75" w:rsidRPr="00C25A9C" w:rsidRDefault="00FC2A75" w:rsidP="00FC2A75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C25A9C">
        <w:rPr>
          <w:rFonts w:asciiTheme="majorBidi" w:hAnsiTheme="majorBidi" w:cstheme="majorBidi"/>
          <w:sz w:val="24"/>
          <w:szCs w:val="24"/>
        </w:rPr>
        <w:t>National Institute of Oceanography (IOLR), Tel Shikmona, Haifa, Israel</w:t>
      </w:r>
    </w:p>
    <w:p w14:paraId="39B0470C" w14:textId="3EC9F446" w:rsidR="002E5FFE" w:rsidRDefault="00FC2A75" w:rsidP="00FC2A75">
      <w:pPr>
        <w:rPr>
          <w:rStyle w:val="Hyperlink"/>
          <w:rFonts w:asciiTheme="majorBidi" w:eastAsia="Calibri" w:hAnsiTheme="majorBidi" w:cstheme="majorBidi"/>
          <w:sz w:val="24"/>
          <w:szCs w:val="24"/>
        </w:rPr>
      </w:pPr>
      <w:r w:rsidRPr="00015418">
        <w:rPr>
          <w:rFonts w:asciiTheme="majorBidi" w:eastAsia="Calibri" w:hAnsiTheme="majorBidi" w:cstheme="majorBidi"/>
          <w:color w:val="000000"/>
          <w:sz w:val="24"/>
          <w:szCs w:val="24"/>
        </w:rPr>
        <w:t>*Corresponding author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hyperlink r:id="rId4" w:history="1">
        <w:r w:rsidRPr="00DD783E">
          <w:rPr>
            <w:rStyle w:val="Hyperlink"/>
            <w:rFonts w:asciiTheme="majorBidi" w:eastAsia="Calibri" w:hAnsiTheme="majorBidi" w:cstheme="majorBidi"/>
            <w:sz w:val="24"/>
            <w:szCs w:val="24"/>
          </w:rPr>
          <w:t>mustafaa@ruppin.ac.il</w:t>
        </w:r>
      </w:hyperlink>
      <w:r w:rsidRPr="00DD783E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, </w:t>
      </w:r>
      <w:hyperlink r:id="rId5" w:history="1">
        <w:r w:rsidRPr="00DD783E">
          <w:rPr>
            <w:rStyle w:val="Hyperlink"/>
            <w:rFonts w:asciiTheme="majorBidi" w:eastAsia="Calibri" w:hAnsiTheme="majorBidi" w:cstheme="majorBidi"/>
            <w:sz w:val="24"/>
            <w:szCs w:val="24"/>
          </w:rPr>
          <w:t>jacobs1@ocean.org.il</w:t>
        </w:r>
      </w:hyperlink>
    </w:p>
    <w:p w14:paraId="26ECF81D" w14:textId="2B58AB11" w:rsidR="00FC2A75" w:rsidRDefault="00FC2A75">
      <w:r>
        <w:t>Supplementary Online Material</w:t>
      </w:r>
    </w:p>
    <w:p w14:paraId="03A77F2D" w14:textId="33B919AA" w:rsidR="00FC2A75" w:rsidRPr="00CD26D8" w:rsidRDefault="00FC2A75">
      <w:pPr>
        <w:rPr>
          <w:rFonts w:asciiTheme="majorBidi" w:hAnsiTheme="majorBidi" w:cstheme="majorBidi"/>
          <w:sz w:val="24"/>
          <w:szCs w:val="24"/>
        </w:rPr>
      </w:pPr>
      <w:r w:rsidRPr="00CD26D8">
        <w:rPr>
          <w:rFonts w:asciiTheme="majorBidi" w:hAnsiTheme="majorBidi" w:cstheme="majorBidi"/>
          <w:sz w:val="24"/>
          <w:szCs w:val="24"/>
        </w:rPr>
        <w:t xml:space="preserve">The figure below displays the comparison between the combined frequencies of Cloud to Ground Lightning strokes </w:t>
      </w:r>
      <w:r w:rsidR="00CD26D8" w:rsidRPr="00CD26D8">
        <w:rPr>
          <w:rFonts w:asciiTheme="majorBidi" w:hAnsiTheme="majorBidi" w:cstheme="majorBidi"/>
          <w:sz w:val="24"/>
          <w:szCs w:val="24"/>
        </w:rPr>
        <w:t xml:space="preserve">with Ips &gt;30, 50, 100, 200 kA, </w:t>
      </w:r>
      <w:r w:rsidRPr="00CD26D8">
        <w:rPr>
          <w:rFonts w:asciiTheme="majorBidi" w:hAnsiTheme="majorBidi" w:cstheme="majorBidi"/>
          <w:sz w:val="24"/>
          <w:szCs w:val="24"/>
        </w:rPr>
        <w:t xml:space="preserve">observed </w:t>
      </w:r>
      <w:r w:rsidR="00CD26D8" w:rsidRPr="00CD26D8">
        <w:rPr>
          <w:rFonts w:asciiTheme="majorBidi" w:hAnsiTheme="majorBidi" w:cstheme="majorBidi"/>
          <w:sz w:val="24"/>
          <w:szCs w:val="24"/>
        </w:rPr>
        <w:t xml:space="preserve">by the ENTLN during the period 2018-2021 over </w:t>
      </w:r>
      <w:r w:rsidRPr="00CD26D8">
        <w:rPr>
          <w:rFonts w:asciiTheme="majorBidi" w:hAnsiTheme="majorBidi" w:cstheme="majorBidi"/>
          <w:sz w:val="24"/>
          <w:szCs w:val="24"/>
        </w:rPr>
        <w:t xml:space="preserve">the continents and oceans to the </w:t>
      </w:r>
      <w:r w:rsidR="00CD26D8" w:rsidRPr="00CD26D8">
        <w:rPr>
          <w:rFonts w:asciiTheme="majorBidi" w:hAnsiTheme="majorBidi" w:cstheme="majorBidi"/>
          <w:sz w:val="24"/>
          <w:szCs w:val="24"/>
        </w:rPr>
        <w:t xml:space="preserve">normalized (0-1) </w:t>
      </w:r>
      <w:r w:rsidRPr="00CD26D8">
        <w:rPr>
          <w:rFonts w:asciiTheme="majorBidi" w:hAnsiTheme="majorBidi" w:cstheme="majorBidi"/>
          <w:sz w:val="24"/>
          <w:szCs w:val="24"/>
        </w:rPr>
        <w:t xml:space="preserve">Fair Weather </w:t>
      </w:r>
      <w:r w:rsidR="00CD26D8" w:rsidRPr="00CD26D8">
        <w:rPr>
          <w:rFonts w:asciiTheme="majorBidi" w:hAnsiTheme="majorBidi" w:cstheme="majorBidi"/>
          <w:sz w:val="24"/>
          <w:szCs w:val="24"/>
        </w:rPr>
        <w:t xml:space="preserve">Atmospheric Electric Field Strength (Carnegie Curve). </w:t>
      </w:r>
      <w:r w:rsidR="00CD26D8">
        <w:rPr>
          <w:rFonts w:asciiTheme="majorBidi" w:hAnsiTheme="majorBidi" w:cstheme="majorBidi"/>
          <w:sz w:val="24"/>
          <w:szCs w:val="24"/>
        </w:rPr>
        <w:t xml:space="preserve">The boxes in the figures display the linear fit equations and correlation coefficient calculated for each Ip threshold. </w:t>
      </w:r>
    </w:p>
    <w:p w14:paraId="57B4EB31" w14:textId="6801D99C" w:rsidR="00FC2A75" w:rsidRPr="00FC2A75" w:rsidRDefault="00CD26D8">
      <w:r>
        <w:rPr>
          <w:noProof/>
        </w:rPr>
        <w:drawing>
          <wp:inline distT="0" distB="0" distL="0" distR="0" wp14:anchorId="6B80A969" wp14:editId="2A0629D1">
            <wp:extent cx="4644000" cy="303480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000" cy="303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C2A75" w:rsidRPr="00FC2A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A75"/>
    <w:rsid w:val="002E5FFE"/>
    <w:rsid w:val="007670DB"/>
    <w:rsid w:val="00CD26D8"/>
    <w:rsid w:val="00FC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23FC9"/>
  <w15:chartTrackingRefBased/>
  <w15:docId w15:val="{C63DDC21-36DC-49B0-A504-7E774E89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A7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2A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jacobs1@ocean.org.il" TargetMode="External"/><Relationship Id="rId4" Type="http://schemas.openxmlformats.org/officeDocument/2006/relationships/hyperlink" Target="mailto:mustafaa@ruppin.ac.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Silverman</dc:creator>
  <cp:keywords/>
  <dc:description/>
  <cp:lastModifiedBy>Jacob Silverman</cp:lastModifiedBy>
  <cp:revision>1</cp:revision>
  <dcterms:created xsi:type="dcterms:W3CDTF">2025-08-19T11:22:00Z</dcterms:created>
  <dcterms:modified xsi:type="dcterms:W3CDTF">2025-08-19T11:37:00Z</dcterms:modified>
</cp:coreProperties>
</file>