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161DD1" w14:textId="2E402357" w:rsidR="00BA0B0B" w:rsidRDefault="004100E6">
      <w:pPr>
        <w:pStyle w:val="Title2"/>
        <w:spacing w:line="360" w:lineRule="auto"/>
        <w:rPr>
          <w:b w:val="0"/>
          <w:i/>
          <w:iCs/>
          <w:sz w:val="32"/>
          <w:szCs w:val="32"/>
        </w:rPr>
      </w:pPr>
      <w:r>
        <w:rPr>
          <w:b w:val="0"/>
          <w:i/>
          <w:iCs/>
          <w:sz w:val="32"/>
          <w:szCs w:val="32"/>
        </w:rPr>
        <w:t>Supporting Information</w:t>
      </w:r>
    </w:p>
    <w:p w14:paraId="2EB707E3" w14:textId="77777777" w:rsidR="00BA0B0B" w:rsidRDefault="00BA0B0B">
      <w:pPr>
        <w:pStyle w:val="Tableofcontents"/>
        <w:spacing w:line="360" w:lineRule="auto"/>
        <w:jc w:val="both"/>
        <w:rPr>
          <w:rFonts w:eastAsiaTheme="minorEastAsia"/>
          <w:lang w:eastAsia="zh-CN"/>
        </w:rPr>
      </w:pPr>
    </w:p>
    <w:p w14:paraId="2AE9BC6C" w14:textId="39668DAA" w:rsidR="00023D7D" w:rsidRDefault="00023D7D">
      <w:pPr>
        <w:pStyle w:val="AuthorsFull"/>
        <w:spacing w:afterLines="100" w:after="240" w:line="360" w:lineRule="auto"/>
        <w:rPr>
          <w:rFonts w:eastAsia="宋体"/>
          <w:b/>
          <w:i w:val="0"/>
          <w:sz w:val="28"/>
          <w:szCs w:val="28"/>
          <w:lang w:eastAsia="en-US"/>
        </w:rPr>
      </w:pPr>
      <w:bookmarkStart w:id="0" w:name="_Hlk204516823"/>
      <w:r w:rsidRPr="00023D7D">
        <w:rPr>
          <w:rFonts w:eastAsia="宋体"/>
          <w:b/>
          <w:i w:val="0"/>
          <w:sz w:val="28"/>
          <w:szCs w:val="28"/>
          <w:lang w:eastAsia="en-US"/>
        </w:rPr>
        <w:t>Biomimetic-Voltage Nitride-</w:t>
      </w:r>
      <w:r w:rsidR="005B5EB2" w:rsidRPr="00023D7D">
        <w:rPr>
          <w:rFonts w:eastAsia="宋体"/>
          <w:b/>
          <w:i w:val="0"/>
          <w:sz w:val="28"/>
          <w:szCs w:val="28"/>
          <w:lang w:eastAsia="en-US"/>
        </w:rPr>
        <w:t>Enhanced Memristor</w:t>
      </w:r>
      <w:r w:rsidRPr="00023D7D">
        <w:rPr>
          <w:rFonts w:eastAsia="宋体"/>
          <w:b/>
          <w:i w:val="0"/>
          <w:sz w:val="28"/>
          <w:szCs w:val="28"/>
          <w:lang w:eastAsia="en-US"/>
        </w:rPr>
        <w:t xml:space="preserve"> Arrays for Femtojoule In-Memory Biosignal Processing </w:t>
      </w:r>
    </w:p>
    <w:bookmarkEnd w:id="0"/>
    <w:p w14:paraId="74C2DE1B" w14:textId="77777777" w:rsidR="005943DB" w:rsidRDefault="005943DB" w:rsidP="005943DB">
      <w:pPr>
        <w:pStyle w:val="AuthorsFull"/>
        <w:spacing w:afterLines="100" w:after="240" w:line="360" w:lineRule="auto"/>
        <w:rPr>
          <w:i w:val="0"/>
        </w:rPr>
      </w:pPr>
      <w:r>
        <w:rPr>
          <w:i w:val="0"/>
        </w:rPr>
        <w:t>Zijian Wang</w:t>
      </w:r>
      <w:r>
        <w:rPr>
          <w:i w:val="0"/>
          <w:vertAlign w:val="superscript"/>
        </w:rPr>
        <w:t>1,</w:t>
      </w:r>
      <w:r>
        <w:rPr>
          <w:rFonts w:eastAsia="等线" w:hint="eastAsia"/>
          <w:i w:val="0"/>
          <w:vertAlign w:val="superscript"/>
          <w:lang w:eastAsia="zh-CN"/>
        </w:rPr>
        <w:t>3</w:t>
      </w:r>
      <w:r>
        <w:rPr>
          <w:i w:val="0"/>
        </w:rPr>
        <w:t xml:space="preserve">, </w:t>
      </w:r>
      <w:proofErr w:type="spellStart"/>
      <w:r>
        <w:rPr>
          <w:i w:val="0"/>
        </w:rPr>
        <w:t>Zhejia</w:t>
      </w:r>
      <w:proofErr w:type="spellEnd"/>
      <w:r>
        <w:rPr>
          <w:i w:val="0"/>
        </w:rPr>
        <w:t xml:space="preserve"> Zhang</w:t>
      </w:r>
      <w:r>
        <w:rPr>
          <w:i w:val="0"/>
          <w:vertAlign w:val="superscript"/>
        </w:rPr>
        <w:t>1,</w:t>
      </w:r>
      <w:r>
        <w:rPr>
          <w:rFonts w:eastAsia="等线" w:hint="eastAsia"/>
          <w:i w:val="0"/>
          <w:vertAlign w:val="superscript"/>
          <w:lang w:eastAsia="zh-CN"/>
        </w:rPr>
        <w:t>3</w:t>
      </w:r>
      <w:r>
        <w:rPr>
          <w:i w:val="0"/>
        </w:rPr>
        <w:t>,</w:t>
      </w:r>
      <w:r>
        <w:rPr>
          <w:rFonts w:hint="eastAsia"/>
          <w:i w:val="0"/>
          <w:lang w:eastAsia="zh-CN"/>
        </w:rPr>
        <w:t xml:space="preserve"> </w:t>
      </w:r>
      <w:proofErr w:type="spellStart"/>
      <w:r>
        <w:rPr>
          <w:i w:val="0"/>
        </w:rPr>
        <w:t>Guobin</w:t>
      </w:r>
      <w:proofErr w:type="spellEnd"/>
      <w:r>
        <w:rPr>
          <w:i w:val="0"/>
        </w:rPr>
        <w:t xml:space="preserve"> Zhang</w:t>
      </w:r>
      <w:r>
        <w:rPr>
          <w:i w:val="0"/>
          <w:vertAlign w:val="superscript"/>
        </w:rPr>
        <w:t>1,</w:t>
      </w:r>
      <w:r>
        <w:rPr>
          <w:rFonts w:eastAsia="等线" w:hint="eastAsia"/>
          <w:i w:val="0"/>
          <w:vertAlign w:val="superscript"/>
          <w:lang w:eastAsia="zh-CN"/>
        </w:rPr>
        <w:t>2,3</w:t>
      </w:r>
      <w:r>
        <w:rPr>
          <w:i w:val="0"/>
        </w:rPr>
        <w:t xml:space="preserve">, </w:t>
      </w:r>
      <w:proofErr w:type="spellStart"/>
      <w:r>
        <w:rPr>
          <w:i w:val="0"/>
        </w:rPr>
        <w:t>Xuemeng</w:t>
      </w:r>
      <w:proofErr w:type="spellEnd"/>
      <w:r>
        <w:rPr>
          <w:i w:val="0"/>
        </w:rPr>
        <w:t xml:space="preserve"> Fan</w:t>
      </w:r>
      <w:r>
        <w:rPr>
          <w:i w:val="0"/>
          <w:vertAlign w:val="superscript"/>
        </w:rPr>
        <w:t>1,</w:t>
      </w:r>
      <w:r>
        <w:rPr>
          <w:rFonts w:eastAsia="等线" w:hint="eastAsia"/>
          <w:i w:val="0"/>
          <w:vertAlign w:val="superscript"/>
          <w:lang w:eastAsia="zh-CN"/>
        </w:rPr>
        <w:t>3</w:t>
      </w:r>
      <w:r>
        <w:rPr>
          <w:i w:val="0"/>
        </w:rPr>
        <w:t xml:space="preserve">, </w:t>
      </w:r>
      <w:proofErr w:type="spellStart"/>
      <w:r>
        <w:rPr>
          <w:i w:val="0"/>
        </w:rPr>
        <w:t>Pengtao</w:t>
      </w:r>
      <w:proofErr w:type="spellEnd"/>
      <w:r>
        <w:rPr>
          <w:i w:val="0"/>
        </w:rPr>
        <w:t xml:space="preserve"> Li</w:t>
      </w:r>
      <w:r>
        <w:rPr>
          <w:i w:val="0"/>
          <w:vertAlign w:val="superscript"/>
        </w:rPr>
        <w:t>1,2</w:t>
      </w:r>
      <w:r>
        <w:rPr>
          <w:rFonts w:eastAsia="等线" w:hint="eastAsia"/>
          <w:i w:val="0"/>
          <w:vertAlign w:val="superscript"/>
          <w:lang w:eastAsia="zh-CN"/>
        </w:rPr>
        <w:t>,3</w:t>
      </w:r>
      <w:r>
        <w:rPr>
          <w:i w:val="0"/>
        </w:rPr>
        <w:t xml:space="preserve">, </w:t>
      </w:r>
      <w:proofErr w:type="spellStart"/>
      <w:r>
        <w:rPr>
          <w:i w:val="0"/>
        </w:rPr>
        <w:t>Baicheng</w:t>
      </w:r>
      <w:proofErr w:type="spellEnd"/>
      <w:r>
        <w:rPr>
          <w:i w:val="0"/>
        </w:rPr>
        <w:t xml:space="preserve"> Zhu</w:t>
      </w:r>
      <w:r>
        <w:rPr>
          <w:i w:val="0"/>
          <w:vertAlign w:val="superscript"/>
        </w:rPr>
        <w:t>1,</w:t>
      </w:r>
      <w:r>
        <w:rPr>
          <w:rFonts w:eastAsia="等线" w:hint="eastAsia"/>
          <w:i w:val="0"/>
          <w:vertAlign w:val="superscript"/>
          <w:lang w:eastAsia="zh-CN"/>
        </w:rPr>
        <w:t>3</w:t>
      </w:r>
      <w:r>
        <w:rPr>
          <w:rFonts w:eastAsia="等线"/>
          <w:i w:val="0"/>
          <w:lang w:eastAsia="zh-CN"/>
        </w:rPr>
        <w:t>,</w:t>
      </w:r>
      <w:r>
        <w:rPr>
          <w:rFonts w:eastAsia="等线" w:hint="eastAsia"/>
          <w:i w:val="0"/>
          <w:lang w:eastAsia="zh-CN"/>
        </w:rPr>
        <w:t xml:space="preserve"> Yi Tong</w:t>
      </w:r>
      <w:r>
        <w:rPr>
          <w:rFonts w:eastAsia="等线" w:hint="eastAsia"/>
          <w:i w:val="0"/>
          <w:vertAlign w:val="superscript"/>
          <w:lang w:eastAsia="zh-CN"/>
        </w:rPr>
        <w:t>4</w:t>
      </w:r>
      <w:r>
        <w:rPr>
          <w:rFonts w:eastAsia="等线" w:hint="eastAsia"/>
          <w:i w:val="0"/>
          <w:lang w:eastAsia="zh-CN"/>
        </w:rPr>
        <w:t>, Panpan Zhang</w:t>
      </w:r>
      <w:r w:rsidRPr="00FC1ACB">
        <w:rPr>
          <w:rFonts w:eastAsia="等线"/>
          <w:i w:val="0"/>
          <w:vertAlign w:val="superscript"/>
          <w:lang w:eastAsia="zh-CN"/>
        </w:rPr>
        <w:t>5</w:t>
      </w:r>
      <w:r>
        <w:rPr>
          <w:rFonts w:eastAsia="等线" w:hint="eastAsia"/>
          <w:i w:val="0"/>
          <w:lang w:eastAsia="zh-CN"/>
        </w:rPr>
        <w:t xml:space="preserve">, </w:t>
      </w:r>
      <w:r>
        <w:rPr>
          <w:i w:val="0"/>
        </w:rPr>
        <w:t>Dawei Gao</w:t>
      </w:r>
      <w:r>
        <w:rPr>
          <w:i w:val="0"/>
          <w:vertAlign w:val="superscript"/>
        </w:rPr>
        <w:t>1,3</w:t>
      </w:r>
      <w:r>
        <w:rPr>
          <w:i w:val="0"/>
        </w:rPr>
        <w:t>, Bin Yu</w:t>
      </w:r>
      <w:r>
        <w:rPr>
          <w:i w:val="0"/>
          <w:vertAlign w:val="superscript"/>
        </w:rPr>
        <w:t>1</w:t>
      </w:r>
      <w:r>
        <w:rPr>
          <w:i w:val="0"/>
        </w:rPr>
        <w:t xml:space="preserve">, </w:t>
      </w:r>
      <w:proofErr w:type="spellStart"/>
      <w:r>
        <w:rPr>
          <w:rFonts w:hint="eastAsia"/>
          <w:i w:val="0"/>
          <w:lang w:eastAsia="zh-CN"/>
        </w:rPr>
        <w:t>Jiuren</w:t>
      </w:r>
      <w:proofErr w:type="spellEnd"/>
      <w:r>
        <w:rPr>
          <w:rFonts w:hint="eastAsia"/>
          <w:i w:val="0"/>
          <w:lang w:eastAsia="zh-CN"/>
        </w:rPr>
        <w:t xml:space="preserve"> Zhou</w:t>
      </w:r>
      <w:r>
        <w:rPr>
          <w:rFonts w:hint="eastAsia"/>
          <w:i w:val="0"/>
          <w:vertAlign w:val="superscript"/>
          <w:lang w:eastAsia="zh-CN"/>
        </w:rPr>
        <w:t>6*</w:t>
      </w:r>
      <w:r>
        <w:rPr>
          <w:rFonts w:hint="eastAsia"/>
          <w:i w:val="0"/>
          <w:lang w:eastAsia="zh-CN"/>
        </w:rPr>
        <w:t xml:space="preserve">, </w:t>
      </w:r>
      <w:r>
        <w:rPr>
          <w:i w:val="0"/>
        </w:rPr>
        <w:t>Qing Wan</w:t>
      </w:r>
      <w:r>
        <w:rPr>
          <w:i w:val="0"/>
          <w:vertAlign w:val="superscript"/>
        </w:rPr>
        <w:t>2*</w:t>
      </w:r>
      <w:r>
        <w:rPr>
          <w:rFonts w:eastAsia="等线" w:hint="eastAsia"/>
          <w:i w:val="0"/>
          <w:lang w:eastAsia="zh-CN"/>
        </w:rPr>
        <w:t xml:space="preserve"> </w:t>
      </w:r>
      <w:r>
        <w:rPr>
          <w:i w:val="0"/>
        </w:rPr>
        <w:t xml:space="preserve">and </w:t>
      </w:r>
      <w:proofErr w:type="spellStart"/>
      <w:r>
        <w:rPr>
          <w:i w:val="0"/>
        </w:rPr>
        <w:t>Yishu</w:t>
      </w:r>
      <w:proofErr w:type="spellEnd"/>
      <w:r>
        <w:rPr>
          <w:i w:val="0"/>
        </w:rPr>
        <w:t xml:space="preserve"> Zhang</w:t>
      </w:r>
      <w:r>
        <w:rPr>
          <w:i w:val="0"/>
          <w:vertAlign w:val="superscript"/>
        </w:rPr>
        <w:t>1,</w:t>
      </w:r>
      <w:r>
        <w:rPr>
          <w:rFonts w:eastAsia="等线" w:hint="eastAsia"/>
          <w:i w:val="0"/>
          <w:vertAlign w:val="superscript"/>
          <w:lang w:eastAsia="zh-CN"/>
        </w:rPr>
        <w:t>2,3</w:t>
      </w:r>
      <w:r>
        <w:rPr>
          <w:i w:val="0"/>
          <w:vertAlign w:val="superscript"/>
        </w:rPr>
        <w:t>*</w:t>
      </w:r>
    </w:p>
    <w:p w14:paraId="72CFB920" w14:textId="77777777" w:rsidR="005943DB" w:rsidRDefault="005943DB" w:rsidP="005943DB">
      <w:pPr>
        <w:pStyle w:val="BCAuthorAddress"/>
        <w:spacing w:before="100" w:beforeAutospacing="1" w:afterLines="100" w:line="240" w:lineRule="exact"/>
        <w:jc w:val="both"/>
      </w:pPr>
      <w:r>
        <w:rPr>
          <w:rFonts w:ascii="Times New Roman" w:hAnsi="Times New Roman"/>
          <w:szCs w:val="24"/>
          <w:vertAlign w:val="superscript"/>
        </w:rPr>
        <w:t>1</w:t>
      </w:r>
      <w:r>
        <w:t>College of Integrated Circuits, Zhejiang University, ZJU-Hangzhou Global Scientific and Technological Innovation Center, Hangzhou</w:t>
      </w:r>
      <w:r>
        <w:rPr>
          <w:rFonts w:hint="eastAsia"/>
          <w:lang w:eastAsia="zh-CN"/>
        </w:rPr>
        <w:t>, Zhejiang,</w:t>
      </w:r>
      <w:r>
        <w:t xml:space="preserve"> 311200, China</w:t>
      </w:r>
    </w:p>
    <w:p w14:paraId="25FE02A1" w14:textId="77777777" w:rsidR="005943DB" w:rsidRDefault="005943DB" w:rsidP="005943DB">
      <w:pPr>
        <w:pStyle w:val="BCAuthorAddress"/>
        <w:spacing w:before="100" w:beforeAutospacing="1" w:afterLines="100" w:line="240" w:lineRule="exact"/>
        <w:jc w:val="both"/>
      </w:pPr>
      <w:r>
        <w:rPr>
          <w:vertAlign w:val="superscript"/>
        </w:rPr>
        <w:t>2</w:t>
      </w:r>
      <w:r>
        <w:t>Yongjiang Laboratory, Ningbo, Zhejiang</w:t>
      </w:r>
      <w:r>
        <w:rPr>
          <w:rFonts w:hint="eastAsia"/>
          <w:lang w:eastAsia="zh-CN"/>
        </w:rPr>
        <w:t>,</w:t>
      </w:r>
      <w:r>
        <w:t xml:space="preserve"> 315202, China</w:t>
      </w:r>
    </w:p>
    <w:p w14:paraId="1CB793A9" w14:textId="77777777" w:rsidR="005943DB" w:rsidRDefault="005943DB" w:rsidP="005943DB">
      <w:pPr>
        <w:pStyle w:val="BIEmailAddress"/>
        <w:spacing w:before="100" w:beforeAutospacing="1" w:line="240" w:lineRule="exact"/>
        <w:rPr>
          <w:lang w:eastAsia="zh-CN"/>
        </w:rPr>
      </w:pPr>
      <w:r>
        <w:rPr>
          <w:vertAlign w:val="superscript"/>
        </w:rPr>
        <w:t>3</w:t>
      </w:r>
      <w:r>
        <w:t xml:space="preserve">Zhejiang </w:t>
      </w:r>
      <w:proofErr w:type="spellStart"/>
      <w:r>
        <w:t>I</w:t>
      </w:r>
      <w:r>
        <w:rPr>
          <w:rFonts w:hint="eastAsia"/>
          <w:lang w:eastAsia="zh-CN"/>
        </w:rPr>
        <w:t>C</w:t>
      </w:r>
      <w:r>
        <w:t>sprout</w:t>
      </w:r>
      <w:proofErr w:type="spellEnd"/>
      <w:r>
        <w:t xml:space="preserve"> Semiconductor Co., Ltd, Hangzhou, Zhejiang, 310027, China</w:t>
      </w:r>
    </w:p>
    <w:p w14:paraId="49A88493" w14:textId="77777777" w:rsidR="005943DB" w:rsidRDefault="005943DB" w:rsidP="005943DB">
      <w:pPr>
        <w:pStyle w:val="BCAuthorAddress"/>
        <w:spacing w:before="100" w:beforeAutospacing="1" w:line="240" w:lineRule="exact"/>
        <w:jc w:val="both"/>
        <w:rPr>
          <w:lang w:eastAsia="zh-CN"/>
        </w:rPr>
      </w:pPr>
      <w:r>
        <w:rPr>
          <w:rFonts w:hint="eastAsia"/>
          <w:vertAlign w:val="superscript"/>
          <w:lang w:eastAsia="zh-CN"/>
        </w:rPr>
        <w:t>4</w:t>
      </w:r>
      <w:r>
        <w:rPr>
          <w:rFonts w:hint="eastAsia"/>
          <w:lang w:eastAsia="zh-CN"/>
        </w:rPr>
        <w:t xml:space="preserve">Suzhou lab, Suzhou, Jiangsu, </w:t>
      </w:r>
      <w:r>
        <w:rPr>
          <w:lang w:eastAsia="zh-CN"/>
        </w:rPr>
        <w:t>215123</w:t>
      </w:r>
      <w:r>
        <w:rPr>
          <w:rFonts w:hint="eastAsia"/>
          <w:lang w:eastAsia="zh-CN"/>
        </w:rPr>
        <w:t>, China</w:t>
      </w:r>
    </w:p>
    <w:p w14:paraId="60F2CE7F" w14:textId="77777777" w:rsidR="005943DB" w:rsidRDefault="005943DB" w:rsidP="005943DB">
      <w:pPr>
        <w:pStyle w:val="BCAuthorAddress"/>
        <w:spacing w:before="100" w:beforeAutospacing="1" w:line="240" w:lineRule="exact"/>
        <w:ind w:left="120" w:hangingChars="50" w:hanging="120"/>
        <w:jc w:val="both"/>
        <w:rPr>
          <w:lang w:eastAsia="zh-CN"/>
        </w:rPr>
      </w:pPr>
      <w:r>
        <w:rPr>
          <w:rFonts w:hint="eastAsia"/>
          <w:vertAlign w:val="superscript"/>
          <w:lang w:eastAsia="zh-CN"/>
        </w:rPr>
        <w:t>5</w:t>
      </w:r>
      <w:r w:rsidRPr="006E4EC9">
        <w:rPr>
          <w:lang w:eastAsia="zh-CN"/>
        </w:rPr>
        <w:t>School of Integrated Circuits, Beijing University of Posts and Telecommunications 100876,</w:t>
      </w:r>
      <w:r>
        <w:rPr>
          <w:rFonts w:hint="eastAsia"/>
          <w:lang w:eastAsia="zh-CN"/>
        </w:rPr>
        <w:t xml:space="preserve"> </w:t>
      </w:r>
      <w:r w:rsidRPr="006E4EC9">
        <w:rPr>
          <w:lang w:eastAsia="zh-CN"/>
        </w:rPr>
        <w:t>China</w:t>
      </w:r>
    </w:p>
    <w:p w14:paraId="5DE8C8D5" w14:textId="77777777" w:rsidR="005943DB" w:rsidRDefault="005943DB" w:rsidP="005943DB">
      <w:pPr>
        <w:pStyle w:val="BCAuthorAddress"/>
        <w:spacing w:before="100" w:beforeAutospacing="1" w:line="240" w:lineRule="exact"/>
        <w:jc w:val="both"/>
        <w:rPr>
          <w:lang w:eastAsia="zh-CN"/>
        </w:rPr>
      </w:pPr>
      <w:r>
        <w:rPr>
          <w:rFonts w:hint="eastAsia"/>
          <w:vertAlign w:val="superscript"/>
          <w:lang w:eastAsia="zh-CN"/>
        </w:rPr>
        <w:t>6</w:t>
      </w:r>
      <w:r>
        <w:rPr>
          <w:lang w:eastAsia="zh-CN"/>
        </w:rPr>
        <w:t xml:space="preserve">Hangzhou Institute of Technology, </w:t>
      </w:r>
      <w:proofErr w:type="spellStart"/>
      <w:r>
        <w:rPr>
          <w:lang w:eastAsia="zh-CN"/>
        </w:rPr>
        <w:t>Xidian</w:t>
      </w:r>
      <w:proofErr w:type="spellEnd"/>
      <w:r>
        <w:rPr>
          <w:lang w:eastAsia="zh-CN"/>
        </w:rPr>
        <w:t xml:space="preserve"> University, Hangzhou,</w:t>
      </w:r>
      <w:r>
        <w:t xml:space="preserve"> </w:t>
      </w:r>
      <w:r>
        <w:rPr>
          <w:lang w:eastAsia="zh-CN"/>
        </w:rPr>
        <w:t>311231</w:t>
      </w:r>
      <w:r>
        <w:rPr>
          <w:rFonts w:hint="eastAsia"/>
          <w:lang w:eastAsia="zh-CN"/>
        </w:rPr>
        <w:t>,</w:t>
      </w:r>
      <w:r>
        <w:rPr>
          <w:lang w:eastAsia="zh-CN"/>
        </w:rPr>
        <w:t xml:space="preserve"> China.</w:t>
      </w:r>
    </w:p>
    <w:p w14:paraId="466D8665" w14:textId="77777777" w:rsidR="005943DB" w:rsidRDefault="005943DB" w:rsidP="005943DB">
      <w:pPr>
        <w:pStyle w:val="BCAuthorAddress"/>
        <w:spacing w:before="100" w:beforeAutospacing="1" w:afterLines="100" w:line="240" w:lineRule="exact"/>
        <w:jc w:val="left"/>
        <w:rPr>
          <w:b/>
          <w:color w:val="FF0000"/>
          <w:sz w:val="22"/>
          <w:lang w:eastAsia="zh-CN"/>
        </w:rPr>
      </w:pPr>
      <w:r w:rsidRPr="00704F4A">
        <w:rPr>
          <w:vertAlign w:val="superscript"/>
        </w:rPr>
        <w:t>*</w:t>
      </w:r>
      <w:r>
        <w:t>Corresponding author</w:t>
      </w:r>
      <w:r>
        <w:rPr>
          <w:rFonts w:hint="eastAsia"/>
          <w:lang w:eastAsia="zh-CN"/>
        </w:rPr>
        <w:t>:</w:t>
      </w:r>
      <w:r>
        <w:t xml:space="preserve"> </w:t>
      </w:r>
      <w:r>
        <w:rPr>
          <w:rFonts w:hint="eastAsia"/>
        </w:rPr>
        <w:t xml:space="preserve">zhoujiuren@163.com; </w:t>
      </w:r>
      <w:hyperlink r:id="rId11" w:history="1">
        <w:r>
          <w:rPr>
            <w:rStyle w:val="a4"/>
            <w:rFonts w:eastAsia="等线"/>
            <w:lang w:eastAsia="zh-CN"/>
          </w:rPr>
          <w:t>qing-wan@ylab.ac.cn</w:t>
        </w:r>
      </w:hyperlink>
      <w:r>
        <w:rPr>
          <w:rFonts w:hint="eastAsia"/>
          <w:lang w:eastAsia="zh-CN"/>
        </w:rPr>
        <w:t xml:space="preserve">; </w:t>
      </w:r>
      <w:r>
        <w:t>zhangyishu@zju.edu.cn</w:t>
      </w:r>
    </w:p>
    <w:p w14:paraId="6B5F98AE" w14:textId="77777777" w:rsidR="00BA0B0B" w:rsidRPr="005943DB" w:rsidRDefault="00BA0B0B">
      <w:pPr>
        <w:pStyle w:val="Tableofcontents"/>
        <w:spacing w:line="360" w:lineRule="auto"/>
        <w:jc w:val="both"/>
      </w:pPr>
    </w:p>
    <w:p w14:paraId="4D7131CA" w14:textId="77777777" w:rsidR="00BA0B0B" w:rsidRDefault="00BA0B0B">
      <w:pPr>
        <w:pStyle w:val="IOPAff"/>
        <w:spacing w:afterLines="50" w:after="120" w:line="360" w:lineRule="auto"/>
        <w:jc w:val="both"/>
        <w:rPr>
          <w:sz w:val="24"/>
          <w:szCs w:val="24"/>
        </w:rPr>
      </w:pPr>
    </w:p>
    <w:p w14:paraId="1C168BA6" w14:textId="15E369ED" w:rsidR="00BA0B0B" w:rsidRPr="00C34DFD" w:rsidRDefault="009734D6" w:rsidP="00C34DFD">
      <w:pPr>
        <w:jc w:val="both"/>
        <w:rPr>
          <w:rFonts w:eastAsiaTheme="minorEastAsia"/>
          <w:b/>
          <w:bCs/>
          <w:kern w:val="32"/>
          <w:lang w:val="en-US" w:eastAsia="zh-CN"/>
        </w:rPr>
      </w:pPr>
      <w:r>
        <w:rPr>
          <w:lang w:val="en-BZ"/>
        </w:rPr>
        <w:br w:type="page"/>
      </w:r>
    </w:p>
    <w:p w14:paraId="03EF1F48" w14:textId="37C5BE9C" w:rsidR="00BA0B0B" w:rsidRDefault="00C34DFD">
      <w:pPr>
        <w:spacing w:before="120"/>
        <w:jc w:val="both"/>
        <w:rPr>
          <w:rFonts w:eastAsiaTheme="minorEastAsia"/>
          <w:bCs/>
          <w:lang w:val="en-US" w:eastAsia="zh-CN"/>
        </w:rPr>
      </w:pPr>
      <w:r>
        <w:rPr>
          <w:rFonts w:eastAsiaTheme="minorEastAsia" w:hint="eastAsia"/>
          <w:bCs/>
          <w:noProof/>
          <w:lang w:val="en-US" w:eastAsia="zh-CN"/>
        </w:rPr>
        <w:lastRenderedPageBreak/>
        <w:drawing>
          <wp:inline distT="0" distB="0" distL="0" distR="0" wp14:anchorId="382E39FE" wp14:editId="42849485">
            <wp:extent cx="5760720" cy="2145665"/>
            <wp:effectExtent l="0" t="0" r="0" b="0"/>
            <wp:docPr id="4477742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74234" name="图片 447774234"/>
                    <pic:cNvPicPr/>
                  </pic:nvPicPr>
                  <pic:blipFill>
                    <a:blip r:embed="rId12"/>
                    <a:stretch>
                      <a:fillRect/>
                    </a:stretch>
                  </pic:blipFill>
                  <pic:spPr>
                    <a:xfrm>
                      <a:off x="0" y="0"/>
                      <a:ext cx="5760720" cy="2145665"/>
                    </a:xfrm>
                    <a:prstGeom prst="rect">
                      <a:avLst/>
                    </a:prstGeom>
                  </pic:spPr>
                </pic:pic>
              </a:graphicData>
            </a:graphic>
          </wp:inline>
        </w:drawing>
      </w:r>
    </w:p>
    <w:p w14:paraId="078FB5C5" w14:textId="26D645BB" w:rsidR="00BA0B0B" w:rsidRDefault="009734D6">
      <w:pPr>
        <w:spacing w:before="120"/>
        <w:jc w:val="both"/>
        <w:rPr>
          <w:rFonts w:eastAsiaTheme="minorEastAsia"/>
          <w:bCs/>
          <w:lang w:val="en-US" w:eastAsia="zh-CN"/>
        </w:rPr>
      </w:pPr>
      <w:r>
        <w:rPr>
          <w:rFonts w:eastAsia="Times New Roman"/>
          <w:b/>
          <w:lang w:val="en-US" w:eastAsia="en-US"/>
        </w:rPr>
        <w:t xml:space="preserve">Fig. </w:t>
      </w:r>
      <w:r>
        <w:rPr>
          <w:rFonts w:eastAsiaTheme="minorEastAsia" w:hint="eastAsia"/>
          <w:b/>
          <w:lang w:val="en-US" w:eastAsia="zh-CN"/>
        </w:rPr>
        <w:t xml:space="preserve">S1 </w:t>
      </w:r>
      <w:r>
        <w:rPr>
          <w:rFonts w:eastAsiaTheme="minorEastAsia"/>
          <w:b/>
          <w:lang w:val="en-US" w:eastAsia="zh-CN"/>
        </w:rPr>
        <w:t>The lift-off photolithography process for fabricating the integrated passive array of memristors based on this work.</w:t>
      </w:r>
      <w:r>
        <w:rPr>
          <w:rFonts w:eastAsiaTheme="minorEastAsia"/>
          <w:bCs/>
          <w:lang w:val="en-US" w:eastAsia="zh-CN"/>
        </w:rPr>
        <w:t xml:space="preserve"> First, a photoresist is spin-coated on a clean SiO</w:t>
      </w:r>
      <w:r>
        <w:rPr>
          <w:rFonts w:eastAsiaTheme="minorEastAsia"/>
          <w:bCs/>
          <w:vertAlign w:val="subscript"/>
          <w:lang w:val="en-US" w:eastAsia="zh-CN"/>
        </w:rPr>
        <w:t>2</w:t>
      </w:r>
      <w:r>
        <w:rPr>
          <w:rFonts w:eastAsiaTheme="minorEastAsia"/>
          <w:bCs/>
          <w:lang w:val="en-US" w:eastAsia="zh-CN"/>
        </w:rPr>
        <w:t>/p+Si substrate, and the bottom electrode pattern of the array is formed using photolithography. The bottom electrode is then completed through thin film deposition and develop processes. Subsequently, the functional layer</w:t>
      </w:r>
      <w:r w:rsidR="00C34DFD">
        <w:rPr>
          <w:rFonts w:eastAsiaTheme="minorEastAsia" w:hint="eastAsia"/>
          <w:bCs/>
          <w:lang w:val="en-US" w:eastAsia="zh-CN"/>
        </w:rPr>
        <w:t>, isolated layer</w:t>
      </w:r>
      <w:r>
        <w:rPr>
          <w:rFonts w:eastAsiaTheme="minorEastAsia"/>
          <w:bCs/>
          <w:lang w:val="en-US" w:eastAsia="zh-CN"/>
        </w:rPr>
        <w:t xml:space="preserve"> and top electrode of the array are fabricated using the same process.</w:t>
      </w:r>
    </w:p>
    <w:p w14:paraId="2F3D0B47" w14:textId="77777777" w:rsidR="00BA0B0B" w:rsidRDefault="00BA0B0B">
      <w:pPr>
        <w:spacing w:before="120"/>
        <w:jc w:val="both"/>
        <w:rPr>
          <w:rFonts w:eastAsiaTheme="minorEastAsia"/>
          <w:bCs/>
          <w:lang w:val="en-US" w:eastAsia="zh-CN"/>
        </w:rPr>
      </w:pPr>
    </w:p>
    <w:p w14:paraId="53E66BEC" w14:textId="77777777" w:rsidR="00BA0B0B" w:rsidRDefault="009734D6">
      <w:pPr>
        <w:spacing w:before="120"/>
        <w:jc w:val="center"/>
        <w:rPr>
          <w:rFonts w:eastAsiaTheme="minorEastAsia"/>
          <w:bCs/>
          <w:lang w:val="en-US" w:eastAsia="zh-CN"/>
        </w:rPr>
      </w:pPr>
      <w:r>
        <w:rPr>
          <w:rFonts w:eastAsiaTheme="minorEastAsia"/>
          <w:bCs/>
          <w:noProof/>
          <w:lang w:val="en-US" w:eastAsia="zh-CN"/>
        </w:rPr>
        <w:drawing>
          <wp:inline distT="0" distB="0" distL="0" distR="0" wp14:anchorId="655110B9" wp14:editId="71FB7A59">
            <wp:extent cx="4885690" cy="2200910"/>
            <wp:effectExtent l="0" t="0" r="0" b="8890"/>
            <wp:docPr id="1983313678" name="图片 3" descr="图片包含 物体,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13678" name="图片 3" descr="图片包含 物体, 游戏机&#10;&#10;AI 生成的内容可能不正确。"/>
                    <pic:cNvPicPr>
                      <a:picLocks noChangeAspect="1"/>
                    </pic:cNvPicPr>
                  </pic:nvPicPr>
                  <pic:blipFill>
                    <a:blip r:embed="rId13"/>
                    <a:stretch>
                      <a:fillRect/>
                    </a:stretch>
                  </pic:blipFill>
                  <pic:spPr>
                    <a:xfrm>
                      <a:off x="0" y="0"/>
                      <a:ext cx="4897567" cy="2206334"/>
                    </a:xfrm>
                    <a:prstGeom prst="rect">
                      <a:avLst/>
                    </a:prstGeom>
                  </pic:spPr>
                </pic:pic>
              </a:graphicData>
            </a:graphic>
          </wp:inline>
        </w:drawing>
      </w:r>
    </w:p>
    <w:p w14:paraId="49C7215D" w14:textId="4836BAC7" w:rsidR="00BA0B0B" w:rsidRDefault="009734D6">
      <w:pPr>
        <w:spacing w:before="120"/>
        <w:jc w:val="both"/>
        <w:rPr>
          <w:rFonts w:eastAsiaTheme="minorEastAsia"/>
          <w:bCs/>
          <w:lang w:val="en-US" w:eastAsia="zh-CN"/>
        </w:rPr>
      </w:pPr>
      <w:bookmarkStart w:id="1" w:name="OLE_LINK2"/>
      <w:r>
        <w:rPr>
          <w:rFonts w:eastAsia="Times New Roman"/>
          <w:b/>
          <w:lang w:val="en-US" w:eastAsia="en-US"/>
        </w:rPr>
        <w:t xml:space="preserve">Fig. </w:t>
      </w:r>
      <w:r>
        <w:rPr>
          <w:rFonts w:eastAsiaTheme="minorEastAsia" w:hint="eastAsia"/>
          <w:b/>
          <w:lang w:val="en-US" w:eastAsia="zh-CN"/>
        </w:rPr>
        <w:t xml:space="preserve">S2 </w:t>
      </w:r>
      <w:r>
        <w:rPr>
          <w:rFonts w:eastAsiaTheme="minorEastAsia"/>
          <w:bCs/>
          <w:lang w:val="en-US" w:eastAsia="zh-CN"/>
        </w:rPr>
        <w:t>The EDS spectrum of the device functional layer</w:t>
      </w:r>
      <w:r>
        <w:rPr>
          <w:rFonts w:eastAsiaTheme="minorEastAsia" w:hint="eastAsia"/>
          <w:bCs/>
          <w:lang w:val="en-US" w:eastAsia="zh-CN"/>
        </w:rPr>
        <w:t>,</w:t>
      </w:r>
      <w:r>
        <w:rPr>
          <w:rFonts w:eastAsiaTheme="minorEastAsia"/>
          <w:bCs/>
          <w:lang w:val="en-US" w:eastAsia="zh-CN"/>
        </w:rPr>
        <w:t xml:space="preserve"> show</w:t>
      </w:r>
      <w:r>
        <w:rPr>
          <w:rFonts w:eastAsiaTheme="minorEastAsia" w:hint="eastAsia"/>
          <w:bCs/>
          <w:lang w:val="en-US" w:eastAsia="zh-CN"/>
        </w:rPr>
        <w:t>ing</w:t>
      </w:r>
      <w:r>
        <w:rPr>
          <w:rFonts w:eastAsiaTheme="minorEastAsia"/>
          <w:bCs/>
          <w:lang w:val="en-US" w:eastAsia="zh-CN"/>
        </w:rPr>
        <w:t xml:space="preserve"> peaks for N, Si, In, Zn, Ga, and O, confirming the composition of the SiN</w:t>
      </w:r>
      <w:r w:rsidR="001C010F" w:rsidRPr="001C010F">
        <w:rPr>
          <w:rFonts w:eastAsiaTheme="minorEastAsia" w:hint="eastAsia"/>
          <w:bCs/>
          <w:vertAlign w:val="subscript"/>
          <w:lang w:val="en-US" w:eastAsia="zh-CN"/>
        </w:rPr>
        <w:t>x</w:t>
      </w:r>
      <w:r>
        <w:rPr>
          <w:rFonts w:eastAsiaTheme="minorEastAsia"/>
          <w:bCs/>
          <w:lang w:val="en-US" w:eastAsia="zh-CN"/>
        </w:rPr>
        <w:t>/IGZO functional layer.</w:t>
      </w:r>
    </w:p>
    <w:bookmarkEnd w:id="1"/>
    <w:p w14:paraId="7757C473" w14:textId="77777777" w:rsidR="00BA0B0B" w:rsidRDefault="00BA0B0B">
      <w:pPr>
        <w:spacing w:before="120"/>
        <w:jc w:val="both"/>
        <w:rPr>
          <w:rFonts w:eastAsiaTheme="minorEastAsia"/>
          <w:bCs/>
          <w:lang w:val="en-US" w:eastAsia="zh-CN"/>
        </w:rPr>
      </w:pPr>
    </w:p>
    <w:p w14:paraId="1477A2E0" w14:textId="77777777" w:rsidR="00BA0B0B" w:rsidRDefault="009734D6">
      <w:pPr>
        <w:spacing w:before="120"/>
        <w:jc w:val="center"/>
        <w:rPr>
          <w:rFonts w:eastAsiaTheme="minorEastAsia"/>
          <w:bCs/>
          <w:lang w:val="en-US" w:eastAsia="zh-CN"/>
        </w:rPr>
      </w:pPr>
      <w:r>
        <w:rPr>
          <w:rFonts w:eastAsiaTheme="minorEastAsia"/>
          <w:bCs/>
          <w:noProof/>
          <w:lang w:val="en-US" w:eastAsia="zh-CN"/>
        </w:rPr>
        <w:lastRenderedPageBreak/>
        <w:drawing>
          <wp:inline distT="0" distB="0" distL="0" distR="0" wp14:anchorId="57918CCF" wp14:editId="1BDEB24B">
            <wp:extent cx="5635256" cy="4226442"/>
            <wp:effectExtent l="0" t="0" r="3810" b="3175"/>
            <wp:docPr id="1212106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06745"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673130" cy="4254847"/>
                    </a:xfrm>
                    <a:prstGeom prst="rect">
                      <a:avLst/>
                    </a:prstGeom>
                    <a:noFill/>
                  </pic:spPr>
                </pic:pic>
              </a:graphicData>
            </a:graphic>
          </wp:inline>
        </w:drawing>
      </w:r>
    </w:p>
    <w:p w14:paraId="2F60B40D" w14:textId="77777777" w:rsidR="00BA0B0B" w:rsidRDefault="009734D6">
      <w:pPr>
        <w:spacing w:before="120"/>
        <w:jc w:val="both"/>
        <w:rPr>
          <w:rFonts w:eastAsiaTheme="minorEastAsia"/>
          <w:bCs/>
          <w:lang w:val="en-US" w:eastAsia="zh-CN"/>
        </w:rPr>
      </w:pPr>
      <w:r>
        <w:rPr>
          <w:rFonts w:eastAsia="Times New Roman"/>
          <w:b/>
          <w:lang w:val="en-US" w:eastAsia="en-US"/>
        </w:rPr>
        <w:t xml:space="preserve">Fig. </w:t>
      </w:r>
      <w:r>
        <w:rPr>
          <w:rFonts w:eastAsiaTheme="minorEastAsia" w:hint="eastAsia"/>
          <w:b/>
          <w:lang w:val="en-US" w:eastAsia="zh-CN"/>
        </w:rPr>
        <w:t>S3 a</w:t>
      </w:r>
      <w:r>
        <w:rPr>
          <w:rFonts w:eastAsiaTheme="minorEastAsia"/>
          <w:bCs/>
          <w:lang w:val="en-US" w:eastAsia="zh-CN"/>
        </w:rPr>
        <w:t xml:space="preserve"> AFM characterization of</w:t>
      </w:r>
      <w:r>
        <w:rPr>
          <w:rFonts w:eastAsiaTheme="minorEastAsia" w:hint="eastAsia"/>
          <w:bCs/>
          <w:lang w:val="en-US" w:eastAsia="zh-CN"/>
        </w:rPr>
        <w:t xml:space="preserve"> </w:t>
      </w:r>
      <w:r>
        <w:rPr>
          <w:rFonts w:eastAsiaTheme="minorEastAsia"/>
          <w:bCs/>
          <w:lang w:val="en-US" w:eastAsia="zh-CN"/>
        </w:rPr>
        <w:t>SiN</w:t>
      </w:r>
      <w:r>
        <w:rPr>
          <w:rFonts w:eastAsiaTheme="minorEastAsia"/>
          <w:bCs/>
          <w:vertAlign w:val="subscript"/>
          <w:lang w:val="en-US" w:eastAsia="zh-CN"/>
        </w:rPr>
        <w:t>x</w:t>
      </w:r>
      <w:r>
        <w:rPr>
          <w:rFonts w:eastAsiaTheme="minorEastAsia"/>
          <w:bCs/>
          <w:lang w:val="en-US" w:eastAsia="zh-CN"/>
        </w:rPr>
        <w:t xml:space="preserve"> and </w:t>
      </w:r>
      <w:r>
        <w:rPr>
          <w:rFonts w:eastAsiaTheme="minorEastAsia" w:hint="eastAsia"/>
          <w:b/>
          <w:lang w:val="en-US" w:eastAsia="zh-CN"/>
        </w:rPr>
        <w:t>b</w:t>
      </w:r>
      <w:r>
        <w:rPr>
          <w:rFonts w:eastAsiaTheme="minorEastAsia" w:hint="eastAsia"/>
          <w:bCs/>
          <w:lang w:val="en-US" w:eastAsia="zh-CN"/>
        </w:rPr>
        <w:t xml:space="preserve"> </w:t>
      </w:r>
      <w:r>
        <w:rPr>
          <w:rFonts w:eastAsiaTheme="minorEastAsia"/>
          <w:bCs/>
          <w:lang w:val="en-US" w:eastAsia="zh-CN"/>
        </w:rPr>
        <w:t>IGZO thin film surfaces, with RMS roughness of 0.286 nm and 0.317 nm, respectively, demonstrating good surface uniformity of the films.</w:t>
      </w:r>
    </w:p>
    <w:p w14:paraId="7D185D8B" w14:textId="77777777" w:rsidR="00BA0B0B" w:rsidRDefault="00BA0B0B">
      <w:pPr>
        <w:spacing w:before="120"/>
        <w:jc w:val="both"/>
        <w:rPr>
          <w:rFonts w:eastAsiaTheme="minorEastAsia"/>
          <w:bCs/>
          <w:lang w:val="en-US" w:eastAsia="zh-CN"/>
        </w:rPr>
      </w:pPr>
    </w:p>
    <w:p w14:paraId="2AC9A1BF" w14:textId="1789E227" w:rsidR="00BA0B0B" w:rsidRDefault="00F54142">
      <w:pPr>
        <w:spacing w:before="120"/>
        <w:jc w:val="center"/>
        <w:rPr>
          <w:rFonts w:eastAsiaTheme="minorEastAsia"/>
          <w:b/>
          <w:bCs/>
          <w:lang w:val="en-US" w:eastAsia="zh-CN"/>
        </w:rPr>
      </w:pPr>
      <w:r>
        <w:rPr>
          <w:rFonts w:eastAsiaTheme="minorEastAsia"/>
          <w:b/>
          <w:bCs/>
          <w:lang w:val="en-US" w:eastAsia="zh-CN"/>
        </w:rPr>
        <w:object w:dxaOrig="5140" w:dyaOrig="4240" w14:anchorId="39D096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55pt;height:243.8pt" o:ole="">
            <v:imagedata r:id="rId15" o:title=""/>
          </v:shape>
          <o:OLEObject Type="Embed" ProgID="Origin95.Graph" ShapeID="_x0000_i1025" DrawAspect="Content" ObjectID="_1817187044" r:id="rId16"/>
        </w:object>
      </w:r>
    </w:p>
    <w:p w14:paraId="144EE6CB" w14:textId="77777777" w:rsidR="00BA0B0B" w:rsidRDefault="009734D6">
      <w:pPr>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 xml:space="preserve">S4 </w:t>
      </w:r>
      <w:r>
        <w:rPr>
          <w:rFonts w:eastAsiaTheme="minorEastAsia"/>
          <w:bCs/>
          <w:lang w:val="en-US" w:eastAsia="zh-CN"/>
        </w:rPr>
        <w:t>I-V curve of the device forming process, with a set voltage of 280 mV and a voltage s</w:t>
      </w:r>
      <w:r>
        <w:rPr>
          <w:rFonts w:eastAsiaTheme="minorEastAsia" w:hint="eastAsia"/>
          <w:bCs/>
          <w:lang w:val="en-US" w:eastAsia="zh-CN"/>
        </w:rPr>
        <w:t>lope</w:t>
      </w:r>
      <w:r>
        <w:rPr>
          <w:rFonts w:eastAsiaTheme="minorEastAsia"/>
          <w:bCs/>
          <w:lang w:val="en-US" w:eastAsia="zh-CN"/>
        </w:rPr>
        <w:t xml:space="preserve"> of 0.47 mV/dec.</w:t>
      </w:r>
    </w:p>
    <w:p w14:paraId="31F8BB62" w14:textId="77777777" w:rsidR="00BA0B0B" w:rsidRDefault="00BA0B0B">
      <w:pPr>
        <w:spacing w:before="120"/>
        <w:jc w:val="both"/>
        <w:rPr>
          <w:rFonts w:eastAsiaTheme="minorEastAsia"/>
          <w:bCs/>
          <w:lang w:val="en-US" w:eastAsia="zh-CN"/>
        </w:rPr>
      </w:pPr>
    </w:p>
    <w:p w14:paraId="2E397CF0" w14:textId="77777777" w:rsidR="00BA0B0B" w:rsidRDefault="009734D6">
      <w:pPr>
        <w:spacing w:before="120"/>
        <w:jc w:val="center"/>
        <w:rPr>
          <w:rFonts w:eastAsiaTheme="minorEastAsia"/>
          <w:bCs/>
          <w:lang w:val="en-US" w:eastAsia="zh-CN"/>
        </w:rPr>
      </w:pPr>
      <w:r>
        <w:rPr>
          <w:rFonts w:eastAsiaTheme="minorEastAsia"/>
          <w:bCs/>
          <w:noProof/>
          <w:lang w:eastAsia="zh-CN"/>
        </w:rPr>
        <w:lastRenderedPageBreak/>
        <w:drawing>
          <wp:inline distT="0" distB="0" distL="0" distR="0" wp14:anchorId="2A13D9C4" wp14:editId="56960D24">
            <wp:extent cx="2860040" cy="2282825"/>
            <wp:effectExtent l="0" t="0" r="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7"/>
                    <a:srcRect l="9413" t="9407" r="8262" b="8909"/>
                    <a:stretch>
                      <a:fillRect/>
                    </a:stretch>
                  </pic:blipFill>
                  <pic:spPr>
                    <a:xfrm>
                      <a:off x="0" y="0"/>
                      <a:ext cx="2871061" cy="2291699"/>
                    </a:xfrm>
                    <a:prstGeom prst="rect">
                      <a:avLst/>
                    </a:prstGeom>
                    <a:ln>
                      <a:noFill/>
                    </a:ln>
                  </pic:spPr>
                </pic:pic>
              </a:graphicData>
            </a:graphic>
          </wp:inline>
        </w:drawing>
      </w:r>
    </w:p>
    <w:p w14:paraId="6E7AD0F6" w14:textId="77777777" w:rsidR="00BA0B0B" w:rsidRDefault="009734D6">
      <w:pPr>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 xml:space="preserve">S5 </w:t>
      </w:r>
      <w:r>
        <w:rPr>
          <w:rFonts w:eastAsiaTheme="minorEastAsia"/>
          <w:b/>
          <w:lang w:val="en-US" w:eastAsia="zh-CN"/>
        </w:rPr>
        <w:t>The I-V cyclical curve of the device under continuous forward voltage sweep.</w:t>
      </w:r>
      <w:r>
        <w:rPr>
          <w:rFonts w:eastAsiaTheme="minorEastAsia"/>
          <w:bCs/>
          <w:lang w:val="en-US" w:eastAsia="zh-CN"/>
        </w:rPr>
        <w:t xml:space="preserve"> As the applied voltage approaches the threshold, the conductivity of the device continually increases with each cycle of the applied voltage.</w:t>
      </w:r>
    </w:p>
    <w:p w14:paraId="6AB29B56" w14:textId="77777777" w:rsidR="00BA0B0B" w:rsidRDefault="00BA0B0B">
      <w:pPr>
        <w:rPr>
          <w:rFonts w:eastAsiaTheme="minorEastAsia"/>
          <w:bCs/>
          <w:lang w:val="en-US" w:eastAsia="zh-CN"/>
        </w:rPr>
      </w:pPr>
    </w:p>
    <w:p w14:paraId="78AF5C08" w14:textId="30D8B933" w:rsidR="00BA0B0B" w:rsidRDefault="000E3866">
      <w:pPr>
        <w:jc w:val="center"/>
        <w:rPr>
          <w:rFonts w:eastAsiaTheme="minorEastAsia"/>
          <w:bCs/>
          <w:lang w:val="en-US" w:eastAsia="zh-CN"/>
        </w:rPr>
      </w:pPr>
      <w:r w:rsidRPr="000E3866">
        <w:rPr>
          <w:rFonts w:eastAsiaTheme="minorEastAsia"/>
          <w:bCs/>
          <w:noProof/>
          <w:lang w:eastAsia="zh-CN"/>
        </w:rPr>
        <w:drawing>
          <wp:inline distT="0" distB="0" distL="0" distR="0" wp14:anchorId="0545A416" wp14:editId="2E8DF6D7">
            <wp:extent cx="5760720" cy="2665730"/>
            <wp:effectExtent l="0" t="0" r="0" b="0"/>
            <wp:docPr id="5" name="图片 4">
              <a:extLst xmlns:a="http://schemas.openxmlformats.org/drawingml/2006/main">
                <a:ext uri="{FF2B5EF4-FFF2-40B4-BE49-F238E27FC236}">
                  <a16:creationId xmlns:a16="http://schemas.microsoft.com/office/drawing/2014/main" id="{D596F5F5-8304-5605-512F-FAC4A697D8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596F5F5-8304-5605-512F-FAC4A697D811}"/>
                        </a:ext>
                      </a:extLst>
                    </pic:cNvPr>
                    <pic:cNvPicPr>
                      <a:picLocks noChangeAspect="1"/>
                    </pic:cNvPicPr>
                  </pic:nvPicPr>
                  <pic:blipFill>
                    <a:blip r:embed="rId18"/>
                    <a:stretch>
                      <a:fillRect/>
                    </a:stretch>
                  </pic:blipFill>
                  <pic:spPr>
                    <a:xfrm>
                      <a:off x="0" y="0"/>
                      <a:ext cx="5760720" cy="2665730"/>
                    </a:xfrm>
                    <a:prstGeom prst="rect">
                      <a:avLst/>
                    </a:prstGeom>
                  </pic:spPr>
                </pic:pic>
              </a:graphicData>
            </a:graphic>
          </wp:inline>
        </w:drawing>
      </w:r>
    </w:p>
    <w:p w14:paraId="7A6AAA0B" w14:textId="77777777" w:rsidR="00BA0B0B" w:rsidRDefault="009734D6">
      <w:pPr>
        <w:rPr>
          <w:rFonts w:eastAsiaTheme="minorEastAsia"/>
          <w:bCs/>
          <w:lang w:val="en-US" w:eastAsia="zh-CN"/>
        </w:rPr>
      </w:pPr>
      <w:bookmarkStart w:id="2" w:name="OLE_LINK1"/>
      <w:r>
        <w:rPr>
          <w:rFonts w:eastAsiaTheme="minorEastAsia"/>
          <w:b/>
          <w:lang w:val="en-US" w:eastAsia="en-US"/>
        </w:rPr>
        <w:t xml:space="preserve">Fig. </w:t>
      </w:r>
      <w:r>
        <w:rPr>
          <w:rFonts w:eastAsiaTheme="minorEastAsia" w:hint="eastAsia"/>
          <w:b/>
          <w:lang w:val="en-US" w:eastAsia="zh-CN"/>
        </w:rPr>
        <w:t xml:space="preserve">S6 </w:t>
      </w:r>
      <w:r>
        <w:rPr>
          <w:rFonts w:eastAsiaTheme="minorEastAsia"/>
          <w:b/>
          <w:lang w:val="en-US" w:eastAsia="zh-CN"/>
        </w:rPr>
        <w:t xml:space="preserve">Current variations of the device under continuous positive pulse sequences. </w:t>
      </w:r>
      <w:r>
        <w:rPr>
          <w:rFonts w:eastAsiaTheme="minorEastAsia"/>
          <w:bCs/>
          <w:lang w:val="en-US" w:eastAsia="zh-CN"/>
        </w:rPr>
        <w:t>The sequence pulse tests confirm that when pulses below the threshold voltage are applied, the device exhibits a continuous increase in conductance and ultimately successfully switches to</w:t>
      </w:r>
      <w:r>
        <w:rPr>
          <w:rFonts w:eastAsiaTheme="minorEastAsia" w:hint="eastAsia"/>
          <w:bCs/>
          <w:lang w:val="en-US" w:eastAsia="zh-CN"/>
        </w:rPr>
        <w:t xml:space="preserve"> </w:t>
      </w:r>
      <w:r>
        <w:rPr>
          <w:rFonts w:eastAsiaTheme="minorEastAsia"/>
          <w:bCs/>
          <w:lang w:val="en-US" w:eastAsia="zh-CN"/>
        </w:rPr>
        <w:t>LRS.</w:t>
      </w:r>
    </w:p>
    <w:bookmarkEnd w:id="2"/>
    <w:p w14:paraId="183E14DE" w14:textId="77777777" w:rsidR="00282948" w:rsidRPr="000E3866" w:rsidRDefault="00282948">
      <w:pPr>
        <w:rPr>
          <w:rFonts w:eastAsiaTheme="minorEastAsia"/>
          <w:bCs/>
          <w:lang w:val="en-US" w:eastAsia="zh-CN"/>
        </w:rPr>
      </w:pPr>
    </w:p>
    <w:p w14:paraId="578206D6" w14:textId="77777777" w:rsidR="00BA0B0B" w:rsidRDefault="009734D6">
      <w:pPr>
        <w:rPr>
          <w:rFonts w:eastAsiaTheme="minorEastAsia"/>
          <w:b/>
          <w:lang w:val="en-US" w:eastAsia="en-US"/>
        </w:rPr>
      </w:pPr>
      <w:r>
        <w:rPr>
          <w:rFonts w:eastAsiaTheme="minorEastAsia"/>
          <w:b/>
          <w:noProof/>
          <w:lang w:val="en-US" w:eastAsia="en-US"/>
        </w:rPr>
        <w:drawing>
          <wp:inline distT="0" distB="0" distL="0" distR="0" wp14:anchorId="31915762" wp14:editId="2FD21A40">
            <wp:extent cx="5881370" cy="1713865"/>
            <wp:effectExtent l="0" t="0" r="5080" b="635"/>
            <wp:docPr id="1651877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77703" name="图片 1"/>
                    <pic:cNvPicPr>
                      <a:picLocks noChangeAspect="1" noChangeArrowheads="1"/>
                    </pic:cNvPicPr>
                  </pic:nvPicPr>
                  <pic:blipFill>
                    <a:blip r:embed="rId19">
                      <a:extLst>
                        <a:ext uri="{28A0092B-C50C-407E-A947-70E740481C1C}">
                          <a14:useLocalDpi xmlns:a14="http://schemas.microsoft.com/office/drawing/2010/main" val="0"/>
                        </a:ext>
                      </a:extLst>
                    </a:blip>
                    <a:srcRect l="890" t="2996" r="1041" b="706"/>
                    <a:stretch>
                      <a:fillRect/>
                    </a:stretch>
                  </pic:blipFill>
                  <pic:spPr>
                    <a:xfrm>
                      <a:off x="0" y="0"/>
                      <a:ext cx="5936536" cy="1730209"/>
                    </a:xfrm>
                    <a:prstGeom prst="rect">
                      <a:avLst/>
                    </a:prstGeom>
                    <a:noFill/>
                    <a:ln>
                      <a:noFill/>
                    </a:ln>
                  </pic:spPr>
                </pic:pic>
              </a:graphicData>
            </a:graphic>
          </wp:inline>
        </w:drawing>
      </w:r>
    </w:p>
    <w:p w14:paraId="324D2BDD" w14:textId="77777777" w:rsidR="00BA0B0B" w:rsidRDefault="00BA0B0B" w:rsidP="00527526">
      <w:pPr>
        <w:jc w:val="both"/>
        <w:rPr>
          <w:rFonts w:eastAsiaTheme="minorEastAsia"/>
          <w:b/>
          <w:lang w:val="en-US" w:eastAsia="en-US"/>
        </w:rPr>
      </w:pPr>
    </w:p>
    <w:p w14:paraId="38B3B702" w14:textId="77777777" w:rsidR="00A42AB6" w:rsidRDefault="009734D6" w:rsidP="00527526">
      <w:pPr>
        <w:jc w:val="both"/>
        <w:rPr>
          <w:rFonts w:eastAsiaTheme="minorEastAsia"/>
          <w:bCs/>
          <w:lang w:val="en-BZ" w:eastAsia="zh-CN"/>
        </w:rPr>
      </w:pPr>
      <w:r>
        <w:rPr>
          <w:rFonts w:eastAsiaTheme="minorEastAsia"/>
          <w:b/>
          <w:lang w:val="en-US" w:eastAsia="en-US"/>
        </w:rPr>
        <w:t xml:space="preserve">Fig. </w:t>
      </w:r>
      <w:r>
        <w:rPr>
          <w:rFonts w:eastAsiaTheme="minorEastAsia" w:hint="eastAsia"/>
          <w:b/>
          <w:lang w:val="en-US" w:eastAsia="zh-CN"/>
        </w:rPr>
        <w:t xml:space="preserve">S7 </w:t>
      </w:r>
      <w:r>
        <w:rPr>
          <w:rFonts w:eastAsiaTheme="minorEastAsia"/>
          <w:bCs/>
          <w:lang w:val="en-US" w:eastAsia="zh-CN"/>
        </w:rPr>
        <w:t>With decreasing amplitude of the applied pulse train,</w:t>
      </w:r>
      <w:r>
        <w:rPr>
          <w:rFonts w:eastAsiaTheme="minorEastAsia" w:hint="eastAsia"/>
          <w:bCs/>
          <w:lang w:val="en-US" w:eastAsia="zh-CN"/>
        </w:rPr>
        <w:t xml:space="preserve"> </w:t>
      </w:r>
      <w:r>
        <w:rPr>
          <w:rFonts w:eastAsiaTheme="minorEastAsia" w:hint="eastAsia"/>
          <w:b/>
          <w:lang w:val="en-US" w:eastAsia="zh-CN"/>
        </w:rPr>
        <w:t>a</w:t>
      </w:r>
      <w:r>
        <w:rPr>
          <w:rFonts w:eastAsiaTheme="minorEastAsia" w:hint="eastAsia"/>
          <w:bCs/>
          <w:lang w:val="en-US" w:eastAsia="zh-CN"/>
        </w:rPr>
        <w:t xml:space="preserve"> </w:t>
      </w:r>
      <w:r>
        <w:rPr>
          <w:rFonts w:eastAsiaTheme="minorEastAsia"/>
          <w:bCs/>
          <w:lang w:val="en-US" w:eastAsia="zh-CN"/>
        </w:rPr>
        <w:t xml:space="preserve">device activation transitions from consistent response per pulse at 30 mV, </w:t>
      </w:r>
      <w:r>
        <w:rPr>
          <w:rFonts w:eastAsiaTheme="minorEastAsia" w:hint="eastAsia"/>
          <w:b/>
          <w:lang w:val="en-US" w:eastAsia="zh-CN"/>
        </w:rPr>
        <w:t>b</w:t>
      </w:r>
      <w:r>
        <w:rPr>
          <w:rFonts w:eastAsiaTheme="minorEastAsia" w:hint="eastAsia"/>
          <w:bCs/>
          <w:lang w:val="en-US" w:eastAsia="zh-CN"/>
        </w:rPr>
        <w:t xml:space="preserve"> </w:t>
      </w:r>
      <w:r>
        <w:rPr>
          <w:rFonts w:eastAsiaTheme="minorEastAsia"/>
          <w:bCs/>
          <w:lang w:val="en-US" w:eastAsia="zh-CN"/>
        </w:rPr>
        <w:t>to intermittent response (every 3–4 pulses) at 18 mV,</w:t>
      </w:r>
      <w:r>
        <w:rPr>
          <w:rFonts w:eastAsiaTheme="minorEastAsia" w:hint="eastAsia"/>
          <w:bCs/>
          <w:lang w:val="en-US" w:eastAsia="zh-CN"/>
        </w:rPr>
        <w:t xml:space="preserve"> </w:t>
      </w:r>
      <w:r>
        <w:rPr>
          <w:rFonts w:eastAsiaTheme="minorEastAsia" w:hint="eastAsia"/>
          <w:b/>
          <w:lang w:val="en-US" w:eastAsia="zh-CN"/>
        </w:rPr>
        <w:t>c</w:t>
      </w:r>
      <w:r>
        <w:rPr>
          <w:rFonts w:eastAsiaTheme="minorEastAsia"/>
          <w:b/>
          <w:lang w:val="en-US" w:eastAsia="zh-CN"/>
        </w:rPr>
        <w:t xml:space="preserve"> </w:t>
      </w:r>
      <w:r>
        <w:rPr>
          <w:rFonts w:eastAsiaTheme="minorEastAsia"/>
          <w:bCs/>
          <w:lang w:val="en-US" w:eastAsia="zh-CN"/>
        </w:rPr>
        <w:t>and finally to sparse response (every 10</w:t>
      </w:r>
      <w:r w:rsidR="00F939AD">
        <w:rPr>
          <w:rFonts w:eastAsiaTheme="minorEastAsia" w:hint="eastAsia"/>
          <w:bCs/>
          <w:lang w:val="en-US" w:eastAsia="zh-CN"/>
        </w:rPr>
        <w:t>-12</w:t>
      </w:r>
      <w:r>
        <w:rPr>
          <w:rFonts w:eastAsiaTheme="minorEastAsia"/>
          <w:bCs/>
          <w:lang w:val="en-US" w:eastAsia="zh-CN"/>
        </w:rPr>
        <w:t xml:space="preserve"> pulses) at 15 mV, demonstrating </w:t>
      </w:r>
      <w:r>
        <w:rPr>
          <w:rFonts w:eastAsiaTheme="minorEastAsia"/>
          <w:bCs/>
          <w:lang w:val="en-US" w:eastAsia="zh-CN"/>
        </w:rPr>
        <w:lastRenderedPageBreak/>
        <w:t>accumulation switching behavior.</w:t>
      </w:r>
      <w:r w:rsidR="00527526">
        <w:rPr>
          <w:rFonts w:eastAsiaTheme="minorEastAsia" w:hint="eastAsia"/>
          <w:bCs/>
          <w:lang w:val="en-US" w:eastAsia="zh-CN"/>
        </w:rPr>
        <w:t xml:space="preserve"> </w:t>
      </w:r>
      <w:r w:rsidR="00527526" w:rsidRPr="00527526">
        <w:rPr>
          <w:rFonts w:eastAsiaTheme="minorEastAsia"/>
          <w:bCs/>
          <w:lang w:val="en-BZ" w:eastAsia="zh-CN"/>
        </w:rPr>
        <w:t xml:space="preserve">CC </w:t>
      </w:r>
      <w:r w:rsidR="00527526">
        <w:rPr>
          <w:rFonts w:eastAsiaTheme="minorEastAsia" w:hint="eastAsia"/>
          <w:bCs/>
          <w:lang w:val="en-BZ" w:eastAsia="zh-CN"/>
        </w:rPr>
        <w:t>i</w:t>
      </w:r>
      <w:r w:rsidR="00527526" w:rsidRPr="00527526">
        <w:rPr>
          <w:rFonts w:eastAsiaTheme="minorEastAsia"/>
          <w:bCs/>
          <w:lang w:val="en-BZ" w:eastAsia="zh-CN"/>
        </w:rPr>
        <w:t xml:space="preserve">s defined as 0.5 </w:t>
      </w:r>
      <w:r w:rsidR="00527526" w:rsidRPr="00527526">
        <w:rPr>
          <w:rFonts w:eastAsiaTheme="minorEastAsia"/>
          <w:bCs/>
          <w:lang w:eastAsia="zh-CN"/>
        </w:rPr>
        <w:t>μ</w:t>
      </w:r>
      <w:r w:rsidR="00527526" w:rsidRPr="00527526">
        <w:rPr>
          <w:rFonts w:eastAsiaTheme="minorEastAsia"/>
          <w:bCs/>
          <w:lang w:val="en-BZ" w:eastAsia="zh-CN"/>
        </w:rPr>
        <w:t>A by configuring the pulse testing measurement range.</w:t>
      </w:r>
      <w:r w:rsidR="00CB2B7D">
        <w:rPr>
          <w:rFonts w:eastAsiaTheme="minorEastAsia" w:hint="eastAsia"/>
          <w:bCs/>
          <w:lang w:val="en-BZ" w:eastAsia="zh-CN"/>
        </w:rPr>
        <w:t xml:space="preserve"> </w:t>
      </w:r>
    </w:p>
    <w:p w14:paraId="61AB833C" w14:textId="259FDC79" w:rsidR="007807E7" w:rsidRPr="007807E7" w:rsidRDefault="007807E7" w:rsidP="007807E7">
      <w:pPr>
        <w:jc w:val="both"/>
        <w:rPr>
          <w:rFonts w:eastAsia="等线"/>
          <w:lang w:val="en-US" w:eastAsia="zh-CN"/>
        </w:rPr>
      </w:pPr>
      <w:r w:rsidRPr="007807E7">
        <w:rPr>
          <w:rFonts w:eastAsia="等线"/>
          <w:lang w:val="en-US" w:eastAsia="zh-CN"/>
        </w:rPr>
        <w:t>At 30 mV, the device exhibits robust volatile switching characterized by reliable pulse-to-pulse correspondence, indicative of sustained ion migration and efficient charge transfer. This behavior confirms stable conductive filament formation under repeated electrical stimulation.</w:t>
      </w:r>
    </w:p>
    <w:p w14:paraId="408F64A6" w14:textId="333A5DAB" w:rsidR="007807E7" w:rsidRPr="007807E7" w:rsidRDefault="007807E7" w:rsidP="007807E7">
      <w:pPr>
        <w:jc w:val="both"/>
        <w:rPr>
          <w:rFonts w:eastAsia="等线"/>
          <w:lang w:val="en-US" w:eastAsia="zh-CN"/>
        </w:rPr>
      </w:pPr>
      <w:r w:rsidRPr="007807E7">
        <w:rPr>
          <w:rFonts w:eastAsia="等线"/>
          <w:lang w:val="en-US" w:eastAsia="zh-CN"/>
        </w:rPr>
        <w:t xml:space="preserve">When the voltage is reduced to 18 mV, activation becomes intermittent under continuous pulse sequences, accompanied by oscillatory charge transfer dynamics. This suggests the device approaches an operational threshold where cumulative pulse energy progressively modulates vacancy migration within the IGZO </w:t>
      </w:r>
      <w:r w:rsidR="00A00385" w:rsidRPr="007807E7">
        <w:rPr>
          <w:rFonts w:eastAsia="等线"/>
          <w:lang w:val="en-US" w:eastAsia="zh-CN"/>
        </w:rPr>
        <w:t>layer</w:t>
      </w:r>
      <w:r w:rsidR="00A00385">
        <w:rPr>
          <w:rFonts w:eastAsia="等线" w:hint="eastAsia"/>
          <w:lang w:val="en-US" w:eastAsia="zh-CN"/>
        </w:rPr>
        <w:t>,</w:t>
      </w:r>
      <w:r w:rsidR="00A00385" w:rsidRPr="007807E7">
        <w:rPr>
          <w:rFonts w:eastAsia="等线"/>
          <w:lang w:val="en-US" w:eastAsia="zh-CN"/>
        </w:rPr>
        <w:t xml:space="preserve"> yet</w:t>
      </w:r>
      <w:r w:rsidRPr="007807E7">
        <w:rPr>
          <w:rFonts w:eastAsia="等线"/>
          <w:lang w:val="en-US" w:eastAsia="zh-CN"/>
        </w:rPr>
        <w:t xml:space="preserve"> remains insufficient for consistent switching.</w:t>
      </w:r>
    </w:p>
    <w:p w14:paraId="201BF9D5" w14:textId="58150B12" w:rsidR="00A42AB6" w:rsidRDefault="007807E7" w:rsidP="007807E7">
      <w:pPr>
        <w:jc w:val="both"/>
        <w:rPr>
          <w:rFonts w:eastAsia="等线"/>
          <w:lang w:val="en-US" w:eastAsia="zh-CN"/>
        </w:rPr>
      </w:pPr>
      <w:r w:rsidRPr="007807E7">
        <w:rPr>
          <w:rFonts w:eastAsia="等线"/>
          <w:lang w:val="en-US" w:eastAsia="zh-CN"/>
        </w:rPr>
        <w:t>Further reducing the voltage to 15 mV results in sparse, stochastic activation even under extended pulse sequences. Here, only high-frequency, low-amplitude stimuli can trigger limited ion rearrangement and vacancy migration, implying that minimal energy per pulse restricts conductive pathway formation to rare statistical events.</w:t>
      </w:r>
    </w:p>
    <w:p w14:paraId="17F19A40" w14:textId="77777777" w:rsidR="00B70801" w:rsidRDefault="00B70801" w:rsidP="007807E7">
      <w:pPr>
        <w:jc w:val="both"/>
        <w:rPr>
          <w:rFonts w:eastAsia="等线"/>
          <w:lang w:val="en-US" w:eastAsia="zh-CN"/>
        </w:rPr>
      </w:pPr>
    </w:p>
    <w:p w14:paraId="1B9FE09E" w14:textId="77777777" w:rsidR="00B70801" w:rsidRDefault="00B70801" w:rsidP="00B70801">
      <w:pPr>
        <w:rPr>
          <w:rFonts w:eastAsiaTheme="minorEastAsia"/>
          <w:bCs/>
          <w:lang w:val="en-US" w:eastAsia="zh-CN"/>
        </w:rPr>
      </w:pPr>
    </w:p>
    <w:p w14:paraId="5F78BE8D" w14:textId="1CD86ED1" w:rsidR="00B70801" w:rsidRDefault="00065B14" w:rsidP="00B70801">
      <w:pPr>
        <w:rPr>
          <w:rFonts w:eastAsiaTheme="minorEastAsia"/>
          <w:bCs/>
          <w:lang w:val="en-US" w:eastAsia="zh-CN"/>
        </w:rPr>
      </w:pPr>
      <w:r>
        <w:rPr>
          <w:rFonts w:eastAsiaTheme="minorEastAsia"/>
          <w:bCs/>
          <w:noProof/>
          <w:lang w:val="en-US" w:eastAsia="zh-CN"/>
        </w:rPr>
        <w:drawing>
          <wp:inline distT="0" distB="0" distL="0" distR="0" wp14:anchorId="4EB84B8F" wp14:editId="677888EA">
            <wp:extent cx="5760720" cy="2237740"/>
            <wp:effectExtent l="0" t="0" r="0" b="0"/>
            <wp:docPr id="581692554" name="图片 2"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92554" name="图片 2" descr="图形用户界面&#10;&#10;AI 生成的内容可能不正确。"/>
                    <pic:cNvPicPr/>
                  </pic:nvPicPr>
                  <pic:blipFill>
                    <a:blip r:embed="rId20"/>
                    <a:stretch>
                      <a:fillRect/>
                    </a:stretch>
                  </pic:blipFill>
                  <pic:spPr>
                    <a:xfrm>
                      <a:off x="0" y="0"/>
                      <a:ext cx="5760720" cy="2237740"/>
                    </a:xfrm>
                    <a:prstGeom prst="rect">
                      <a:avLst/>
                    </a:prstGeom>
                  </pic:spPr>
                </pic:pic>
              </a:graphicData>
            </a:graphic>
          </wp:inline>
        </w:drawing>
      </w:r>
    </w:p>
    <w:p w14:paraId="3633070F" w14:textId="76151BF2" w:rsidR="00B70801" w:rsidRPr="00326EE8" w:rsidRDefault="00B70801" w:rsidP="00B70801">
      <w:pPr>
        <w:jc w:val="both"/>
        <w:rPr>
          <w:rFonts w:eastAsiaTheme="minorEastAsia"/>
          <w:bCs/>
          <w:lang w:val="en-US" w:eastAsia="en-US"/>
        </w:rPr>
      </w:pPr>
      <w:r w:rsidRPr="000E3866">
        <w:rPr>
          <w:rFonts w:eastAsiaTheme="minorEastAsia"/>
          <w:b/>
          <w:lang w:val="en-BZ" w:eastAsia="en-US"/>
        </w:rPr>
        <w:t>Fig. S</w:t>
      </w:r>
      <w:r>
        <w:rPr>
          <w:rFonts w:eastAsiaTheme="minorEastAsia" w:hint="eastAsia"/>
          <w:b/>
          <w:lang w:val="en-BZ" w:eastAsia="zh-CN"/>
        </w:rPr>
        <w:t>8</w:t>
      </w:r>
      <w:r w:rsidRPr="000E3866">
        <w:rPr>
          <w:rFonts w:eastAsiaTheme="minorEastAsia"/>
          <w:b/>
          <w:lang w:val="en-BZ" w:eastAsia="en-US"/>
        </w:rPr>
        <w:t xml:space="preserve"> Device resistance state retention under different CC. </w:t>
      </w:r>
      <w:r w:rsidRPr="008E21C9">
        <w:rPr>
          <w:rFonts w:eastAsiaTheme="minorEastAsia"/>
          <w:b/>
          <w:lang w:val="en-BZ" w:eastAsia="en-US"/>
        </w:rPr>
        <w:t>a</w:t>
      </w:r>
      <w:r w:rsidRPr="000E3866">
        <w:rPr>
          <w:rFonts w:eastAsiaTheme="minorEastAsia"/>
          <w:bCs/>
          <w:lang w:val="en-BZ" w:eastAsia="en-US"/>
        </w:rPr>
        <w:t xml:space="preserve"> </w:t>
      </w:r>
      <w:proofErr w:type="gramStart"/>
      <w:r w:rsidRPr="000E3866">
        <w:rPr>
          <w:rFonts w:eastAsiaTheme="minorEastAsia"/>
          <w:bCs/>
          <w:lang w:val="en-BZ" w:eastAsia="en-US"/>
        </w:rPr>
        <w:t>At</w:t>
      </w:r>
      <w:proofErr w:type="gramEnd"/>
      <w:r w:rsidRPr="000E3866">
        <w:rPr>
          <w:rFonts w:eastAsiaTheme="minorEastAsia"/>
          <w:bCs/>
          <w:lang w:val="en-BZ" w:eastAsia="en-US"/>
        </w:rPr>
        <w:t xml:space="preserve"> stage </w:t>
      </w:r>
      <w:r w:rsidRPr="000E3866">
        <w:rPr>
          <w:rFonts w:ascii="Cambria Math" w:eastAsiaTheme="minorEastAsia" w:hAnsi="Cambria Math" w:cs="Cambria Math"/>
          <w:bCs/>
          <w:lang w:val="en-BZ" w:eastAsia="en-US"/>
        </w:rPr>
        <w:t>①</w:t>
      </w:r>
      <w:r w:rsidRPr="000E3866">
        <w:rPr>
          <w:rFonts w:eastAsiaTheme="minorEastAsia"/>
          <w:bCs/>
          <w:lang w:val="en-BZ" w:eastAsia="en-US"/>
        </w:rPr>
        <w:t xml:space="preserve">, 1 mV reading voltage is applied to the initial device, maintaining it in HRS. At stage </w:t>
      </w:r>
      <w:r w:rsidRPr="000E3866">
        <w:rPr>
          <w:rFonts w:ascii="Cambria Math" w:eastAsiaTheme="minorEastAsia" w:hAnsi="Cambria Math" w:cs="Cambria Math"/>
          <w:bCs/>
          <w:lang w:val="en-BZ" w:eastAsia="en-US"/>
        </w:rPr>
        <w:t>②</w:t>
      </w:r>
      <w:r w:rsidRPr="000E3866">
        <w:rPr>
          <w:rFonts w:eastAsiaTheme="minorEastAsia"/>
          <w:bCs/>
          <w:lang w:val="en-BZ" w:eastAsia="en-US"/>
        </w:rPr>
        <w:t xml:space="preserve">, 40 mV </w:t>
      </w:r>
      <w:r w:rsidR="002A5744">
        <w:rPr>
          <w:rFonts w:eastAsiaTheme="minorEastAsia" w:hint="eastAsia"/>
          <w:bCs/>
          <w:lang w:val="en-BZ" w:eastAsia="zh-CN"/>
        </w:rPr>
        <w:t xml:space="preserve">reset </w:t>
      </w:r>
      <w:r w:rsidRPr="000E3866">
        <w:rPr>
          <w:rFonts w:eastAsiaTheme="minorEastAsia"/>
          <w:bCs/>
          <w:lang w:val="en-BZ" w:eastAsia="en-US"/>
        </w:rPr>
        <w:t xml:space="preserve">voltage is applied to switch the device to LRS under different </w:t>
      </w:r>
      <w:r w:rsidRPr="00F22903">
        <w:rPr>
          <w:rFonts w:eastAsiaTheme="minorEastAsia"/>
          <w:bCs/>
          <w:lang w:val="en-BZ" w:eastAsia="en-US"/>
        </w:rPr>
        <w:t xml:space="preserve">CC. At stage </w:t>
      </w:r>
      <w:r w:rsidRPr="00F22903">
        <w:rPr>
          <w:rFonts w:ascii="Cambria Math" w:eastAsiaTheme="minorEastAsia" w:hAnsi="Cambria Math" w:cs="Cambria Math"/>
          <w:bCs/>
          <w:lang w:val="en-BZ" w:eastAsia="en-US"/>
        </w:rPr>
        <w:t>③</w:t>
      </w:r>
      <w:r w:rsidRPr="00F22903">
        <w:rPr>
          <w:rFonts w:eastAsiaTheme="minorEastAsia"/>
          <w:bCs/>
          <w:lang w:val="en-BZ" w:eastAsia="en-US"/>
        </w:rPr>
        <w:t xml:space="preserve">, a 10 mV hold voltage stabilizes the device in LRS. At stage </w:t>
      </w:r>
      <w:r w:rsidRPr="00F22903">
        <w:rPr>
          <w:rFonts w:ascii="Cambria Math" w:eastAsiaTheme="minorEastAsia" w:hAnsi="Cambria Math" w:cs="Cambria Math"/>
          <w:bCs/>
          <w:lang w:val="en-BZ" w:eastAsia="en-US"/>
        </w:rPr>
        <w:t>④</w:t>
      </w:r>
      <w:r w:rsidRPr="00F22903">
        <w:rPr>
          <w:rFonts w:eastAsiaTheme="minorEastAsia"/>
          <w:bCs/>
          <w:lang w:val="en-BZ" w:eastAsia="en-US"/>
        </w:rPr>
        <w:t xml:space="preserve">, the test voltage returns to 1 mV reading voltage, where devices with CC between 100 </w:t>
      </w:r>
      <w:r w:rsidRPr="00F22903">
        <w:rPr>
          <w:rFonts w:eastAsiaTheme="minorEastAsia"/>
          <w:bCs/>
          <w:lang w:eastAsia="en-US"/>
        </w:rPr>
        <w:t>μ</w:t>
      </w:r>
      <w:r w:rsidRPr="00F22903">
        <w:rPr>
          <w:rFonts w:eastAsiaTheme="minorEastAsia"/>
          <w:bCs/>
          <w:lang w:val="en-BZ" w:eastAsia="en-US"/>
        </w:rPr>
        <w:t xml:space="preserve">A and 5 </w:t>
      </w:r>
      <w:r w:rsidRPr="00F22903">
        <w:rPr>
          <w:rFonts w:eastAsiaTheme="minorEastAsia"/>
          <w:bCs/>
          <w:lang w:eastAsia="en-US"/>
        </w:rPr>
        <w:t>μ</w:t>
      </w:r>
      <w:r w:rsidRPr="00F22903">
        <w:rPr>
          <w:rFonts w:eastAsiaTheme="minorEastAsia"/>
          <w:bCs/>
          <w:lang w:val="en-BZ" w:eastAsia="en-US"/>
        </w:rPr>
        <w:t xml:space="preserve">A maintain a stable LRS, demonstrating non-volatility (purple curve), while devices with CC from 1 </w:t>
      </w:r>
      <w:r w:rsidRPr="00F22903">
        <w:rPr>
          <w:rFonts w:eastAsiaTheme="minorEastAsia"/>
          <w:bCs/>
          <w:lang w:eastAsia="en-US"/>
        </w:rPr>
        <w:t>μ</w:t>
      </w:r>
      <w:r w:rsidRPr="00F22903">
        <w:rPr>
          <w:rFonts w:eastAsiaTheme="minorEastAsia"/>
          <w:bCs/>
          <w:lang w:val="en-BZ" w:eastAsia="en-US"/>
        </w:rPr>
        <w:t xml:space="preserve">A to 0.5 </w:t>
      </w:r>
      <w:r w:rsidRPr="00F22903">
        <w:rPr>
          <w:rFonts w:eastAsiaTheme="minorEastAsia"/>
          <w:bCs/>
          <w:lang w:eastAsia="en-US"/>
        </w:rPr>
        <w:t>μ</w:t>
      </w:r>
      <w:r w:rsidRPr="00F22903">
        <w:rPr>
          <w:rFonts w:eastAsiaTheme="minorEastAsia"/>
          <w:bCs/>
          <w:lang w:val="en-BZ" w:eastAsia="en-US"/>
        </w:rPr>
        <w:t>A switch back to HRS, showing volatility (blue curve).</w:t>
      </w:r>
      <w:r w:rsidR="00F22903" w:rsidRPr="00F22903">
        <w:rPr>
          <w:rFonts w:eastAsiaTheme="minorEastAsia"/>
          <w:bCs/>
          <w:lang w:val="en-BZ" w:eastAsia="en-US"/>
        </w:rPr>
        <w:t xml:space="preserve"> At stage </w:t>
      </w:r>
      <w:r w:rsidR="00F22903" w:rsidRPr="00F22903">
        <w:rPr>
          <w:rFonts w:ascii="Cambria Math" w:eastAsiaTheme="minorEastAsia" w:hAnsi="Cambria Math" w:cs="Cambria Math"/>
          <w:bCs/>
          <w:lang w:val="en-BZ" w:eastAsia="zh-CN"/>
        </w:rPr>
        <w:t>⑤</w:t>
      </w:r>
      <w:r w:rsidR="00F22903" w:rsidRPr="00F22903">
        <w:rPr>
          <w:rFonts w:eastAsiaTheme="minorEastAsia"/>
          <w:bCs/>
          <w:lang w:val="en-BZ" w:eastAsia="zh-CN"/>
        </w:rPr>
        <w:t xml:space="preserve">, all devices are </w:t>
      </w:r>
      <w:r w:rsidR="00D32315">
        <w:rPr>
          <w:rFonts w:eastAsiaTheme="minorEastAsia" w:hint="eastAsia"/>
          <w:bCs/>
          <w:lang w:val="en-BZ" w:eastAsia="zh-CN"/>
        </w:rPr>
        <w:t>switched</w:t>
      </w:r>
      <w:r w:rsidR="00F22903" w:rsidRPr="00F22903">
        <w:rPr>
          <w:rFonts w:eastAsiaTheme="minorEastAsia"/>
          <w:bCs/>
          <w:lang w:val="en-BZ" w:eastAsia="zh-CN"/>
        </w:rPr>
        <w:t xml:space="preserve"> to LRS</w:t>
      </w:r>
      <w:r w:rsidR="00D32315">
        <w:rPr>
          <w:rFonts w:eastAsiaTheme="minorEastAsia" w:hint="eastAsia"/>
          <w:bCs/>
          <w:lang w:val="en-BZ" w:eastAsia="zh-CN"/>
        </w:rPr>
        <w:t xml:space="preserve"> with -120 mV reset </w:t>
      </w:r>
      <w:r w:rsidR="00D32315">
        <w:rPr>
          <w:rFonts w:eastAsiaTheme="minorEastAsia"/>
          <w:bCs/>
          <w:lang w:val="en-BZ" w:eastAsia="zh-CN"/>
        </w:rPr>
        <w:t>voltage</w:t>
      </w:r>
      <w:r w:rsidR="00F22903" w:rsidRPr="00F22903">
        <w:rPr>
          <w:rFonts w:eastAsiaTheme="minorEastAsia"/>
          <w:bCs/>
          <w:lang w:val="en-BZ" w:eastAsia="zh-CN"/>
        </w:rPr>
        <w:t>.</w:t>
      </w:r>
      <w:r w:rsidRPr="008E21C9">
        <w:rPr>
          <w:rFonts w:eastAsiaTheme="minorEastAsia"/>
          <w:b/>
          <w:lang w:val="en-BZ" w:eastAsia="en-US"/>
        </w:rPr>
        <w:t xml:space="preserve"> b</w:t>
      </w:r>
      <w:r w:rsidR="00326EE8" w:rsidRPr="008E21C9">
        <w:rPr>
          <w:rFonts w:ascii="宋体" w:eastAsia="宋体" w:hAnsi="宋体" w:cs="宋体"/>
          <w:b/>
          <w:lang w:val="en-US" w:eastAsia="zh-CN"/>
        </w:rPr>
        <w:t xml:space="preserve"> </w:t>
      </w:r>
      <w:r w:rsidR="00326EE8" w:rsidRPr="00326EE8">
        <w:rPr>
          <w:rFonts w:eastAsiaTheme="minorEastAsia"/>
          <w:bCs/>
          <w:lang w:val="en-US" w:eastAsia="en-US"/>
        </w:rPr>
        <w:t xml:space="preserve">The </w:t>
      </w:r>
      <w:r w:rsidR="00326EE8" w:rsidRPr="006B67FC">
        <w:rPr>
          <w:rFonts w:eastAsiaTheme="minorEastAsia"/>
          <w:bCs/>
          <w:lang w:val="en-US" w:eastAsia="en-US"/>
        </w:rPr>
        <w:t xml:space="preserve">device's resistance state under phases </w:t>
      </w:r>
      <w:r w:rsidR="00326EE8" w:rsidRPr="006B67FC">
        <w:rPr>
          <w:rFonts w:ascii="Cambria Math" w:eastAsiaTheme="minorEastAsia" w:hAnsi="Cambria Math" w:cs="Cambria Math"/>
          <w:bCs/>
          <w:lang w:val="en-US" w:eastAsia="en-US"/>
        </w:rPr>
        <w:t>②</w:t>
      </w:r>
      <w:r w:rsidR="00326EE8" w:rsidRPr="006B67FC">
        <w:rPr>
          <w:rFonts w:eastAsiaTheme="minorEastAsia"/>
          <w:bCs/>
          <w:lang w:val="en-US" w:eastAsia="en-US"/>
        </w:rPr>
        <w:t xml:space="preserve"> and </w:t>
      </w:r>
      <w:r w:rsidR="00326EE8" w:rsidRPr="006B67FC">
        <w:rPr>
          <w:rFonts w:ascii="Cambria Math" w:eastAsiaTheme="minorEastAsia" w:hAnsi="Cambria Math" w:cs="Cambria Math"/>
          <w:bCs/>
          <w:lang w:val="en-US" w:eastAsia="en-US"/>
        </w:rPr>
        <w:t>③</w:t>
      </w:r>
      <w:r w:rsidR="006B67FC" w:rsidRPr="006B67FC">
        <w:rPr>
          <w:rFonts w:eastAsiaTheme="minorEastAsia"/>
          <w:bCs/>
          <w:lang w:val="en-US" w:eastAsia="zh-CN"/>
        </w:rPr>
        <w:t>.  To highlight the device's changes at the microsecond level, the y-axis has been adjusted by subtracting the initial test duration</w:t>
      </w:r>
      <w:r w:rsidR="000C19BA">
        <w:rPr>
          <w:rFonts w:eastAsiaTheme="minorEastAsia" w:hint="eastAsia"/>
          <w:bCs/>
          <w:lang w:val="en-US" w:eastAsia="zh-CN"/>
        </w:rPr>
        <w:t xml:space="preserve"> (100 s)</w:t>
      </w:r>
      <w:r w:rsidR="00326EE8" w:rsidRPr="006B67FC">
        <w:rPr>
          <w:rFonts w:eastAsiaTheme="minorEastAsia"/>
          <w:bCs/>
          <w:lang w:val="en-US" w:eastAsia="en-US"/>
        </w:rPr>
        <w:t>.</w:t>
      </w:r>
      <w:r w:rsidRPr="006B67FC">
        <w:rPr>
          <w:rFonts w:eastAsiaTheme="minorEastAsia"/>
          <w:bCs/>
          <w:lang w:val="en-BZ" w:eastAsia="en-US"/>
        </w:rPr>
        <w:t xml:space="preserve"> </w:t>
      </w:r>
      <w:r w:rsidR="00326EE8" w:rsidRPr="006B67FC">
        <w:rPr>
          <w:rFonts w:eastAsiaTheme="minorEastAsia"/>
          <w:bCs/>
          <w:lang w:val="en-BZ" w:eastAsia="en-US"/>
        </w:rPr>
        <w:t xml:space="preserve">It </w:t>
      </w:r>
      <w:r w:rsidR="008C5379" w:rsidRPr="006B67FC">
        <w:rPr>
          <w:rFonts w:eastAsiaTheme="minorEastAsia"/>
          <w:bCs/>
          <w:lang w:val="en-BZ" w:eastAsia="zh-CN"/>
        </w:rPr>
        <w:t>shows</w:t>
      </w:r>
      <w:r w:rsidR="00326EE8" w:rsidRPr="006B67FC">
        <w:rPr>
          <w:rFonts w:eastAsiaTheme="minorEastAsia"/>
          <w:bCs/>
          <w:lang w:val="en-BZ" w:eastAsia="en-US"/>
        </w:rPr>
        <w:t xml:space="preserve"> that devices switching to LRS at lower CC values will self-reset to HRS after the hold voltage is remo</w:t>
      </w:r>
      <w:r w:rsidR="00326EE8" w:rsidRPr="00326EE8">
        <w:rPr>
          <w:rFonts w:eastAsiaTheme="minorEastAsia"/>
          <w:bCs/>
          <w:lang w:val="en-BZ" w:eastAsia="en-US"/>
        </w:rPr>
        <w:t xml:space="preserve">ved, because the conductive filaments generated at low CC values cannot maintain stability and spontaneously rupture upon voltage removal. Thus, by adjusting CC, </w:t>
      </w:r>
      <w:r w:rsidR="00326EE8">
        <w:rPr>
          <w:rFonts w:eastAsiaTheme="minorEastAsia" w:hint="eastAsia"/>
          <w:bCs/>
          <w:lang w:val="en-BZ" w:eastAsia="zh-CN"/>
        </w:rPr>
        <w:t>we can</w:t>
      </w:r>
      <w:r w:rsidR="00326EE8" w:rsidRPr="00326EE8">
        <w:rPr>
          <w:rFonts w:eastAsiaTheme="minorEastAsia"/>
          <w:bCs/>
          <w:lang w:val="en-BZ" w:eastAsia="en-US"/>
        </w:rPr>
        <w:t xml:space="preserve"> switch</w:t>
      </w:r>
      <w:r w:rsidR="00326EE8">
        <w:rPr>
          <w:rFonts w:eastAsiaTheme="minorEastAsia" w:hint="eastAsia"/>
          <w:bCs/>
          <w:lang w:val="en-BZ" w:eastAsia="zh-CN"/>
        </w:rPr>
        <w:t xml:space="preserve"> the state of device</w:t>
      </w:r>
      <w:r w:rsidR="00326EE8" w:rsidRPr="00326EE8">
        <w:rPr>
          <w:rFonts w:eastAsiaTheme="minorEastAsia"/>
          <w:bCs/>
          <w:lang w:val="en-BZ" w:eastAsia="en-US"/>
        </w:rPr>
        <w:t xml:space="preserve"> between long-term non-volatile storage and volatile resistance switching.</w:t>
      </w:r>
    </w:p>
    <w:p w14:paraId="565BD24E" w14:textId="77777777" w:rsidR="00B70801" w:rsidRPr="00B70801" w:rsidRDefault="00B70801" w:rsidP="007807E7">
      <w:pPr>
        <w:jc w:val="both"/>
        <w:rPr>
          <w:rFonts w:eastAsiaTheme="minorEastAsia"/>
          <w:bCs/>
          <w:lang w:val="en-BZ" w:eastAsia="zh-CN"/>
        </w:rPr>
      </w:pPr>
    </w:p>
    <w:p w14:paraId="39F06C93" w14:textId="77777777" w:rsidR="00BA0B0B" w:rsidRDefault="009734D6">
      <w:pPr>
        <w:jc w:val="center"/>
        <w:rPr>
          <w:rFonts w:eastAsiaTheme="minorEastAsia"/>
          <w:bCs/>
          <w:lang w:val="en-US" w:eastAsia="zh-CN"/>
        </w:rPr>
      </w:pPr>
      <w:r>
        <w:rPr>
          <w:rFonts w:eastAsiaTheme="minorEastAsia"/>
          <w:bCs/>
          <w:noProof/>
          <w:lang w:val="en-US" w:eastAsia="zh-CN"/>
        </w:rPr>
        <w:lastRenderedPageBreak/>
        <w:drawing>
          <wp:inline distT="0" distB="0" distL="0" distR="0" wp14:anchorId="2A45E650" wp14:editId="28D2944C">
            <wp:extent cx="4263656" cy="2666886"/>
            <wp:effectExtent l="0" t="0" r="0" b="0"/>
            <wp:docPr id="990723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2344" name="图片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281100" cy="2677797"/>
                    </a:xfrm>
                    <a:prstGeom prst="rect">
                      <a:avLst/>
                    </a:prstGeom>
                    <a:noFill/>
                  </pic:spPr>
                </pic:pic>
              </a:graphicData>
            </a:graphic>
          </wp:inline>
        </w:drawing>
      </w:r>
    </w:p>
    <w:p w14:paraId="570BAE76" w14:textId="2B772F2B" w:rsidR="00BA0B0B" w:rsidRDefault="009734D6">
      <w:pPr>
        <w:rPr>
          <w:rFonts w:eastAsiaTheme="minorEastAsia"/>
          <w:bCs/>
          <w:lang w:val="en-US" w:eastAsia="zh-CN"/>
        </w:rPr>
      </w:pPr>
      <w:bookmarkStart w:id="3" w:name="_Hlk205156629"/>
      <w:r>
        <w:rPr>
          <w:rFonts w:eastAsiaTheme="minorEastAsia"/>
          <w:b/>
          <w:lang w:val="en-US" w:eastAsia="en-US"/>
        </w:rPr>
        <w:t xml:space="preserve">Fig. </w:t>
      </w:r>
      <w:r>
        <w:rPr>
          <w:rFonts w:eastAsiaTheme="minorEastAsia" w:hint="eastAsia"/>
          <w:b/>
          <w:lang w:val="en-US" w:eastAsia="zh-CN"/>
        </w:rPr>
        <w:t>S</w:t>
      </w:r>
      <w:bookmarkEnd w:id="3"/>
      <w:r w:rsidR="00B70801">
        <w:rPr>
          <w:rFonts w:eastAsiaTheme="minorEastAsia" w:hint="eastAsia"/>
          <w:b/>
          <w:lang w:val="en-US" w:eastAsia="zh-CN"/>
        </w:rPr>
        <w:t>9</w:t>
      </w:r>
      <w:r>
        <w:rPr>
          <w:rFonts w:eastAsiaTheme="minorEastAsia" w:hint="eastAsia"/>
          <w:b/>
          <w:lang w:val="en-US" w:eastAsia="zh-CN"/>
        </w:rPr>
        <w:t xml:space="preserve"> </w:t>
      </w:r>
      <w:r>
        <w:rPr>
          <w:rFonts w:eastAsiaTheme="minorEastAsia"/>
          <w:bCs/>
          <w:lang w:val="en-US" w:eastAsia="zh-CN"/>
        </w:rPr>
        <w:t xml:space="preserve">Scatter distribution of hold and set voltages across 100 devices. A </w:t>
      </w:r>
      <w:r>
        <w:rPr>
          <w:rFonts w:ascii="Cambria Math" w:eastAsiaTheme="minorEastAsia" w:hAnsi="Cambria Math" w:cs="Cambria Math"/>
          <w:bCs/>
          <w:lang w:val="en-US" w:eastAsia="zh-CN"/>
        </w:rPr>
        <w:t>∼</w:t>
      </w:r>
      <w:r>
        <w:rPr>
          <w:rFonts w:eastAsiaTheme="minorEastAsia"/>
          <w:bCs/>
          <w:lang w:val="en-US" w:eastAsia="zh-CN"/>
        </w:rPr>
        <w:t>7 mV margin between maximum hold voltage and minimum set voltage prevents unintended switching during hold-voltage application.</w:t>
      </w:r>
    </w:p>
    <w:p w14:paraId="12103A88" w14:textId="77777777" w:rsidR="00BA0B0B" w:rsidRDefault="00BA0B0B">
      <w:pPr>
        <w:rPr>
          <w:rFonts w:eastAsiaTheme="minorEastAsia"/>
          <w:bCs/>
          <w:lang w:val="en-US" w:eastAsia="zh-CN"/>
        </w:rPr>
      </w:pPr>
    </w:p>
    <w:p w14:paraId="690A7409" w14:textId="24E3DE6E" w:rsidR="00BA0B0B" w:rsidRDefault="00D97C52">
      <w:pPr>
        <w:jc w:val="center"/>
        <w:rPr>
          <w:rFonts w:eastAsiaTheme="minorEastAsia"/>
          <w:bCs/>
          <w:lang w:val="en-US" w:eastAsia="zh-CN"/>
        </w:rPr>
      </w:pPr>
      <w:r>
        <w:rPr>
          <w:noProof/>
          <w:sz w:val="16"/>
          <w:szCs w:val="16"/>
          <w:lang w:val="zh-CN"/>
        </w:rPr>
        <w:drawing>
          <wp:inline distT="0" distB="0" distL="0" distR="0" wp14:anchorId="54D8DD61" wp14:editId="71799C94">
            <wp:extent cx="3976577" cy="3301101"/>
            <wp:effectExtent l="0" t="0" r="5080" b="0"/>
            <wp:docPr id="457519614" name="图片 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19614" name="图片 2" descr="图示&#10;&#10;AI 生成的内容可能不正确。"/>
                    <pic:cNvPicPr/>
                  </pic:nvPicPr>
                  <pic:blipFill>
                    <a:blip r:embed="rId22"/>
                    <a:stretch>
                      <a:fillRect/>
                    </a:stretch>
                  </pic:blipFill>
                  <pic:spPr>
                    <a:xfrm>
                      <a:off x="0" y="0"/>
                      <a:ext cx="3991885" cy="3313808"/>
                    </a:xfrm>
                    <a:prstGeom prst="rect">
                      <a:avLst/>
                    </a:prstGeom>
                  </pic:spPr>
                </pic:pic>
              </a:graphicData>
            </a:graphic>
          </wp:inline>
        </w:drawing>
      </w:r>
    </w:p>
    <w:p w14:paraId="11A3DA2A" w14:textId="0A073F86" w:rsidR="00CD2049" w:rsidRDefault="009734D6" w:rsidP="00D96C19">
      <w:pPr>
        <w:jc w:val="both"/>
        <w:rPr>
          <w:rFonts w:eastAsiaTheme="minorEastAsia"/>
          <w:bCs/>
          <w:lang w:val="en-BZ" w:eastAsia="zh-CN"/>
        </w:rPr>
      </w:pPr>
      <w:bookmarkStart w:id="4" w:name="OLE_LINK3"/>
      <w:r>
        <w:rPr>
          <w:rFonts w:eastAsiaTheme="minorEastAsia"/>
          <w:b/>
          <w:lang w:val="en-US" w:eastAsia="en-US"/>
        </w:rPr>
        <w:t xml:space="preserve">Fig. </w:t>
      </w:r>
      <w:r>
        <w:rPr>
          <w:rFonts w:eastAsiaTheme="minorEastAsia" w:hint="eastAsia"/>
          <w:b/>
          <w:lang w:val="en-US" w:eastAsia="zh-CN"/>
        </w:rPr>
        <w:t>S</w:t>
      </w:r>
      <w:r w:rsidR="00B70801">
        <w:rPr>
          <w:rFonts w:eastAsiaTheme="minorEastAsia" w:hint="eastAsia"/>
          <w:b/>
          <w:lang w:val="en-US" w:eastAsia="zh-CN"/>
        </w:rPr>
        <w:t>10</w:t>
      </w:r>
      <w:r>
        <w:rPr>
          <w:rFonts w:eastAsiaTheme="minorEastAsia"/>
          <w:sz w:val="20"/>
          <w:szCs w:val="20"/>
          <w:lang w:val="en-US" w:eastAsia="en-US"/>
        </w:rPr>
        <w:t xml:space="preserve"> </w:t>
      </w:r>
      <w:r>
        <w:rPr>
          <w:rFonts w:eastAsiaTheme="minorEastAsia"/>
          <w:b/>
          <w:lang w:val="en-US" w:eastAsia="zh-CN"/>
        </w:rPr>
        <w:t>The trend of power consumption of the device under different compliance currents and operating voltages</w:t>
      </w:r>
      <w:r w:rsidR="00510100">
        <w:rPr>
          <w:rFonts w:eastAsiaTheme="minorEastAsia" w:hint="eastAsia"/>
          <w:b/>
          <w:lang w:val="en-US" w:eastAsia="zh-CN"/>
        </w:rPr>
        <w:t xml:space="preserve"> for non-volatile switching</w:t>
      </w:r>
      <w:r>
        <w:rPr>
          <w:rFonts w:eastAsiaTheme="minorEastAsia"/>
          <w:b/>
          <w:lang w:val="en-US" w:eastAsia="zh-CN"/>
        </w:rPr>
        <w:t xml:space="preserve">. </w:t>
      </w:r>
      <w:r>
        <w:rPr>
          <w:rFonts w:eastAsiaTheme="minorEastAsia"/>
          <w:bCs/>
          <w:lang w:val="en-US" w:eastAsia="zh-CN"/>
        </w:rPr>
        <w:t xml:space="preserve">Lower compliance currents reduce operational power consumption; however, when combined with lower operating pulse voltages, this leads to an increase in the number of pulses required for switching, which in turn raises overall power consumption. </w:t>
      </w:r>
      <w:r w:rsidR="00CD2049" w:rsidRPr="00CD2049">
        <w:rPr>
          <w:rFonts w:eastAsiaTheme="minorEastAsia"/>
          <w:bCs/>
          <w:lang w:val="en-BZ" w:eastAsia="zh-CN"/>
        </w:rPr>
        <w:t xml:space="preserve">According to the </w:t>
      </w:r>
      <w:r w:rsidR="00CD2049">
        <w:rPr>
          <w:rFonts w:eastAsiaTheme="minorEastAsia" w:hint="eastAsia"/>
          <w:bCs/>
          <w:lang w:val="en-BZ" w:eastAsia="zh-CN"/>
        </w:rPr>
        <w:t xml:space="preserve">energy </w:t>
      </w:r>
      <w:r w:rsidR="00CD2049" w:rsidRPr="00CD2049">
        <w:rPr>
          <w:rFonts w:eastAsiaTheme="minorEastAsia"/>
          <w:bCs/>
          <w:lang w:val="en-BZ" w:eastAsia="zh-CN"/>
        </w:rPr>
        <w:t>formula</w:t>
      </w:r>
      <w:r w:rsidR="00CD2049">
        <w:rPr>
          <w:rFonts w:eastAsiaTheme="minorEastAsia" w:hint="eastAsia"/>
          <w:bCs/>
          <w:lang w:val="en-BZ" w:eastAsia="zh-CN"/>
        </w:rPr>
        <w:t>:</w:t>
      </w:r>
      <w:r w:rsidR="00CD2049" w:rsidRPr="00CD2049">
        <w:rPr>
          <w:rFonts w:eastAsiaTheme="minorEastAsia"/>
          <w:bCs/>
          <w:lang w:val="en-BZ" w:eastAsia="zh-CN"/>
        </w:rPr>
        <w:t> </w:t>
      </w:r>
    </w:p>
    <w:p w14:paraId="236F93A7" w14:textId="5C6984DE" w:rsidR="00CD2049" w:rsidRPr="005B5EB2" w:rsidRDefault="00CD2049" w:rsidP="00CD2049">
      <w:pPr>
        <w:jc w:val="center"/>
        <w:rPr>
          <w:rFonts w:eastAsiaTheme="minorEastAsia"/>
          <w:bCs/>
          <w:i/>
          <w:iCs/>
          <w:lang w:val="en-BZ" w:eastAsia="zh-CN"/>
        </w:rPr>
      </w:pPr>
      <w:r w:rsidRPr="005B5EB2">
        <w:rPr>
          <w:rFonts w:ascii="Cambria Math" w:eastAsiaTheme="minorEastAsia" w:hAnsi="Cambria Math" w:cs="Cambria Math"/>
          <w:bCs/>
          <w:lang w:eastAsia="zh-CN"/>
        </w:rPr>
        <w:t>𝐸</w:t>
      </w:r>
      <w:r w:rsidRPr="005B5EB2">
        <w:rPr>
          <w:rFonts w:eastAsiaTheme="minorEastAsia"/>
          <w:bCs/>
          <w:lang w:val="en-BZ" w:eastAsia="zh-CN"/>
        </w:rPr>
        <w:t>=</w:t>
      </w:r>
      <w:r w:rsidRPr="005B5EB2">
        <w:rPr>
          <w:rFonts w:ascii="Cambria Math" w:eastAsiaTheme="minorEastAsia" w:hAnsi="Cambria Math" w:cs="Cambria Math"/>
          <w:bCs/>
          <w:lang w:eastAsia="zh-CN"/>
        </w:rPr>
        <w:t>𝐼</w:t>
      </w:r>
      <w:r w:rsidR="000B1A78" w:rsidRPr="005B5EB2">
        <w:rPr>
          <w:rFonts w:eastAsiaTheme="minorEastAsia"/>
          <w:bCs/>
          <w:vertAlign w:val="subscript"/>
          <w:lang w:val="en-BZ" w:eastAsia="zh-CN"/>
        </w:rPr>
        <w:t>cc</w:t>
      </w:r>
      <w:r w:rsidRPr="005B5EB2">
        <w:rPr>
          <w:rFonts w:ascii="Cambria Math" w:eastAsiaTheme="minorEastAsia" w:hAnsi="Cambria Math" w:cs="Cambria Math"/>
          <w:bCs/>
          <w:lang w:val="en-BZ" w:eastAsia="zh-CN"/>
        </w:rPr>
        <w:t>⋅</w:t>
      </w:r>
      <w:r w:rsidRPr="005B5EB2">
        <w:rPr>
          <w:rFonts w:ascii="Cambria Math" w:eastAsiaTheme="minorEastAsia" w:hAnsi="Cambria Math" w:cs="Cambria Math"/>
          <w:bCs/>
          <w:lang w:eastAsia="zh-CN"/>
        </w:rPr>
        <w:t>𝑉</w:t>
      </w:r>
      <w:r w:rsidRPr="005B5EB2">
        <w:rPr>
          <w:rFonts w:ascii="Cambria Math" w:eastAsiaTheme="minorEastAsia" w:hAnsi="Cambria Math" w:cs="Cambria Math"/>
          <w:bCs/>
          <w:lang w:val="en-BZ" w:eastAsia="zh-CN"/>
        </w:rPr>
        <w:t>⋅</w:t>
      </w:r>
      <w:r w:rsidRPr="005B5EB2">
        <w:rPr>
          <w:rFonts w:ascii="Cambria Math" w:eastAsiaTheme="minorEastAsia" w:hAnsi="Cambria Math" w:cs="Cambria Math"/>
          <w:bCs/>
          <w:lang w:eastAsia="zh-CN"/>
        </w:rPr>
        <w:t>𝑇</w:t>
      </w:r>
    </w:p>
    <w:p w14:paraId="511269D7" w14:textId="1C92908B" w:rsidR="00BA0B0B" w:rsidRPr="005B5EB2" w:rsidRDefault="000B1A78" w:rsidP="00D96C19">
      <w:pPr>
        <w:jc w:val="both"/>
        <w:rPr>
          <w:rFonts w:eastAsiaTheme="minorEastAsia"/>
          <w:bCs/>
          <w:lang w:val="en-US" w:eastAsia="zh-CN"/>
        </w:rPr>
      </w:pPr>
      <w:r w:rsidRPr="005B5EB2">
        <w:rPr>
          <w:rFonts w:eastAsiaTheme="minorEastAsia"/>
          <w:bCs/>
          <w:lang w:val="en-BZ" w:eastAsia="zh-CN"/>
        </w:rPr>
        <w:t xml:space="preserve">Where </w:t>
      </w:r>
      <w:r w:rsidRPr="005B5EB2">
        <w:rPr>
          <w:rFonts w:ascii="Cambria Math" w:eastAsiaTheme="minorEastAsia" w:hAnsi="Cambria Math" w:cs="Cambria Math"/>
          <w:bCs/>
          <w:lang w:eastAsia="zh-CN"/>
        </w:rPr>
        <w:t>𝐼</w:t>
      </w:r>
      <w:r w:rsidRPr="005B5EB2">
        <w:rPr>
          <w:rFonts w:eastAsiaTheme="minorEastAsia"/>
          <w:bCs/>
          <w:vertAlign w:val="subscript"/>
          <w:lang w:val="en-BZ" w:eastAsia="zh-CN"/>
        </w:rPr>
        <w:t>cc</w:t>
      </w:r>
      <w:r w:rsidRPr="005B5EB2">
        <w:rPr>
          <w:rFonts w:eastAsiaTheme="minorEastAsia"/>
          <w:bCs/>
          <w:lang w:val="en-BZ" w:eastAsia="zh-CN"/>
        </w:rPr>
        <w:t xml:space="preserve"> is CC, </w:t>
      </w:r>
      <w:r w:rsidRPr="005B5EB2">
        <w:rPr>
          <w:rFonts w:eastAsiaTheme="minorEastAsia"/>
          <w:bCs/>
          <w:i/>
          <w:iCs/>
          <w:lang w:val="en-BZ" w:eastAsia="zh-CN"/>
        </w:rPr>
        <w:t>V</w:t>
      </w:r>
      <w:r w:rsidRPr="005B5EB2">
        <w:rPr>
          <w:rFonts w:eastAsiaTheme="minorEastAsia"/>
          <w:bCs/>
          <w:lang w:val="en-BZ" w:eastAsia="zh-CN"/>
        </w:rPr>
        <w:t xml:space="preserve"> is the pulse</w:t>
      </w:r>
      <w:r w:rsidR="00CD2049" w:rsidRPr="005B5EB2">
        <w:rPr>
          <w:rFonts w:eastAsiaTheme="minorEastAsia"/>
          <w:bCs/>
          <w:lang w:val="en-US" w:eastAsia="zh-CN"/>
        </w:rPr>
        <w:t xml:space="preserve"> </w:t>
      </w:r>
      <w:r w:rsidRPr="005B5EB2">
        <w:rPr>
          <w:rFonts w:eastAsiaTheme="minorEastAsia"/>
          <w:bCs/>
          <w:lang w:val="en-US" w:eastAsia="zh-CN"/>
        </w:rPr>
        <w:t xml:space="preserve">amplitude and </w:t>
      </w:r>
      <w:r w:rsidRPr="005B5EB2">
        <w:rPr>
          <w:rFonts w:eastAsiaTheme="minorEastAsia"/>
          <w:bCs/>
          <w:i/>
          <w:iCs/>
          <w:lang w:val="en-US" w:eastAsia="zh-CN"/>
        </w:rPr>
        <w:t>T</w:t>
      </w:r>
      <w:r w:rsidRPr="005B5EB2">
        <w:rPr>
          <w:rFonts w:eastAsiaTheme="minorEastAsia"/>
          <w:bCs/>
          <w:lang w:val="en-US" w:eastAsia="zh-CN"/>
        </w:rPr>
        <w:t xml:space="preserve"> is the switching speed.</w:t>
      </w:r>
      <w:r w:rsidR="00D96C19" w:rsidRPr="005B5EB2">
        <w:rPr>
          <w:rFonts w:eastAsiaTheme="minorEastAsia"/>
          <w:bCs/>
          <w:lang w:val="en-US" w:eastAsia="zh-CN"/>
        </w:rPr>
        <w:t xml:space="preserve"> </w:t>
      </w:r>
      <w:r w:rsidR="00CD2049" w:rsidRPr="005B5EB2">
        <w:rPr>
          <w:rFonts w:eastAsiaTheme="minorEastAsia"/>
          <w:bCs/>
          <w:lang w:val="en-US" w:eastAsia="zh-CN"/>
        </w:rPr>
        <w:t>T</w:t>
      </w:r>
      <w:r w:rsidRPr="005B5EB2">
        <w:rPr>
          <w:rFonts w:eastAsiaTheme="minorEastAsia"/>
          <w:bCs/>
          <w:lang w:val="en-US" w:eastAsia="zh-CN"/>
        </w:rPr>
        <w:t>he device achieves a minimum operating voltage as low as</w:t>
      </w:r>
      <w:r w:rsidR="00D96C19" w:rsidRPr="005B5EB2">
        <w:rPr>
          <w:rFonts w:eastAsiaTheme="minorEastAsia"/>
          <w:bCs/>
          <w:lang w:val="en-US" w:eastAsia="zh-CN"/>
        </w:rPr>
        <w:t xml:space="preserve"> 1.44 fJ for volatile switching </w:t>
      </w:r>
      <w:bookmarkStart w:id="5" w:name="OLE_LINK15"/>
      <w:r w:rsidR="00D96C19" w:rsidRPr="005B5EB2">
        <w:rPr>
          <w:rFonts w:eastAsiaTheme="minorEastAsia"/>
          <w:lang w:val="en-US" w:eastAsia="zh-CN"/>
        </w:rPr>
        <w:t>(40 mV pulse voltage; 500 nA CC and 72 ns switching speed)</w:t>
      </w:r>
      <w:bookmarkEnd w:id="5"/>
      <w:r w:rsidR="00D96C19" w:rsidRPr="005B5EB2">
        <w:rPr>
          <w:rFonts w:eastAsiaTheme="minorEastAsia"/>
          <w:bCs/>
          <w:lang w:val="en-US" w:eastAsia="zh-CN"/>
        </w:rPr>
        <w:t xml:space="preserve"> and</w:t>
      </w:r>
      <w:r w:rsidRPr="005B5EB2">
        <w:rPr>
          <w:rFonts w:eastAsiaTheme="minorEastAsia"/>
          <w:bCs/>
          <w:lang w:val="en-US" w:eastAsia="zh-CN"/>
        </w:rPr>
        <w:t xml:space="preserve"> </w:t>
      </w:r>
      <w:bookmarkStart w:id="6" w:name="_Hlk205188934"/>
      <w:r w:rsidRPr="005B5EB2">
        <w:rPr>
          <w:rFonts w:eastAsiaTheme="minorEastAsia"/>
          <w:bCs/>
          <w:lang w:val="en-US" w:eastAsia="zh-CN"/>
        </w:rPr>
        <w:t>248.2 fJ</w:t>
      </w:r>
      <w:bookmarkEnd w:id="6"/>
      <w:r w:rsidRPr="005B5EB2">
        <w:rPr>
          <w:rFonts w:eastAsiaTheme="minorEastAsia"/>
          <w:bCs/>
          <w:lang w:val="en-US" w:eastAsia="zh-CN"/>
        </w:rPr>
        <w:t xml:space="preserve"> </w:t>
      </w:r>
      <w:r w:rsidRPr="005B5EB2">
        <w:rPr>
          <w:rFonts w:eastAsiaTheme="minorEastAsia"/>
          <w:lang w:val="en-US" w:eastAsia="zh-CN"/>
        </w:rPr>
        <w:t>for non-volatile switching</w:t>
      </w:r>
      <w:r w:rsidR="00D96C19" w:rsidRPr="005B5EB2">
        <w:rPr>
          <w:rFonts w:eastAsiaTheme="minorEastAsia"/>
          <w:lang w:val="en-US" w:eastAsia="zh-CN"/>
        </w:rPr>
        <w:t xml:space="preserve"> (40 mV pulse voltage; 5 μA CC and 124 ns switching speed)</w:t>
      </w:r>
      <w:r w:rsidRPr="005B5EB2">
        <w:rPr>
          <w:rFonts w:eastAsiaTheme="minorEastAsia"/>
          <w:bCs/>
          <w:lang w:val="en-US" w:eastAsia="zh-CN"/>
        </w:rPr>
        <w:t>.</w:t>
      </w:r>
    </w:p>
    <w:p w14:paraId="72BF42BD" w14:textId="77777777" w:rsidR="003A7EB6" w:rsidRDefault="003A7EB6" w:rsidP="00D96C19">
      <w:pPr>
        <w:jc w:val="both"/>
        <w:rPr>
          <w:rFonts w:eastAsiaTheme="minorEastAsia"/>
          <w:bCs/>
          <w:lang w:val="en-US" w:eastAsia="zh-CN"/>
        </w:rPr>
      </w:pPr>
    </w:p>
    <w:bookmarkEnd w:id="4"/>
    <w:p w14:paraId="4A733E83" w14:textId="77777777" w:rsidR="00BA0B0B" w:rsidRDefault="009734D6">
      <w:pPr>
        <w:jc w:val="center"/>
        <w:rPr>
          <w:rFonts w:eastAsiaTheme="minorEastAsia"/>
          <w:bCs/>
          <w:lang w:val="en-US" w:eastAsia="zh-CN"/>
        </w:rPr>
      </w:pPr>
      <w:r>
        <w:rPr>
          <w:rFonts w:eastAsiaTheme="minorEastAsia"/>
          <w:bCs/>
          <w:noProof/>
          <w:lang w:val="en-US" w:eastAsia="zh-CN"/>
        </w:rPr>
        <w:lastRenderedPageBreak/>
        <w:drawing>
          <wp:inline distT="0" distB="0" distL="0" distR="0" wp14:anchorId="75252257" wp14:editId="6CD1D263">
            <wp:extent cx="3657600" cy="5443824"/>
            <wp:effectExtent l="0" t="0" r="0" b="0"/>
            <wp:docPr id="10364562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56244" name="图片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667504" cy="5458565"/>
                    </a:xfrm>
                    <a:prstGeom prst="rect">
                      <a:avLst/>
                    </a:prstGeom>
                    <a:noFill/>
                  </pic:spPr>
                </pic:pic>
              </a:graphicData>
            </a:graphic>
          </wp:inline>
        </w:drawing>
      </w:r>
    </w:p>
    <w:p w14:paraId="42320686" w14:textId="104053CA" w:rsidR="00BA0B0B" w:rsidRPr="005515B2" w:rsidRDefault="009734D6" w:rsidP="005515B2">
      <w:pPr>
        <w:jc w:val="both"/>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S1</w:t>
      </w:r>
      <w:r w:rsidR="00B70801">
        <w:rPr>
          <w:rFonts w:eastAsiaTheme="minorEastAsia" w:hint="eastAsia"/>
          <w:b/>
          <w:lang w:val="en-US" w:eastAsia="zh-CN"/>
        </w:rPr>
        <w:t>1</w:t>
      </w:r>
      <w:r>
        <w:rPr>
          <w:rFonts w:eastAsiaTheme="minorEastAsia"/>
          <w:sz w:val="20"/>
          <w:szCs w:val="20"/>
          <w:lang w:val="en-US" w:eastAsia="en-US"/>
        </w:rPr>
        <w:t xml:space="preserve"> </w:t>
      </w:r>
      <w:r>
        <w:rPr>
          <w:rFonts w:eastAsiaTheme="minorEastAsia"/>
          <w:b/>
          <w:lang w:val="en-US" w:eastAsia="zh-CN"/>
        </w:rPr>
        <w:t>TEM cross-sectional characterization of SiN</w:t>
      </w:r>
      <w:r w:rsidRPr="00510100">
        <w:rPr>
          <w:rFonts w:eastAsiaTheme="minorEastAsia"/>
          <w:b/>
          <w:vertAlign w:val="subscript"/>
          <w:lang w:val="en-US" w:eastAsia="zh-CN"/>
        </w:rPr>
        <w:t>x</w:t>
      </w:r>
      <w:r>
        <w:rPr>
          <w:rFonts w:eastAsiaTheme="minorEastAsia"/>
          <w:b/>
          <w:lang w:val="en-US" w:eastAsia="zh-CN"/>
        </w:rPr>
        <w:t xml:space="preserve"> layers with varying contrast. </w:t>
      </w:r>
      <w:r>
        <w:rPr>
          <w:rFonts w:eastAsiaTheme="minorEastAsia" w:hint="eastAsia"/>
          <w:b/>
          <w:lang w:val="en-US" w:eastAsia="zh-CN"/>
        </w:rPr>
        <w:t>a</w:t>
      </w:r>
      <w:r>
        <w:rPr>
          <w:rFonts w:eastAsiaTheme="minorEastAsia"/>
          <w:b/>
          <w:lang w:val="en-US" w:eastAsia="zh-CN"/>
        </w:rPr>
        <w:t xml:space="preserve"> </w:t>
      </w:r>
      <w:r>
        <w:rPr>
          <w:rFonts w:eastAsiaTheme="minorEastAsia"/>
          <w:bCs/>
          <w:lang w:val="en-US" w:eastAsia="zh-CN"/>
        </w:rPr>
        <w:t xml:space="preserve">Original TEM characterization of the thin film cross-section; </w:t>
      </w:r>
      <w:r>
        <w:rPr>
          <w:rFonts w:eastAsiaTheme="minorEastAsia" w:hint="eastAsia"/>
          <w:b/>
          <w:lang w:val="en-US" w:eastAsia="zh-CN"/>
        </w:rPr>
        <w:t>b</w:t>
      </w:r>
      <w:r>
        <w:rPr>
          <w:rFonts w:eastAsiaTheme="minorEastAsia"/>
          <w:bCs/>
          <w:lang w:val="en-US" w:eastAsia="zh-CN"/>
        </w:rPr>
        <w:t xml:space="preserve"> TEM characterization of the SiN</w:t>
      </w:r>
      <w:r w:rsidRPr="00510100">
        <w:rPr>
          <w:rFonts w:eastAsiaTheme="minorEastAsia"/>
          <w:bCs/>
          <w:vertAlign w:val="subscript"/>
          <w:lang w:val="en-US" w:eastAsia="zh-CN"/>
        </w:rPr>
        <w:t>x</w:t>
      </w:r>
      <w:r>
        <w:rPr>
          <w:rFonts w:eastAsiaTheme="minorEastAsia"/>
          <w:bCs/>
          <w:lang w:val="en-US" w:eastAsia="zh-CN"/>
        </w:rPr>
        <w:t xml:space="preserve"> thin film cross-section after a fivefold increase in contrast, revealing blurred channels;</w:t>
      </w:r>
      <w:r>
        <w:rPr>
          <w:rFonts w:eastAsiaTheme="minorEastAsia"/>
          <w:b/>
          <w:lang w:val="en-US" w:eastAsia="zh-CN"/>
        </w:rPr>
        <w:t xml:space="preserve"> </w:t>
      </w:r>
      <w:r>
        <w:rPr>
          <w:rFonts w:eastAsiaTheme="minorEastAsia" w:hint="eastAsia"/>
          <w:b/>
          <w:lang w:val="en-US" w:eastAsia="zh-CN"/>
        </w:rPr>
        <w:t>c</w:t>
      </w:r>
      <w:r>
        <w:rPr>
          <w:rFonts w:eastAsiaTheme="minorEastAsia"/>
          <w:b/>
          <w:lang w:val="en-US" w:eastAsia="zh-CN"/>
        </w:rPr>
        <w:t xml:space="preserve"> </w:t>
      </w:r>
      <w:r>
        <w:rPr>
          <w:rFonts w:eastAsiaTheme="minorEastAsia"/>
          <w:bCs/>
          <w:lang w:val="en-US" w:eastAsia="zh-CN"/>
        </w:rPr>
        <w:t>TEM characterization of the SiN</w:t>
      </w:r>
      <w:r w:rsidRPr="00510100">
        <w:rPr>
          <w:rFonts w:eastAsiaTheme="minorEastAsia"/>
          <w:bCs/>
          <w:vertAlign w:val="subscript"/>
          <w:lang w:val="en-US" w:eastAsia="zh-CN"/>
        </w:rPr>
        <w:t>x</w:t>
      </w:r>
      <w:r>
        <w:rPr>
          <w:rFonts w:eastAsiaTheme="minorEastAsia"/>
          <w:bCs/>
          <w:lang w:val="en-US" w:eastAsia="zh-CN"/>
        </w:rPr>
        <w:t xml:space="preserve"> thin film cross-section after a tenfold increase in contrast, clearly illustrating distinct vacancy channels.</w:t>
      </w:r>
      <w:r w:rsidR="005515B2">
        <w:rPr>
          <w:rFonts w:eastAsiaTheme="minorEastAsia" w:hint="eastAsia"/>
          <w:bCs/>
          <w:lang w:val="en-US" w:eastAsia="zh-CN"/>
        </w:rPr>
        <w:t xml:space="preserve"> </w:t>
      </w:r>
      <w:r w:rsidR="005515B2" w:rsidRPr="005515B2">
        <w:rPr>
          <w:rFonts w:eastAsiaTheme="minorEastAsia"/>
          <w:bCs/>
          <w:lang w:val="en-US" w:eastAsia="zh-CN"/>
        </w:rPr>
        <w:t>Further comprehensive experimental validation of this conclusion is precluded at this stage by the constraints of the available characterization platform.</w:t>
      </w:r>
    </w:p>
    <w:p w14:paraId="4DC06906" w14:textId="77777777" w:rsidR="00BA0B0B" w:rsidRPr="005515B2" w:rsidRDefault="00BA0B0B">
      <w:pPr>
        <w:rPr>
          <w:rFonts w:eastAsiaTheme="minorEastAsia"/>
          <w:bCs/>
          <w:lang w:val="en-US" w:eastAsia="zh-CN"/>
        </w:rPr>
      </w:pPr>
    </w:p>
    <w:p w14:paraId="143121D7" w14:textId="0987F48F" w:rsidR="00BA0B0B" w:rsidRDefault="00497B66">
      <w:pPr>
        <w:jc w:val="center"/>
        <w:rPr>
          <w:rFonts w:eastAsiaTheme="minorEastAsia"/>
          <w:bCs/>
          <w:lang w:val="en-US" w:eastAsia="zh-CN"/>
        </w:rPr>
      </w:pPr>
      <w:r>
        <w:rPr>
          <w:rFonts w:eastAsiaTheme="minorEastAsia"/>
          <w:bCs/>
          <w:noProof/>
          <w:lang w:val="en-US" w:eastAsia="zh-CN"/>
        </w:rPr>
        <w:drawing>
          <wp:inline distT="0" distB="0" distL="0" distR="0" wp14:anchorId="3FBDC9C5" wp14:editId="4CED994D">
            <wp:extent cx="5760720" cy="2026920"/>
            <wp:effectExtent l="0" t="0" r="0" b="0"/>
            <wp:docPr id="713256070" name="图片 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56070" name="图片 3" descr="图表&#10;&#10;AI 生成的内容可能不正确。"/>
                    <pic:cNvPicPr/>
                  </pic:nvPicPr>
                  <pic:blipFill>
                    <a:blip r:embed="rId24"/>
                    <a:stretch>
                      <a:fillRect/>
                    </a:stretch>
                  </pic:blipFill>
                  <pic:spPr>
                    <a:xfrm>
                      <a:off x="0" y="0"/>
                      <a:ext cx="5760720" cy="2026920"/>
                    </a:xfrm>
                    <a:prstGeom prst="rect">
                      <a:avLst/>
                    </a:prstGeom>
                  </pic:spPr>
                </pic:pic>
              </a:graphicData>
            </a:graphic>
          </wp:inline>
        </w:drawing>
      </w:r>
    </w:p>
    <w:p w14:paraId="6EE5DAAC" w14:textId="089E3E5F" w:rsidR="00063C78" w:rsidRPr="00063C78" w:rsidRDefault="009734D6" w:rsidP="00063C78">
      <w:pPr>
        <w:jc w:val="both"/>
        <w:rPr>
          <w:rFonts w:eastAsiaTheme="minorEastAsia"/>
          <w:bCs/>
          <w:lang w:val="en-US" w:eastAsia="zh-CN"/>
        </w:rPr>
      </w:pPr>
      <w:r>
        <w:rPr>
          <w:rFonts w:eastAsiaTheme="minorEastAsia"/>
          <w:b/>
          <w:lang w:val="en-US" w:eastAsia="en-US"/>
        </w:rPr>
        <w:lastRenderedPageBreak/>
        <w:t xml:space="preserve">Fig. </w:t>
      </w:r>
      <w:r>
        <w:rPr>
          <w:rFonts w:eastAsiaTheme="minorEastAsia" w:hint="eastAsia"/>
          <w:b/>
          <w:lang w:val="en-US" w:eastAsia="zh-CN"/>
        </w:rPr>
        <w:t>S1</w:t>
      </w:r>
      <w:r w:rsidR="00B70801">
        <w:rPr>
          <w:rFonts w:eastAsiaTheme="minorEastAsia" w:hint="eastAsia"/>
          <w:b/>
          <w:lang w:val="en-US" w:eastAsia="zh-CN"/>
        </w:rPr>
        <w:t>2</w:t>
      </w:r>
      <w:r>
        <w:rPr>
          <w:rFonts w:eastAsiaTheme="minorEastAsia"/>
          <w:sz w:val="20"/>
          <w:szCs w:val="20"/>
          <w:lang w:val="en-US" w:eastAsia="en-US"/>
        </w:rPr>
        <w:t xml:space="preserve"> </w:t>
      </w:r>
      <w:r w:rsidR="00063C78" w:rsidRPr="00063C78">
        <w:rPr>
          <w:rFonts w:eastAsiaTheme="minorEastAsia"/>
          <w:bCs/>
          <w:lang w:val="en-US" w:eastAsia="zh-CN"/>
        </w:rPr>
        <w:t>The</w:t>
      </w:r>
      <w:r w:rsidR="00063C78">
        <w:rPr>
          <w:rFonts w:eastAsiaTheme="minorEastAsia" w:hint="eastAsia"/>
          <w:bCs/>
          <w:lang w:val="en-US" w:eastAsia="zh-CN"/>
        </w:rPr>
        <w:t xml:space="preserve"> </w:t>
      </w:r>
      <w:r w:rsidR="00063C78" w:rsidRPr="00063C78">
        <w:rPr>
          <w:rFonts w:eastAsiaTheme="minorEastAsia"/>
          <w:bCs/>
          <w:lang w:val="en-US" w:eastAsia="zh-CN"/>
        </w:rPr>
        <w:t>TCAD simulation of our Pt/IGZO/SiN</w:t>
      </w:r>
      <w:r w:rsidR="00063C78" w:rsidRPr="00063C78">
        <w:rPr>
          <w:rFonts w:eastAsiaTheme="minorEastAsia"/>
          <w:bCs/>
          <w:vertAlign w:val="subscript"/>
          <w:lang w:val="en-US" w:eastAsia="zh-CN"/>
        </w:rPr>
        <w:t>x</w:t>
      </w:r>
      <w:r w:rsidR="00063C78" w:rsidRPr="00063C78">
        <w:rPr>
          <w:rFonts w:eastAsiaTheme="minorEastAsia"/>
          <w:bCs/>
          <w:lang w:val="en-US" w:eastAsia="zh-CN"/>
        </w:rPr>
        <w:t>/Ta memristor reveals intricate electrophysical dynamics that elucidate the fundamental switching mechanism. By computationally modeling the device's nanoscale architecture, we demonstrate that the unique vertical heterostructure induces highly localized and intensified electric field distributions. Specifically, the interfaces between dissimilar materials (Pt/IGZO, IGZO/SiN</w:t>
      </w:r>
      <w:r w:rsidR="00063C78" w:rsidRPr="00063C78">
        <w:rPr>
          <w:rFonts w:eastAsiaTheme="minorEastAsia"/>
          <w:bCs/>
          <w:vertAlign w:val="subscript"/>
          <w:lang w:val="en-US" w:eastAsia="zh-CN"/>
        </w:rPr>
        <w:t>x</w:t>
      </w:r>
      <w:r w:rsidR="00063C78" w:rsidRPr="00063C78">
        <w:rPr>
          <w:rFonts w:eastAsiaTheme="minorEastAsia"/>
          <w:bCs/>
          <w:lang w:val="en-US" w:eastAsia="zh-CN"/>
        </w:rPr>
        <w:t>, and SiN</w:t>
      </w:r>
      <w:r w:rsidR="00063C78" w:rsidRPr="00063C78">
        <w:rPr>
          <w:rFonts w:eastAsiaTheme="minorEastAsia"/>
          <w:bCs/>
          <w:vertAlign w:val="subscript"/>
          <w:lang w:val="en-US" w:eastAsia="zh-CN"/>
        </w:rPr>
        <w:t>x</w:t>
      </w:r>
      <w:r w:rsidR="00063C78" w:rsidRPr="00063C78">
        <w:rPr>
          <w:rFonts w:eastAsiaTheme="minorEastAsia"/>
          <w:bCs/>
          <w:lang w:val="en-US" w:eastAsia="zh-CN"/>
        </w:rPr>
        <w:t>/Ta) generate significant dielectric discontinuities, which act as electric field concentration sites. These nanoscale heterojunctions create potential barriers and charge carrier redistribution zones that are critical for resistive switching behavior.</w:t>
      </w:r>
    </w:p>
    <w:p w14:paraId="68348089" w14:textId="611DA903" w:rsidR="00BA0B0B" w:rsidRDefault="007807E7" w:rsidP="00063C78">
      <w:pPr>
        <w:jc w:val="both"/>
        <w:rPr>
          <w:rFonts w:eastAsiaTheme="minorEastAsia"/>
          <w:bCs/>
          <w:lang w:val="en-US" w:eastAsia="zh-CN"/>
        </w:rPr>
      </w:pPr>
      <w:r w:rsidRPr="007807E7">
        <w:rPr>
          <w:rFonts w:eastAsiaTheme="minorEastAsia"/>
          <w:bCs/>
          <w:lang w:val="en-US" w:eastAsia="zh-CN"/>
        </w:rPr>
        <w:t>Under modest applied voltages, intense electric field gradients within the device heterostructure drive a cascade of nanoscale processes. Specifically, these gradients initiate selective oxygen vacancy migration and dynamic ionic rearrangement within the IGZO layer, nucleating conductive filaments. Critically, the SiN</w:t>
      </w:r>
      <w:r w:rsidRPr="007807E7">
        <w:rPr>
          <w:rFonts w:eastAsiaTheme="minorEastAsia"/>
          <w:bCs/>
          <w:vertAlign w:val="subscript"/>
          <w:lang w:val="en-US" w:eastAsia="zh-CN"/>
        </w:rPr>
        <w:t>x</w:t>
      </w:r>
      <w:r w:rsidRPr="007807E7">
        <w:rPr>
          <w:rFonts w:eastAsiaTheme="minorEastAsia"/>
          <w:bCs/>
          <w:lang w:val="en-US" w:eastAsia="zh-CN"/>
        </w:rPr>
        <w:t xml:space="preserve"> layer mediates this process by concentrating and confining the electric field, thereby enabling precise electrostatic control over filament development. This field-guided mechanism orchestrates the systematic nucleation and spatially confined extension of conductive filamentary networks, transforming inherently stochastic resistive switching into a deterministic process. The vertically confined field profile ensures high spatial selectivity during filament formation, suppressing lateral dispersion and enhancing switching uniformity.</w:t>
      </w:r>
    </w:p>
    <w:p w14:paraId="0BAEB90B" w14:textId="77777777" w:rsidR="00497B66" w:rsidRDefault="00497B66" w:rsidP="00063C78">
      <w:pPr>
        <w:jc w:val="both"/>
        <w:rPr>
          <w:rFonts w:eastAsiaTheme="minorEastAsia"/>
          <w:bCs/>
          <w:lang w:val="en-US" w:eastAsia="zh-CN"/>
        </w:rPr>
      </w:pPr>
    </w:p>
    <w:p w14:paraId="4133F098" w14:textId="77777777" w:rsidR="00BA0B0B" w:rsidRDefault="009734D6">
      <w:pPr>
        <w:jc w:val="both"/>
        <w:rPr>
          <w:rFonts w:eastAsiaTheme="minorEastAsia"/>
          <w:b/>
          <w:lang w:val="en-US" w:eastAsia="en-US"/>
        </w:rPr>
      </w:pPr>
      <w:bookmarkStart w:id="7" w:name="OLE_LINK4"/>
      <w:r>
        <w:rPr>
          <w:rFonts w:eastAsiaTheme="minorEastAsia"/>
          <w:b/>
          <w:noProof/>
          <w:lang w:val="en-US" w:eastAsia="en-US"/>
        </w:rPr>
        <w:drawing>
          <wp:inline distT="0" distB="0" distL="0" distR="0" wp14:anchorId="3D7A0116" wp14:editId="0C88878E">
            <wp:extent cx="5759450" cy="2775585"/>
            <wp:effectExtent l="0" t="0" r="0" b="0"/>
            <wp:docPr id="4962142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14275" name="图片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760000" cy="2776211"/>
                    </a:xfrm>
                    <a:prstGeom prst="rect">
                      <a:avLst/>
                    </a:prstGeom>
                    <a:noFill/>
                  </pic:spPr>
                </pic:pic>
              </a:graphicData>
            </a:graphic>
          </wp:inline>
        </w:drawing>
      </w:r>
    </w:p>
    <w:p w14:paraId="00A1D57C" w14:textId="4E773133" w:rsidR="00BA0B0B" w:rsidRDefault="009734D6">
      <w:pPr>
        <w:jc w:val="both"/>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S1</w:t>
      </w:r>
      <w:bookmarkEnd w:id="7"/>
      <w:r w:rsidR="00B70801">
        <w:rPr>
          <w:rFonts w:eastAsiaTheme="minorEastAsia" w:hint="eastAsia"/>
          <w:b/>
          <w:lang w:val="en-US" w:eastAsia="zh-CN"/>
        </w:rPr>
        <w:t>3</w:t>
      </w:r>
      <w:r>
        <w:rPr>
          <w:rFonts w:eastAsiaTheme="minorEastAsia"/>
          <w:sz w:val="20"/>
          <w:szCs w:val="20"/>
          <w:lang w:val="en-US" w:eastAsia="en-US"/>
        </w:rPr>
        <w:t xml:space="preserve"> </w:t>
      </w:r>
      <w:r>
        <w:rPr>
          <w:rFonts w:eastAsiaTheme="minorEastAsia"/>
          <w:bCs/>
          <w:lang w:val="en-US" w:eastAsia="zh-CN"/>
        </w:rPr>
        <w:t>1/2 V</w:t>
      </w:r>
      <w:r>
        <w:rPr>
          <w:rFonts w:eastAsiaTheme="minorEastAsia"/>
          <w:bCs/>
          <w:vertAlign w:val="subscript"/>
          <w:lang w:val="en-US" w:eastAsia="zh-CN"/>
        </w:rPr>
        <w:t>op</w:t>
      </w:r>
      <w:r>
        <w:rPr>
          <w:rFonts w:eastAsiaTheme="minorEastAsia"/>
          <w:bCs/>
          <w:lang w:val="en-US" w:eastAsia="zh-CN"/>
        </w:rPr>
        <w:t xml:space="preserve"> voltage distribution scheme to program target cells.</w:t>
      </w:r>
      <w:r>
        <w:rPr>
          <w:rFonts w:eastAsiaTheme="minorEastAsia"/>
          <w:b/>
          <w:lang w:val="en-US" w:eastAsia="zh-CN"/>
        </w:rPr>
        <w:t xml:space="preserve"> </w:t>
      </w:r>
      <w:r>
        <w:rPr>
          <w:rFonts w:eastAsiaTheme="minorEastAsia" w:hint="eastAsia"/>
          <w:b/>
          <w:lang w:val="en-US" w:eastAsia="zh-CN"/>
        </w:rPr>
        <w:t>a</w:t>
      </w:r>
      <w:r>
        <w:rPr>
          <w:rFonts w:eastAsiaTheme="minorEastAsia"/>
          <w:bCs/>
          <w:lang w:val="en-US" w:eastAsia="zh-CN"/>
        </w:rPr>
        <w:t xml:space="preserve"> Based on this voltage distribution scheme, positions within the array are categorized into selected cells and half-selected cells. Under this scheme, selected cells receive sufficient voltag</w:t>
      </w:r>
      <w:r>
        <w:rPr>
          <w:rFonts w:eastAsiaTheme="minorEastAsia" w:hint="eastAsia"/>
          <w:bCs/>
          <w:lang w:val="en-US" w:eastAsia="zh-CN"/>
        </w:rPr>
        <w:t xml:space="preserve">e to meet the required setting criteria, while half-selected cells fail to reach this threshold and thus cannot be successfully programmed. </w:t>
      </w:r>
      <w:r>
        <w:rPr>
          <w:rFonts w:eastAsiaTheme="minorEastAsia" w:hint="eastAsia"/>
          <w:b/>
          <w:lang w:val="en-US" w:eastAsia="zh-CN"/>
        </w:rPr>
        <w:t>b</w:t>
      </w:r>
      <w:r>
        <w:rPr>
          <w:rFonts w:eastAsiaTheme="minorEastAsia" w:hint="eastAsia"/>
          <w:bCs/>
          <w:lang w:val="en-US" w:eastAsia="zh-CN"/>
        </w:rPr>
        <w:t xml:space="preserve"> In the I-V graph, the voltage applied to the half-selected cells is represented at position </w:t>
      </w:r>
      <w:r>
        <w:rPr>
          <w:rFonts w:eastAsiaTheme="minorEastAsia" w:hint="eastAsia"/>
          <w:bCs/>
          <w:lang w:val="en-US" w:eastAsia="zh-CN"/>
        </w:rPr>
        <w:t>①</w:t>
      </w:r>
      <w:r>
        <w:rPr>
          <w:rFonts w:eastAsiaTheme="minorEastAsia" w:hint="eastAsia"/>
          <w:bCs/>
          <w:lang w:val="en-US" w:eastAsia="zh-CN"/>
        </w:rPr>
        <w:t xml:space="preserve">, indicating that they did not reach the turn-on voltage and therefore could not be set. On the other hand, the applied voltage for the selected cells is shown at position </w:t>
      </w:r>
      <w:r>
        <w:rPr>
          <w:rFonts w:eastAsiaTheme="minorEastAsia" w:hint="eastAsia"/>
          <w:bCs/>
          <w:lang w:val="en-US" w:eastAsia="zh-CN"/>
        </w:rPr>
        <w:t>②</w:t>
      </w:r>
      <w:r>
        <w:rPr>
          <w:rFonts w:eastAsiaTheme="minorEastAsia" w:hint="eastAsia"/>
          <w:bCs/>
          <w:lang w:val="en-US" w:eastAsia="zh-CN"/>
        </w:rPr>
        <w:t>, successfully reaching the turn-on voltage and thus allowing for successful programming.</w:t>
      </w:r>
    </w:p>
    <w:p w14:paraId="5B87967D" w14:textId="77777777" w:rsidR="00BA0B0B" w:rsidRDefault="00BA0B0B">
      <w:pPr>
        <w:rPr>
          <w:rFonts w:eastAsiaTheme="minorEastAsia"/>
          <w:bCs/>
          <w:lang w:val="en-US" w:eastAsia="zh-CN"/>
        </w:rPr>
      </w:pPr>
    </w:p>
    <w:p w14:paraId="7BA52C33" w14:textId="20F46100" w:rsidR="00BA0B0B" w:rsidRDefault="00436AC7">
      <w:pPr>
        <w:rPr>
          <w:rFonts w:eastAsiaTheme="minorEastAsia"/>
          <w:bCs/>
          <w:lang w:val="en-US" w:eastAsia="zh-CN"/>
        </w:rPr>
      </w:pPr>
      <w:r>
        <w:rPr>
          <w:rFonts w:eastAsiaTheme="minorEastAsia"/>
          <w:bCs/>
          <w:noProof/>
          <w:lang w:val="en-US" w:eastAsia="zh-CN"/>
        </w:rPr>
        <w:lastRenderedPageBreak/>
        <w:drawing>
          <wp:inline distT="0" distB="0" distL="0" distR="0" wp14:anchorId="593F8A8B" wp14:editId="5DA55318">
            <wp:extent cx="5760720" cy="3792855"/>
            <wp:effectExtent l="0" t="0" r="0" b="0"/>
            <wp:docPr id="942698186"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98186" name="图片 1" descr="图表&#10;&#10;AI 生成的内容可能不正确。"/>
                    <pic:cNvPicPr/>
                  </pic:nvPicPr>
                  <pic:blipFill>
                    <a:blip r:embed="rId26"/>
                    <a:stretch>
                      <a:fillRect/>
                    </a:stretch>
                  </pic:blipFill>
                  <pic:spPr>
                    <a:xfrm>
                      <a:off x="0" y="0"/>
                      <a:ext cx="5760720" cy="3792855"/>
                    </a:xfrm>
                    <a:prstGeom prst="rect">
                      <a:avLst/>
                    </a:prstGeom>
                  </pic:spPr>
                </pic:pic>
              </a:graphicData>
            </a:graphic>
          </wp:inline>
        </w:drawing>
      </w:r>
    </w:p>
    <w:p w14:paraId="0A9D9053" w14:textId="67CAB90E" w:rsidR="00BA0B0B" w:rsidRDefault="009734D6">
      <w:pPr>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S1</w:t>
      </w:r>
      <w:r w:rsidR="00B70801">
        <w:rPr>
          <w:rFonts w:eastAsiaTheme="minorEastAsia" w:hint="eastAsia"/>
          <w:b/>
          <w:lang w:val="en-US" w:eastAsia="zh-CN"/>
        </w:rPr>
        <w:t>4</w:t>
      </w:r>
      <w:r>
        <w:rPr>
          <w:rFonts w:eastAsiaTheme="minorEastAsia"/>
          <w:sz w:val="20"/>
          <w:szCs w:val="20"/>
          <w:lang w:val="en-US" w:eastAsia="en-US"/>
        </w:rPr>
        <w:t xml:space="preserve"> </w:t>
      </w:r>
      <w:r>
        <w:rPr>
          <w:rFonts w:eastAsiaTheme="minorEastAsia"/>
          <w:b/>
          <w:lang w:val="en-US" w:eastAsia="zh-CN"/>
        </w:rPr>
        <w:t>Distribution of set and reset voltages for 16 devices</w:t>
      </w:r>
      <w:r>
        <w:rPr>
          <w:rFonts w:eastAsiaTheme="minorEastAsia" w:hint="eastAsia"/>
          <w:b/>
          <w:lang w:val="en-US" w:eastAsia="zh-CN"/>
        </w:rPr>
        <w:t xml:space="preserve"> in passive array</w:t>
      </w:r>
      <w:r>
        <w:rPr>
          <w:rFonts w:eastAsiaTheme="minorEastAsia"/>
          <w:b/>
          <w:lang w:val="en-US" w:eastAsia="zh-CN"/>
        </w:rPr>
        <w:t>.</w:t>
      </w:r>
      <w:r>
        <w:rPr>
          <w:rFonts w:eastAsiaTheme="minorEastAsia"/>
          <w:bCs/>
          <w:lang w:val="en-US" w:eastAsia="zh-CN"/>
        </w:rPr>
        <w:t xml:space="preserve"> The slight differences in resistance switching behaviors among various devices in the passive array reflect their uniformity and stability in performance.</w:t>
      </w:r>
    </w:p>
    <w:p w14:paraId="04E1FD5F" w14:textId="77777777" w:rsidR="00BA0B0B" w:rsidRDefault="00BA0B0B">
      <w:pPr>
        <w:rPr>
          <w:rFonts w:eastAsiaTheme="minorEastAsia"/>
          <w:bCs/>
          <w:lang w:val="en-US" w:eastAsia="zh-CN"/>
        </w:rPr>
      </w:pPr>
    </w:p>
    <w:p w14:paraId="59B673ED" w14:textId="3D5AF912" w:rsidR="00BA0B0B" w:rsidRDefault="0041585A">
      <w:pPr>
        <w:jc w:val="center"/>
        <w:rPr>
          <w:rFonts w:eastAsiaTheme="minorEastAsia"/>
          <w:bCs/>
          <w:lang w:val="en-US" w:eastAsia="zh-CN"/>
        </w:rPr>
      </w:pPr>
      <w:r>
        <w:rPr>
          <w:rFonts w:eastAsiaTheme="minorEastAsia"/>
          <w:bCs/>
          <w:noProof/>
          <w:lang w:val="en-US" w:eastAsia="zh-CN"/>
        </w:rPr>
        <w:drawing>
          <wp:inline distT="0" distB="0" distL="0" distR="0" wp14:anchorId="6611F9F5" wp14:editId="26CA324A">
            <wp:extent cx="4680000" cy="3267539"/>
            <wp:effectExtent l="0" t="0" r="0" b="9525"/>
            <wp:docPr id="1183618726"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18726" name="图片 1" descr="图示&#10;&#10;AI 生成的内容可能不正确。"/>
                    <pic:cNvPicPr/>
                  </pic:nvPicPr>
                  <pic:blipFill>
                    <a:blip r:embed="rId27"/>
                    <a:stretch>
                      <a:fillRect/>
                    </a:stretch>
                  </pic:blipFill>
                  <pic:spPr>
                    <a:xfrm>
                      <a:off x="0" y="0"/>
                      <a:ext cx="4680000" cy="3267539"/>
                    </a:xfrm>
                    <a:prstGeom prst="rect">
                      <a:avLst/>
                    </a:prstGeom>
                  </pic:spPr>
                </pic:pic>
              </a:graphicData>
            </a:graphic>
          </wp:inline>
        </w:drawing>
      </w:r>
    </w:p>
    <w:p w14:paraId="478A38A5" w14:textId="1B7AFBFF" w:rsidR="00BA0B0B" w:rsidRDefault="009734D6">
      <w:pPr>
        <w:jc w:val="both"/>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S1</w:t>
      </w:r>
      <w:r w:rsidR="00B70801">
        <w:rPr>
          <w:rFonts w:eastAsiaTheme="minorEastAsia" w:hint="eastAsia"/>
          <w:b/>
          <w:lang w:val="en-US" w:eastAsia="zh-CN"/>
        </w:rPr>
        <w:t>5</w:t>
      </w:r>
      <w:r>
        <w:rPr>
          <w:rFonts w:eastAsiaTheme="minorEastAsia"/>
          <w:sz w:val="20"/>
          <w:szCs w:val="20"/>
          <w:lang w:val="en-US" w:eastAsia="en-US"/>
        </w:rPr>
        <w:t xml:space="preserve"> </w:t>
      </w:r>
      <w:r>
        <w:rPr>
          <w:rFonts w:eastAsiaTheme="minorEastAsia"/>
          <w:bCs/>
          <w:lang w:val="en-US" w:eastAsia="zh-CN"/>
        </w:rPr>
        <w:t xml:space="preserve">Passive </w:t>
      </w:r>
      <w:r>
        <w:rPr>
          <w:rFonts w:eastAsiaTheme="minorEastAsia" w:hint="eastAsia"/>
          <w:bCs/>
          <w:lang w:val="en-US" w:eastAsia="zh-CN"/>
        </w:rPr>
        <w:t>a</w:t>
      </w:r>
      <w:r>
        <w:rPr>
          <w:rFonts w:eastAsiaTheme="minorEastAsia"/>
          <w:bCs/>
          <w:lang w:val="en-US" w:eastAsia="zh-CN"/>
        </w:rPr>
        <w:t xml:space="preserve">rray </w:t>
      </w:r>
      <w:r>
        <w:rPr>
          <w:rFonts w:eastAsiaTheme="minorEastAsia" w:hint="eastAsia"/>
          <w:bCs/>
          <w:lang w:val="en-US" w:eastAsia="zh-CN"/>
        </w:rPr>
        <w:t>programming</w:t>
      </w:r>
      <w:r>
        <w:rPr>
          <w:rFonts w:eastAsiaTheme="minorEastAsia"/>
          <w:bCs/>
          <w:lang w:val="en-US" w:eastAsia="zh-CN"/>
        </w:rPr>
        <w:t xml:space="preserve"> </w:t>
      </w:r>
      <w:r>
        <w:rPr>
          <w:rFonts w:eastAsiaTheme="minorEastAsia" w:hint="eastAsia"/>
          <w:bCs/>
          <w:lang w:val="en-US" w:eastAsia="zh-CN"/>
        </w:rPr>
        <w:t>a</w:t>
      </w:r>
      <w:r>
        <w:rPr>
          <w:rFonts w:eastAsiaTheme="minorEastAsia"/>
          <w:bCs/>
          <w:lang w:val="en-US" w:eastAsia="zh-CN"/>
        </w:rPr>
        <w:t xml:space="preserve">rchitecture </w:t>
      </w:r>
      <w:r>
        <w:rPr>
          <w:rFonts w:eastAsiaTheme="minorEastAsia" w:hint="eastAsia"/>
          <w:bCs/>
          <w:lang w:val="en-US" w:eastAsia="zh-CN"/>
        </w:rPr>
        <w:t>b</w:t>
      </w:r>
      <w:r>
        <w:rPr>
          <w:rFonts w:eastAsiaTheme="minorEastAsia"/>
          <w:bCs/>
          <w:lang w:val="en-US" w:eastAsia="zh-CN"/>
        </w:rPr>
        <w:t>ased on DAC and MU. The information received by the sensing end is converted into a voltage signal by the DAC and then routed through the MUX to select specific channels, generating sequential input pulses. These signals interact within the array and ultimately output responses via the MUX below. The structure of the array facilitates on-chip information processing, enabling data writing and row-wise reading by controlling the rows and columns.</w:t>
      </w:r>
    </w:p>
    <w:p w14:paraId="6C0F4C5F" w14:textId="77777777" w:rsidR="00BA0B0B" w:rsidRDefault="00BA0B0B">
      <w:pPr>
        <w:jc w:val="both"/>
        <w:rPr>
          <w:rFonts w:eastAsiaTheme="minorEastAsia"/>
          <w:bCs/>
          <w:lang w:val="en-US" w:eastAsia="zh-CN"/>
        </w:rPr>
      </w:pPr>
    </w:p>
    <w:p w14:paraId="1CABDAD9" w14:textId="786EEF2C" w:rsidR="00BA0B0B" w:rsidRDefault="00DA5A27">
      <w:pPr>
        <w:rPr>
          <w:rFonts w:eastAsiaTheme="minorEastAsia"/>
          <w:bCs/>
          <w:lang w:val="en-US" w:eastAsia="zh-CN"/>
        </w:rPr>
      </w:pPr>
      <w:r>
        <w:rPr>
          <w:noProof/>
        </w:rPr>
        <w:drawing>
          <wp:inline distT="0" distB="0" distL="0" distR="0" wp14:anchorId="52DA656B" wp14:editId="29B6E907">
            <wp:extent cx="5760720" cy="1945640"/>
            <wp:effectExtent l="0" t="0" r="0" b="0"/>
            <wp:docPr id="1676377846" name="图片 1"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77846" name="图片 1" descr="日历&#10;&#10;AI 生成的内容可能不正确。"/>
                    <pic:cNvPicPr/>
                  </pic:nvPicPr>
                  <pic:blipFill>
                    <a:blip r:embed="rId28"/>
                    <a:stretch>
                      <a:fillRect/>
                    </a:stretch>
                  </pic:blipFill>
                  <pic:spPr>
                    <a:xfrm>
                      <a:off x="0" y="0"/>
                      <a:ext cx="5760720" cy="1945640"/>
                    </a:xfrm>
                    <a:prstGeom prst="rect">
                      <a:avLst/>
                    </a:prstGeom>
                  </pic:spPr>
                </pic:pic>
              </a:graphicData>
            </a:graphic>
          </wp:inline>
        </w:drawing>
      </w:r>
    </w:p>
    <w:p w14:paraId="07F7868F" w14:textId="31ED5F65" w:rsidR="00BA0B0B" w:rsidRDefault="009734D6">
      <w:pPr>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S1</w:t>
      </w:r>
      <w:r w:rsidR="00B70801">
        <w:rPr>
          <w:rFonts w:eastAsiaTheme="minorEastAsia" w:hint="eastAsia"/>
          <w:b/>
          <w:lang w:val="en-US" w:eastAsia="zh-CN"/>
        </w:rPr>
        <w:t>6</w:t>
      </w:r>
      <w:r>
        <w:rPr>
          <w:rFonts w:eastAsiaTheme="minorEastAsia"/>
          <w:sz w:val="20"/>
          <w:szCs w:val="20"/>
          <w:lang w:val="en-US" w:eastAsia="en-US"/>
        </w:rPr>
        <w:t xml:space="preserve"> </w:t>
      </w:r>
      <w:r>
        <w:rPr>
          <w:rFonts w:eastAsiaTheme="minorEastAsia"/>
          <w:bCs/>
          <w:lang w:val="en-US" w:eastAsia="zh-CN"/>
        </w:rPr>
        <w:t>By leveraging the resistance values at different locations in the encoding array, the information “Z J U I C 1 8 9 7” can be input into the array based on binary encoding. Specifically, each resistance value at a location represents a particular state, enabling effective encoding of letters and digits.</w:t>
      </w:r>
    </w:p>
    <w:p w14:paraId="023648AF" w14:textId="77777777" w:rsidR="00BA0B0B" w:rsidRDefault="00BA0B0B">
      <w:pPr>
        <w:jc w:val="both"/>
        <w:rPr>
          <w:rFonts w:eastAsiaTheme="minorEastAsia"/>
          <w:bCs/>
          <w:lang w:val="en-US" w:eastAsia="zh-CN"/>
        </w:rPr>
      </w:pPr>
    </w:p>
    <w:p w14:paraId="778F2395" w14:textId="77777777" w:rsidR="00BA0B0B" w:rsidRDefault="009734D6">
      <w:pPr>
        <w:jc w:val="center"/>
        <w:rPr>
          <w:rFonts w:eastAsiaTheme="minorEastAsia"/>
          <w:bCs/>
          <w:lang w:val="en-US" w:eastAsia="zh-CN"/>
        </w:rPr>
      </w:pPr>
      <w:r>
        <w:rPr>
          <w:rFonts w:eastAsiaTheme="minorEastAsia"/>
          <w:bCs/>
          <w:noProof/>
          <w:lang w:val="en-US" w:eastAsia="zh-CN"/>
        </w:rPr>
        <w:drawing>
          <wp:inline distT="0" distB="0" distL="0" distR="0" wp14:anchorId="0AC1F74E" wp14:editId="4E3928C7">
            <wp:extent cx="5777230" cy="2075180"/>
            <wp:effectExtent l="0" t="0" r="0" b="1270"/>
            <wp:docPr id="554636460" name="图片 3" descr="图片包含 电子, 游戏机, 电路, 桌子&#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36460" name="图片 3" descr="图片包含 电子, 游戏机, 电路, 桌子&#10;&#10;AI 生成的内容可能不正确。"/>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798807" cy="2083054"/>
                    </a:xfrm>
                    <a:prstGeom prst="rect">
                      <a:avLst/>
                    </a:prstGeom>
                    <a:noFill/>
                  </pic:spPr>
                </pic:pic>
              </a:graphicData>
            </a:graphic>
          </wp:inline>
        </w:drawing>
      </w:r>
    </w:p>
    <w:p w14:paraId="49550C4F" w14:textId="6CB2730B" w:rsidR="00BA0B0B" w:rsidRDefault="009734D6">
      <w:pPr>
        <w:jc w:val="both"/>
        <w:rPr>
          <w:rFonts w:eastAsiaTheme="minorEastAsia"/>
          <w:bCs/>
          <w:lang w:val="en-US" w:eastAsia="zh-CN"/>
        </w:rPr>
      </w:pPr>
      <w:bookmarkStart w:id="8" w:name="_Hlk205156945"/>
      <w:r>
        <w:rPr>
          <w:rFonts w:eastAsiaTheme="minorEastAsia"/>
          <w:b/>
          <w:lang w:val="en-US" w:eastAsia="en-US"/>
        </w:rPr>
        <w:t xml:space="preserve">Fig. </w:t>
      </w:r>
      <w:r>
        <w:rPr>
          <w:rFonts w:eastAsiaTheme="minorEastAsia" w:hint="eastAsia"/>
          <w:b/>
          <w:lang w:val="en-US" w:eastAsia="zh-CN"/>
        </w:rPr>
        <w:t>S1</w:t>
      </w:r>
      <w:bookmarkEnd w:id="8"/>
      <w:r w:rsidR="00B70801">
        <w:rPr>
          <w:rFonts w:eastAsiaTheme="minorEastAsia" w:hint="eastAsia"/>
          <w:b/>
          <w:lang w:val="en-US" w:eastAsia="zh-CN"/>
        </w:rPr>
        <w:t>7</w:t>
      </w:r>
      <w:r>
        <w:rPr>
          <w:rFonts w:eastAsiaTheme="minorEastAsia"/>
          <w:sz w:val="20"/>
          <w:szCs w:val="20"/>
          <w:lang w:val="en-US" w:eastAsia="en-US"/>
        </w:rPr>
        <w:t xml:space="preserve"> </w:t>
      </w:r>
      <w:bookmarkStart w:id="9" w:name="_Hlk205156921"/>
      <w:r>
        <w:rPr>
          <w:rFonts w:eastAsiaTheme="minorEastAsia"/>
          <w:b/>
          <w:lang w:val="en-US" w:eastAsia="zh-CN"/>
        </w:rPr>
        <w:t>On-Chip Audio Recognition System</w:t>
      </w:r>
      <w:bookmarkEnd w:id="9"/>
      <w:r>
        <w:rPr>
          <w:rFonts w:eastAsiaTheme="minorEastAsia" w:hint="eastAsia"/>
          <w:b/>
          <w:lang w:val="en-US" w:eastAsia="zh-CN"/>
        </w:rPr>
        <w:t>.</w:t>
      </w:r>
      <w:r>
        <w:rPr>
          <w:rFonts w:eastAsiaTheme="minorEastAsia"/>
          <w:b/>
          <w:lang w:val="en-US" w:eastAsia="zh-CN"/>
        </w:rPr>
        <w:t xml:space="preserve"> </w:t>
      </w:r>
      <w:r>
        <w:rPr>
          <w:rFonts w:eastAsiaTheme="minorEastAsia"/>
          <w:bCs/>
          <w:lang w:val="en-US" w:eastAsia="zh-CN"/>
        </w:rPr>
        <w:t>Photograph of the on-chip audio recognition system, highlighting the memristor array fabricated in this work and subsequently bonded onto a chip carrier.</w:t>
      </w:r>
    </w:p>
    <w:p w14:paraId="76938F45" w14:textId="77777777" w:rsidR="00BA0B0B" w:rsidRDefault="009734D6">
      <w:pPr>
        <w:jc w:val="center"/>
        <w:rPr>
          <w:rFonts w:eastAsiaTheme="minorEastAsia"/>
          <w:bCs/>
          <w:lang w:val="en-US" w:eastAsia="zh-CN"/>
        </w:rPr>
      </w:pPr>
      <w:r>
        <w:rPr>
          <w:rFonts w:eastAsiaTheme="minorEastAsia"/>
          <w:bCs/>
          <w:noProof/>
          <w:lang w:val="en-US" w:eastAsia="zh-CN"/>
        </w:rPr>
        <w:drawing>
          <wp:inline distT="0" distB="0" distL="0" distR="0" wp14:anchorId="01DE320A" wp14:editId="443251A5">
            <wp:extent cx="4628515" cy="2684145"/>
            <wp:effectExtent l="0" t="0" r="635" b="0"/>
            <wp:docPr id="8641583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58356" name="图片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637362" cy="2689722"/>
                    </a:xfrm>
                    <a:prstGeom prst="rect">
                      <a:avLst/>
                    </a:prstGeom>
                    <a:noFill/>
                  </pic:spPr>
                </pic:pic>
              </a:graphicData>
            </a:graphic>
          </wp:inline>
        </w:drawing>
      </w:r>
    </w:p>
    <w:p w14:paraId="5EC602F2" w14:textId="005E8BA8" w:rsidR="00BA0B0B" w:rsidRDefault="009734D6">
      <w:pPr>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S1</w:t>
      </w:r>
      <w:r w:rsidR="00B70801">
        <w:rPr>
          <w:rFonts w:eastAsiaTheme="minorEastAsia" w:hint="eastAsia"/>
          <w:b/>
          <w:lang w:val="en-US" w:eastAsia="zh-CN"/>
        </w:rPr>
        <w:t>8</w:t>
      </w:r>
      <w:r>
        <w:rPr>
          <w:rFonts w:eastAsiaTheme="minorEastAsia" w:hint="eastAsia"/>
          <w:b/>
          <w:lang w:val="en-US" w:eastAsia="zh-CN"/>
        </w:rPr>
        <w:t xml:space="preserve"> </w:t>
      </w:r>
      <w:r>
        <w:rPr>
          <w:rFonts w:eastAsiaTheme="minorEastAsia"/>
          <w:bCs/>
          <w:lang w:val="en-US" w:eastAsia="zh-CN"/>
        </w:rPr>
        <w:t>Array functional area division, parameter programming, and signal path</w:t>
      </w:r>
      <w:r>
        <w:rPr>
          <w:rFonts w:eastAsiaTheme="minorEastAsia" w:hint="eastAsia"/>
          <w:bCs/>
          <w:lang w:val="en-US" w:eastAsia="zh-CN"/>
        </w:rPr>
        <w:t xml:space="preserve">. </w:t>
      </w:r>
    </w:p>
    <w:p w14:paraId="53E32F5F" w14:textId="77777777" w:rsidR="00BA0B0B" w:rsidRDefault="00BA0B0B">
      <w:pPr>
        <w:rPr>
          <w:rFonts w:eastAsiaTheme="minorEastAsia"/>
          <w:bCs/>
          <w:lang w:val="en-US" w:eastAsia="zh-CN"/>
        </w:rPr>
      </w:pPr>
    </w:p>
    <w:p w14:paraId="5CD92687" w14:textId="77777777" w:rsidR="00BA0B0B" w:rsidRDefault="009734D6" w:rsidP="0041585A">
      <w:pPr>
        <w:jc w:val="center"/>
        <w:rPr>
          <w:rFonts w:eastAsiaTheme="minorEastAsia"/>
          <w:bCs/>
          <w:lang w:val="en-US" w:eastAsia="zh-CN"/>
        </w:rPr>
      </w:pPr>
      <w:r>
        <w:rPr>
          <w:rFonts w:eastAsiaTheme="minorEastAsia"/>
          <w:bCs/>
          <w:noProof/>
          <w:lang w:val="en-US" w:eastAsia="zh-CN"/>
        </w:rPr>
        <w:lastRenderedPageBreak/>
        <w:drawing>
          <wp:inline distT="0" distB="0" distL="0" distR="0" wp14:anchorId="597300A2" wp14:editId="7890DCB7">
            <wp:extent cx="3948405" cy="2749550"/>
            <wp:effectExtent l="0" t="0" r="0" b="0"/>
            <wp:docPr id="21099616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61689" name="图片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964431" cy="2760710"/>
                    </a:xfrm>
                    <a:prstGeom prst="rect">
                      <a:avLst/>
                    </a:prstGeom>
                    <a:noFill/>
                  </pic:spPr>
                </pic:pic>
              </a:graphicData>
            </a:graphic>
          </wp:inline>
        </w:drawing>
      </w:r>
    </w:p>
    <w:p w14:paraId="49541F58" w14:textId="63EB652A" w:rsidR="00BA0B0B" w:rsidRDefault="009734D6">
      <w:pPr>
        <w:rPr>
          <w:rFonts w:eastAsiaTheme="minorEastAsia"/>
          <w:bCs/>
          <w:lang w:val="en-US" w:eastAsia="zh-CN"/>
        </w:rPr>
      </w:pPr>
      <w:bookmarkStart w:id="10" w:name="_Hlk205157575"/>
      <w:r>
        <w:rPr>
          <w:rFonts w:eastAsiaTheme="minorEastAsia"/>
          <w:b/>
          <w:lang w:val="en-US" w:eastAsia="en-US"/>
        </w:rPr>
        <w:t xml:space="preserve">Fig. </w:t>
      </w:r>
      <w:r>
        <w:rPr>
          <w:rFonts w:eastAsiaTheme="minorEastAsia" w:hint="eastAsia"/>
          <w:b/>
          <w:lang w:val="en-US" w:eastAsia="zh-CN"/>
        </w:rPr>
        <w:t>S1</w:t>
      </w:r>
      <w:bookmarkEnd w:id="10"/>
      <w:r w:rsidR="00B70801">
        <w:rPr>
          <w:rFonts w:eastAsiaTheme="minorEastAsia" w:hint="eastAsia"/>
          <w:b/>
          <w:lang w:val="en-US" w:eastAsia="zh-CN"/>
        </w:rPr>
        <w:t>9</w:t>
      </w:r>
      <w:r>
        <w:rPr>
          <w:rFonts w:eastAsiaTheme="minorEastAsia"/>
          <w:bCs/>
          <w:lang w:val="en-US" w:eastAsia="zh-CN"/>
        </w:rPr>
        <w:t xml:space="preserve"> </w:t>
      </w:r>
      <w:bookmarkStart w:id="11" w:name="_Hlk205157554"/>
      <w:r>
        <w:rPr>
          <w:rFonts w:eastAsiaTheme="minorEastAsia"/>
          <w:bCs/>
          <w:lang w:val="en-US" w:eastAsia="zh-CN"/>
        </w:rPr>
        <w:t>Schematic diagram of signal processing flow</w:t>
      </w:r>
      <w:bookmarkEnd w:id="11"/>
      <w:r>
        <w:rPr>
          <w:rFonts w:eastAsiaTheme="minorEastAsia"/>
          <w:bCs/>
          <w:lang w:val="en-US" w:eastAsia="zh-CN"/>
        </w:rPr>
        <w:t xml:space="preserve"> </w:t>
      </w:r>
      <w:r>
        <w:rPr>
          <w:rFonts w:eastAsiaTheme="minorEastAsia" w:hint="eastAsia"/>
          <w:bCs/>
          <w:lang w:val="en-US" w:eastAsia="zh-CN"/>
        </w:rPr>
        <w:t xml:space="preserve">of audio </w:t>
      </w:r>
      <w:r>
        <w:rPr>
          <w:rFonts w:eastAsiaTheme="minorEastAsia"/>
          <w:bCs/>
          <w:lang w:val="en-US" w:eastAsia="zh-CN"/>
        </w:rPr>
        <w:t>recognition</w:t>
      </w:r>
      <w:r>
        <w:rPr>
          <w:rFonts w:eastAsiaTheme="minorEastAsia" w:hint="eastAsia"/>
          <w:bCs/>
          <w:lang w:val="en-US" w:eastAsia="zh-CN"/>
        </w:rPr>
        <w:t xml:space="preserve"> </w:t>
      </w:r>
      <w:r>
        <w:rPr>
          <w:rFonts w:eastAsiaTheme="minorEastAsia"/>
          <w:bCs/>
          <w:lang w:val="en-US" w:eastAsia="zh-CN"/>
        </w:rPr>
        <w:t>system</w:t>
      </w:r>
      <w:r>
        <w:rPr>
          <w:rFonts w:eastAsiaTheme="minorEastAsia" w:hint="eastAsia"/>
          <w:bCs/>
          <w:lang w:val="en-US" w:eastAsia="zh-CN"/>
        </w:rPr>
        <w:t xml:space="preserve"> with </w:t>
      </w:r>
      <w:r>
        <w:rPr>
          <w:lang w:val="en-US" w:eastAsia="zh-CN"/>
        </w:rPr>
        <w:t>SR-BSID</w:t>
      </w:r>
      <w:r>
        <w:rPr>
          <w:rFonts w:eastAsia="等线" w:hint="eastAsia"/>
          <w:lang w:val="en-US" w:eastAsia="zh-CN"/>
        </w:rPr>
        <w:t xml:space="preserve"> method</w:t>
      </w:r>
      <w:r>
        <w:rPr>
          <w:rFonts w:eastAsiaTheme="minorEastAsia"/>
          <w:bCs/>
          <w:lang w:val="en-US" w:eastAsia="zh-CN"/>
        </w:rPr>
        <w:t>. WL, SL, and BL stand for the word line, source line, and bit line,</w:t>
      </w:r>
    </w:p>
    <w:p w14:paraId="5D63CBEF" w14:textId="77777777" w:rsidR="00BA0B0B" w:rsidRDefault="009734D6">
      <w:pPr>
        <w:rPr>
          <w:rFonts w:eastAsiaTheme="minorEastAsia"/>
          <w:bCs/>
          <w:lang w:val="en-US" w:eastAsia="zh-CN"/>
        </w:rPr>
      </w:pPr>
      <w:r>
        <w:rPr>
          <w:rFonts w:eastAsiaTheme="minorEastAsia"/>
          <w:bCs/>
          <w:lang w:val="en-US" w:eastAsia="zh-CN"/>
        </w:rPr>
        <w:t>respectively.</w:t>
      </w:r>
      <w:r>
        <w:rPr>
          <w:rFonts w:eastAsiaTheme="minorEastAsia" w:hint="eastAsia"/>
          <w:bCs/>
          <w:lang w:val="en-US" w:eastAsia="zh-CN"/>
        </w:rPr>
        <w:t xml:space="preserve"> </w:t>
      </w:r>
    </w:p>
    <w:p w14:paraId="569ADAB8" w14:textId="77777777" w:rsidR="00BA0B0B" w:rsidRDefault="00BA0B0B">
      <w:pPr>
        <w:rPr>
          <w:rFonts w:eastAsiaTheme="minorEastAsia"/>
          <w:bCs/>
          <w:lang w:val="en-US" w:eastAsia="zh-CN"/>
        </w:rPr>
      </w:pPr>
    </w:p>
    <w:p w14:paraId="265EE3F4" w14:textId="77777777" w:rsidR="00BA0B0B" w:rsidRDefault="009734D6" w:rsidP="0041585A">
      <w:pPr>
        <w:jc w:val="center"/>
        <w:rPr>
          <w:rFonts w:eastAsiaTheme="minorEastAsia"/>
          <w:bCs/>
          <w:lang w:val="en-US" w:eastAsia="zh-CN"/>
        </w:rPr>
      </w:pPr>
      <w:r>
        <w:rPr>
          <w:rFonts w:eastAsiaTheme="minorEastAsia"/>
          <w:bCs/>
          <w:noProof/>
          <w:lang w:val="en-US" w:eastAsia="zh-CN"/>
        </w:rPr>
        <w:drawing>
          <wp:inline distT="0" distB="0" distL="0" distR="0" wp14:anchorId="1CD1766C" wp14:editId="4FC583C2">
            <wp:extent cx="3587750" cy="1924725"/>
            <wp:effectExtent l="0" t="0" r="0" b="0"/>
            <wp:docPr id="15778865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886541" name="图片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610346" cy="1936847"/>
                    </a:xfrm>
                    <a:prstGeom prst="rect">
                      <a:avLst/>
                    </a:prstGeom>
                    <a:noFill/>
                  </pic:spPr>
                </pic:pic>
              </a:graphicData>
            </a:graphic>
          </wp:inline>
        </w:drawing>
      </w:r>
    </w:p>
    <w:p w14:paraId="706B0841" w14:textId="2364D477" w:rsidR="00BA0B0B" w:rsidRDefault="009734D6">
      <w:pPr>
        <w:rPr>
          <w:rFonts w:eastAsiaTheme="minorEastAsia"/>
          <w:bCs/>
          <w:lang w:val="en-US" w:eastAsia="zh-CN"/>
        </w:rPr>
      </w:pPr>
      <w:bookmarkStart w:id="12" w:name="_Hlk205157881"/>
      <w:r>
        <w:rPr>
          <w:rFonts w:eastAsiaTheme="minorEastAsia"/>
          <w:b/>
          <w:lang w:val="en-US" w:eastAsia="en-US"/>
        </w:rPr>
        <w:t xml:space="preserve">Fig. </w:t>
      </w:r>
      <w:r>
        <w:rPr>
          <w:rFonts w:eastAsiaTheme="minorEastAsia" w:hint="eastAsia"/>
          <w:b/>
          <w:lang w:val="en-US" w:eastAsia="zh-CN"/>
        </w:rPr>
        <w:t>S</w:t>
      </w:r>
      <w:bookmarkEnd w:id="12"/>
      <w:r w:rsidR="00B70801">
        <w:rPr>
          <w:rFonts w:eastAsiaTheme="minorEastAsia" w:hint="eastAsia"/>
          <w:b/>
          <w:lang w:val="en-US" w:eastAsia="zh-CN"/>
        </w:rPr>
        <w:t>20</w:t>
      </w:r>
      <w:r>
        <w:rPr>
          <w:rFonts w:eastAsiaTheme="minorEastAsia"/>
          <w:bCs/>
          <w:lang w:val="en-US" w:eastAsia="zh-CN"/>
        </w:rPr>
        <w:t xml:space="preserve"> </w:t>
      </w:r>
      <w:bookmarkStart w:id="13" w:name="_Hlk205157853"/>
      <w:r>
        <w:rPr>
          <w:rFonts w:eastAsiaTheme="minorEastAsia"/>
          <w:bCs/>
          <w:lang w:val="en-US" w:eastAsia="zh-CN"/>
        </w:rPr>
        <w:t>Schematic diagram of the readout layer for biological audio signal classification in a single-layer CNN.</w:t>
      </w:r>
    </w:p>
    <w:p w14:paraId="20E957A3" w14:textId="77777777" w:rsidR="00BA0B0B" w:rsidRDefault="00BA0B0B">
      <w:pPr>
        <w:rPr>
          <w:rFonts w:eastAsiaTheme="minorEastAsia"/>
          <w:bCs/>
          <w:lang w:val="en-US" w:eastAsia="zh-CN"/>
        </w:rPr>
      </w:pPr>
    </w:p>
    <w:bookmarkEnd w:id="13"/>
    <w:p w14:paraId="469CAC56" w14:textId="6830B68C" w:rsidR="00BA0B0B" w:rsidRDefault="005946F1">
      <w:pPr>
        <w:jc w:val="center"/>
        <w:rPr>
          <w:rFonts w:eastAsiaTheme="minorEastAsia"/>
          <w:bCs/>
          <w:lang w:val="en-US" w:eastAsia="zh-CN"/>
        </w:rPr>
      </w:pPr>
      <w:r>
        <w:rPr>
          <w:rFonts w:eastAsiaTheme="minorEastAsia"/>
          <w:bCs/>
          <w:noProof/>
          <w:lang w:val="en-US" w:eastAsia="zh-CN"/>
        </w:rPr>
        <w:drawing>
          <wp:inline distT="0" distB="0" distL="0" distR="0" wp14:anchorId="1B0EA4AE" wp14:editId="3E96561D">
            <wp:extent cx="4473616" cy="2414826"/>
            <wp:effectExtent l="0" t="0" r="3175" b="0"/>
            <wp:docPr id="1719965670" name="图片 1" descr="图片包含 QR 代码&#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65670" name="图片 1" descr="图片包含 QR 代码&#10;&#10;AI 生成的内容可能不正确。"/>
                    <pic:cNvPicPr/>
                  </pic:nvPicPr>
                  <pic:blipFill>
                    <a:blip r:embed="rId33"/>
                    <a:stretch>
                      <a:fillRect/>
                    </a:stretch>
                  </pic:blipFill>
                  <pic:spPr>
                    <a:xfrm>
                      <a:off x="0" y="0"/>
                      <a:ext cx="4475871" cy="2416043"/>
                    </a:xfrm>
                    <a:prstGeom prst="rect">
                      <a:avLst/>
                    </a:prstGeom>
                  </pic:spPr>
                </pic:pic>
              </a:graphicData>
            </a:graphic>
          </wp:inline>
        </w:drawing>
      </w:r>
    </w:p>
    <w:p w14:paraId="6FBE840C" w14:textId="697BCF9B" w:rsidR="00BA0B0B" w:rsidRDefault="009734D6" w:rsidP="0041585A">
      <w:pPr>
        <w:jc w:val="both"/>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S2</w:t>
      </w:r>
      <w:r w:rsidR="00B70801">
        <w:rPr>
          <w:rFonts w:eastAsiaTheme="minorEastAsia" w:hint="eastAsia"/>
          <w:b/>
          <w:lang w:val="en-US" w:eastAsia="zh-CN"/>
        </w:rPr>
        <w:t>1</w:t>
      </w:r>
      <w:r>
        <w:rPr>
          <w:rFonts w:eastAsiaTheme="minorEastAsia" w:hint="eastAsia"/>
          <w:b/>
          <w:lang w:val="en-US" w:eastAsia="zh-CN"/>
        </w:rPr>
        <w:t xml:space="preserve"> </w:t>
      </w:r>
      <w:r>
        <w:rPr>
          <w:rFonts w:eastAsiaTheme="minorEastAsia"/>
          <w:bCs/>
          <w:lang w:val="en-US" w:eastAsia="zh-CN"/>
        </w:rPr>
        <w:t>Changes in activated site distribution from early training to convergence</w:t>
      </w:r>
      <w:r w:rsidR="0041585A">
        <w:rPr>
          <w:rFonts w:eastAsiaTheme="minorEastAsia" w:hint="eastAsia"/>
          <w:bCs/>
          <w:lang w:val="en-US" w:eastAsia="zh-CN"/>
        </w:rPr>
        <w:t>.</w:t>
      </w:r>
    </w:p>
    <w:p w14:paraId="3F437702" w14:textId="77777777" w:rsidR="00BA0B0B" w:rsidRDefault="00BA0B0B">
      <w:pPr>
        <w:jc w:val="both"/>
        <w:rPr>
          <w:rFonts w:eastAsiaTheme="minorEastAsia"/>
          <w:bCs/>
          <w:lang w:val="en-US" w:eastAsia="zh-CN"/>
        </w:rPr>
      </w:pPr>
    </w:p>
    <w:p w14:paraId="27BF7992" w14:textId="77777777" w:rsidR="00BA0B0B" w:rsidRDefault="009734D6">
      <w:pPr>
        <w:jc w:val="both"/>
        <w:rPr>
          <w:rFonts w:eastAsiaTheme="minorEastAsia"/>
          <w:bCs/>
          <w:lang w:val="en-US" w:eastAsia="zh-CN"/>
        </w:rPr>
      </w:pPr>
      <w:r>
        <w:rPr>
          <w:rFonts w:eastAsiaTheme="minorEastAsia"/>
          <w:bCs/>
          <w:noProof/>
          <w:lang w:val="en-US" w:eastAsia="zh-CN"/>
        </w:rPr>
        <w:lastRenderedPageBreak/>
        <w:drawing>
          <wp:inline distT="0" distB="0" distL="0" distR="0" wp14:anchorId="7D1157BE" wp14:editId="1D600B63">
            <wp:extent cx="5759450" cy="1513205"/>
            <wp:effectExtent l="0" t="0" r="0" b="0"/>
            <wp:docPr id="16965295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29530" name="图片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60000" cy="1513743"/>
                    </a:xfrm>
                    <a:prstGeom prst="rect">
                      <a:avLst/>
                    </a:prstGeom>
                    <a:noFill/>
                  </pic:spPr>
                </pic:pic>
              </a:graphicData>
            </a:graphic>
          </wp:inline>
        </w:drawing>
      </w:r>
    </w:p>
    <w:p w14:paraId="6FA8D3C2" w14:textId="00DD2410" w:rsidR="00BA0B0B" w:rsidRDefault="009734D6">
      <w:pPr>
        <w:jc w:val="both"/>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S2</w:t>
      </w:r>
      <w:r w:rsidR="00B70801">
        <w:rPr>
          <w:rFonts w:eastAsiaTheme="minorEastAsia" w:hint="eastAsia"/>
          <w:b/>
          <w:lang w:val="en-US" w:eastAsia="zh-CN"/>
        </w:rPr>
        <w:t>2</w:t>
      </w:r>
      <w:r>
        <w:rPr>
          <w:rFonts w:eastAsiaTheme="minorEastAsia"/>
          <w:bCs/>
          <w:lang w:val="en-US" w:eastAsia="zh-CN"/>
        </w:rPr>
        <w:t xml:space="preserve"> The scheme of training and testing processes.</w:t>
      </w:r>
      <w:r>
        <w:rPr>
          <w:lang w:val="en-US"/>
        </w:rPr>
        <w:t xml:space="preserve"> </w:t>
      </w:r>
      <w:r>
        <w:rPr>
          <w:rFonts w:eastAsiaTheme="minorEastAsia"/>
          <w:bCs/>
          <w:lang w:val="en-US" w:eastAsia="zh-CN"/>
        </w:rPr>
        <w:t>Input data segmented into 0-30%, 30-50%, and 50-100% signal-intensity tiers undergoes hierarchical processing by the SR-BSID module: the weak-signal tier (0-30%) undergoes complete denoising, the mid-signal tier (30-50%) receives partial denoising with core feature retention, while the strong-signal tier (50-100%) deactivates denoising and enables feature enhancement; the processed data then trains weight parameters through a single-layer CNN, ultimately generating classification accuracy metrics.</w:t>
      </w:r>
    </w:p>
    <w:p w14:paraId="784FCC63" w14:textId="77777777" w:rsidR="00BA0B0B" w:rsidRDefault="00BA0B0B">
      <w:pPr>
        <w:jc w:val="both"/>
        <w:rPr>
          <w:rFonts w:eastAsiaTheme="minorEastAsia"/>
          <w:bCs/>
          <w:lang w:val="en-US" w:eastAsia="zh-CN"/>
        </w:rPr>
      </w:pPr>
    </w:p>
    <w:p w14:paraId="69029987" w14:textId="77777777" w:rsidR="00BA0B0B" w:rsidRDefault="00BA0B0B">
      <w:pPr>
        <w:jc w:val="both"/>
        <w:rPr>
          <w:rFonts w:eastAsiaTheme="minorEastAsia"/>
          <w:bCs/>
          <w:lang w:val="en-US" w:eastAsia="zh-CN"/>
        </w:rPr>
      </w:pPr>
    </w:p>
    <w:p w14:paraId="6D6BEC5B" w14:textId="464F568E" w:rsidR="00BA0B0B" w:rsidRDefault="00BA491E">
      <w:pPr>
        <w:jc w:val="center"/>
        <w:rPr>
          <w:rFonts w:eastAsiaTheme="minorEastAsia"/>
          <w:bCs/>
          <w:lang w:val="en-US" w:eastAsia="zh-CN"/>
        </w:rPr>
      </w:pPr>
      <w:r>
        <w:rPr>
          <w:rFonts w:eastAsiaTheme="minorEastAsia"/>
          <w:bCs/>
          <w:noProof/>
          <w:lang w:val="en-US" w:eastAsia="zh-CN"/>
        </w:rPr>
        <w:lastRenderedPageBreak/>
        <w:drawing>
          <wp:inline distT="0" distB="0" distL="0" distR="0" wp14:anchorId="6B236DC6" wp14:editId="206ECDEB">
            <wp:extent cx="5760720" cy="6922135"/>
            <wp:effectExtent l="0" t="0" r="0" b="0"/>
            <wp:docPr id="1601040593" name="图片 5"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40593" name="图片 5" descr="背景图案&#10;&#10;AI 生成的内容可能不正确。"/>
                    <pic:cNvPicPr/>
                  </pic:nvPicPr>
                  <pic:blipFill>
                    <a:blip r:embed="rId35"/>
                    <a:stretch>
                      <a:fillRect/>
                    </a:stretch>
                  </pic:blipFill>
                  <pic:spPr>
                    <a:xfrm>
                      <a:off x="0" y="0"/>
                      <a:ext cx="5760720" cy="6922135"/>
                    </a:xfrm>
                    <a:prstGeom prst="rect">
                      <a:avLst/>
                    </a:prstGeom>
                  </pic:spPr>
                </pic:pic>
              </a:graphicData>
            </a:graphic>
          </wp:inline>
        </w:drawing>
      </w:r>
    </w:p>
    <w:p w14:paraId="60575538" w14:textId="791511D9" w:rsidR="00BA0B0B" w:rsidRDefault="009734D6">
      <w:pPr>
        <w:jc w:val="both"/>
        <w:rPr>
          <w:rFonts w:eastAsiaTheme="minorEastAsia"/>
          <w:lang w:val="en-US" w:eastAsia="zh-CN"/>
        </w:rPr>
      </w:pPr>
      <w:r>
        <w:rPr>
          <w:rFonts w:eastAsiaTheme="minorEastAsia"/>
          <w:b/>
          <w:lang w:val="en-US" w:eastAsia="en-US"/>
        </w:rPr>
        <w:t xml:space="preserve">Fig. </w:t>
      </w:r>
      <w:r>
        <w:rPr>
          <w:rFonts w:eastAsiaTheme="minorEastAsia" w:hint="eastAsia"/>
          <w:b/>
          <w:lang w:val="en-US" w:eastAsia="zh-CN"/>
        </w:rPr>
        <w:t>S2</w:t>
      </w:r>
      <w:r w:rsidR="00B70801">
        <w:rPr>
          <w:rFonts w:eastAsiaTheme="minorEastAsia" w:hint="eastAsia"/>
          <w:b/>
          <w:lang w:val="en-US" w:eastAsia="zh-CN"/>
        </w:rPr>
        <w:t>3</w:t>
      </w:r>
      <w:r>
        <w:rPr>
          <w:rFonts w:eastAsiaTheme="minorEastAsia" w:hint="eastAsia"/>
          <w:b/>
          <w:lang w:val="en-US" w:eastAsia="zh-CN"/>
        </w:rPr>
        <w:t xml:space="preserve"> </w:t>
      </w:r>
      <w:r>
        <w:rPr>
          <w:rFonts w:eastAsiaTheme="minorEastAsia"/>
          <w:b/>
          <w:bCs/>
          <w:lang w:val="en-US" w:eastAsia="zh-CN"/>
        </w:rPr>
        <w:t xml:space="preserve">Original and Denoised Audio Signals of Digits '0' to '9'. </w:t>
      </w:r>
      <w:r>
        <w:rPr>
          <w:rFonts w:eastAsiaTheme="minorEastAsia"/>
          <w:lang w:val="en-US" w:eastAsia="zh-CN"/>
        </w:rPr>
        <w:t>Strong signal data is effectively retained, while noisy and chaotic interference signals are effectively suppressed.</w:t>
      </w:r>
    </w:p>
    <w:p w14:paraId="397681EE" w14:textId="01D6C5E2" w:rsidR="00BA0B0B" w:rsidRDefault="009734D6">
      <w:pPr>
        <w:jc w:val="both"/>
        <w:rPr>
          <w:rFonts w:eastAsiaTheme="minorEastAsia"/>
          <w:b/>
          <w:lang w:val="en-US" w:eastAsia="en-US"/>
        </w:rPr>
      </w:pPr>
      <w:r>
        <w:rPr>
          <w:rFonts w:eastAsiaTheme="minorEastAsia"/>
          <w:b/>
          <w:lang w:val="en-US" w:eastAsia="en-US"/>
        </w:rPr>
        <w:t xml:space="preserve"> </w:t>
      </w:r>
    </w:p>
    <w:p w14:paraId="3CE7AC78" w14:textId="4EF839A9" w:rsidR="00BA491E" w:rsidRDefault="00BA491E">
      <w:pPr>
        <w:jc w:val="both"/>
        <w:rPr>
          <w:rFonts w:eastAsiaTheme="minorEastAsia"/>
          <w:b/>
          <w:lang w:val="en-US" w:eastAsia="en-US"/>
        </w:rPr>
      </w:pPr>
      <w:r>
        <w:rPr>
          <w:rFonts w:eastAsiaTheme="minorEastAsia"/>
          <w:b/>
          <w:noProof/>
          <w:lang w:val="en-US" w:eastAsia="en-US"/>
        </w:rPr>
        <w:lastRenderedPageBreak/>
        <w:drawing>
          <wp:inline distT="0" distB="0" distL="0" distR="0" wp14:anchorId="23C8F139" wp14:editId="654AB843">
            <wp:extent cx="5760720" cy="2279015"/>
            <wp:effectExtent l="0" t="0" r="0" b="0"/>
            <wp:docPr id="240011476" name="图片 6"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11476" name="图片 6" descr="图表, 直方图&#10;&#10;AI 生成的内容可能不正确。"/>
                    <pic:cNvPicPr/>
                  </pic:nvPicPr>
                  <pic:blipFill>
                    <a:blip r:embed="rId36"/>
                    <a:stretch>
                      <a:fillRect/>
                    </a:stretch>
                  </pic:blipFill>
                  <pic:spPr>
                    <a:xfrm>
                      <a:off x="0" y="0"/>
                      <a:ext cx="5760720" cy="2279015"/>
                    </a:xfrm>
                    <a:prstGeom prst="rect">
                      <a:avLst/>
                    </a:prstGeom>
                  </pic:spPr>
                </pic:pic>
              </a:graphicData>
            </a:graphic>
          </wp:inline>
        </w:drawing>
      </w:r>
    </w:p>
    <w:p w14:paraId="12635B89" w14:textId="096740B7" w:rsidR="00BA0B0B" w:rsidRDefault="009734D6">
      <w:pPr>
        <w:jc w:val="both"/>
        <w:rPr>
          <w:rFonts w:eastAsiaTheme="minorEastAsia"/>
          <w:bCs/>
          <w:lang w:val="en-US" w:eastAsia="zh-CN"/>
        </w:rPr>
      </w:pPr>
      <w:r>
        <w:rPr>
          <w:rFonts w:eastAsiaTheme="minorEastAsia"/>
          <w:b/>
          <w:lang w:val="en-US" w:eastAsia="en-US"/>
        </w:rPr>
        <w:t xml:space="preserve">Fig. </w:t>
      </w:r>
      <w:r>
        <w:rPr>
          <w:rFonts w:eastAsiaTheme="minorEastAsia" w:hint="eastAsia"/>
          <w:b/>
          <w:lang w:val="en-US" w:eastAsia="zh-CN"/>
        </w:rPr>
        <w:t>S2</w:t>
      </w:r>
      <w:r w:rsidR="00B70801">
        <w:rPr>
          <w:rFonts w:eastAsiaTheme="minorEastAsia" w:hint="eastAsia"/>
          <w:b/>
          <w:lang w:val="en-US" w:eastAsia="zh-CN"/>
        </w:rPr>
        <w:t>4</w:t>
      </w:r>
      <w:r>
        <w:rPr>
          <w:rFonts w:eastAsiaTheme="minorEastAsia" w:hint="eastAsia"/>
          <w:b/>
          <w:lang w:val="en-US" w:eastAsia="zh-CN"/>
        </w:rPr>
        <w:t xml:space="preserve"> a</w:t>
      </w:r>
      <w:r>
        <w:rPr>
          <w:rFonts w:eastAsiaTheme="minorEastAsia"/>
          <w:b/>
          <w:lang w:val="en-US" w:eastAsia="zh-CN"/>
        </w:rPr>
        <w:t xml:space="preserve"> </w:t>
      </w:r>
      <w:r>
        <w:rPr>
          <w:rFonts w:eastAsiaTheme="minorEastAsia"/>
          <w:bCs/>
          <w:lang w:val="en-US" w:eastAsia="zh-CN"/>
        </w:rPr>
        <w:t>Retention of high-intensity feature signals;</w:t>
      </w:r>
      <w:r>
        <w:rPr>
          <w:rFonts w:eastAsiaTheme="minorEastAsia"/>
          <w:b/>
          <w:lang w:val="en-US" w:eastAsia="zh-CN"/>
        </w:rPr>
        <w:t xml:space="preserve"> </w:t>
      </w:r>
      <w:r>
        <w:rPr>
          <w:rFonts w:eastAsiaTheme="minorEastAsia" w:hint="eastAsia"/>
          <w:b/>
          <w:lang w:val="en-US" w:eastAsia="zh-CN"/>
        </w:rPr>
        <w:t>b</w:t>
      </w:r>
      <w:r>
        <w:rPr>
          <w:rFonts w:eastAsiaTheme="minorEastAsia"/>
          <w:bCs/>
          <w:lang w:val="en-US" w:eastAsia="zh-CN"/>
        </w:rPr>
        <w:t xml:space="preserve"> Low-intensity noise suppression </w:t>
      </w:r>
      <w:proofErr w:type="gramStart"/>
      <w:r>
        <w:rPr>
          <w:rFonts w:eastAsiaTheme="minorEastAsia"/>
          <w:bCs/>
          <w:lang w:val="en-US" w:eastAsia="zh-CN"/>
        </w:rPr>
        <w:t>effect;</w:t>
      </w:r>
      <w:proofErr w:type="gramEnd"/>
    </w:p>
    <w:p w14:paraId="016C80E9" w14:textId="77777777" w:rsidR="00BA0B0B" w:rsidRDefault="00BA0B0B">
      <w:pPr>
        <w:jc w:val="both"/>
        <w:rPr>
          <w:rFonts w:eastAsiaTheme="minorEastAsia"/>
          <w:lang w:val="en-US" w:eastAsia="zh-CN"/>
        </w:rPr>
      </w:pPr>
    </w:p>
    <w:p w14:paraId="116D306B" w14:textId="77777777" w:rsidR="00BA0B0B" w:rsidRDefault="009734D6">
      <w:pPr>
        <w:jc w:val="center"/>
        <w:rPr>
          <w:rFonts w:eastAsiaTheme="minorEastAsia"/>
          <w:bCs/>
          <w:lang w:val="en-US" w:eastAsia="zh-CN"/>
        </w:rPr>
      </w:pPr>
      <w:r>
        <w:rPr>
          <w:rFonts w:eastAsiaTheme="minorEastAsia"/>
          <w:bCs/>
          <w:noProof/>
          <w:lang w:val="en-US" w:eastAsia="zh-CN"/>
        </w:rPr>
        <w:drawing>
          <wp:inline distT="0" distB="0" distL="0" distR="0" wp14:anchorId="3F13471C" wp14:editId="619BD297">
            <wp:extent cx="5383530" cy="2127250"/>
            <wp:effectExtent l="0" t="0" r="0" b="6350"/>
            <wp:docPr id="6697570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57019" name="图片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395561" cy="2132276"/>
                    </a:xfrm>
                    <a:prstGeom prst="rect">
                      <a:avLst/>
                    </a:prstGeom>
                    <a:noFill/>
                  </pic:spPr>
                </pic:pic>
              </a:graphicData>
            </a:graphic>
          </wp:inline>
        </w:drawing>
      </w:r>
    </w:p>
    <w:p w14:paraId="6EE6E8A4" w14:textId="48543B53" w:rsidR="00BA0B0B" w:rsidRDefault="009734D6">
      <w:pPr>
        <w:jc w:val="both"/>
        <w:rPr>
          <w:rFonts w:eastAsiaTheme="minorEastAsia"/>
          <w:bCs/>
          <w:lang w:val="en-US" w:eastAsia="zh-CN"/>
        </w:rPr>
      </w:pPr>
      <w:bookmarkStart w:id="14" w:name="_Hlk205158733"/>
      <w:r>
        <w:rPr>
          <w:rFonts w:eastAsiaTheme="minorEastAsia"/>
          <w:b/>
          <w:lang w:val="en-US" w:eastAsia="en-US"/>
        </w:rPr>
        <w:t xml:space="preserve">Fig. </w:t>
      </w:r>
      <w:r>
        <w:rPr>
          <w:rFonts w:eastAsiaTheme="minorEastAsia" w:hint="eastAsia"/>
          <w:b/>
          <w:lang w:val="en-US" w:eastAsia="zh-CN"/>
        </w:rPr>
        <w:t>S2</w:t>
      </w:r>
      <w:bookmarkEnd w:id="14"/>
      <w:r w:rsidR="00B70801">
        <w:rPr>
          <w:rFonts w:eastAsiaTheme="minorEastAsia" w:hint="eastAsia"/>
          <w:b/>
          <w:lang w:val="en-US" w:eastAsia="zh-CN"/>
        </w:rPr>
        <w:t>5</w:t>
      </w:r>
      <w:r>
        <w:rPr>
          <w:rFonts w:eastAsiaTheme="minorEastAsia" w:hint="eastAsia"/>
          <w:bCs/>
          <w:lang w:val="en-US" w:eastAsia="zh-CN"/>
        </w:rPr>
        <w:t xml:space="preserve"> </w:t>
      </w:r>
      <w:r>
        <w:rPr>
          <w:rFonts w:eastAsiaTheme="minorEastAsia"/>
          <w:bCs/>
          <w:lang w:val="en-US" w:eastAsia="zh-CN"/>
        </w:rPr>
        <w:t>Intensity distribution of signals before and after denoising.</w:t>
      </w:r>
      <w:r>
        <w:rPr>
          <w:rFonts w:eastAsiaTheme="minorEastAsia" w:hint="eastAsia"/>
          <w:bCs/>
          <w:lang w:val="en-US" w:eastAsia="zh-CN"/>
        </w:rPr>
        <w:t xml:space="preserve"> </w:t>
      </w:r>
      <w:r>
        <w:rPr>
          <w:rFonts w:eastAsiaTheme="minorEastAsia"/>
          <w:b/>
          <w:lang w:val="en-US" w:eastAsia="zh-CN"/>
        </w:rPr>
        <w:t>a</w:t>
      </w:r>
      <w:r>
        <w:rPr>
          <w:rFonts w:eastAsiaTheme="minorEastAsia"/>
          <w:bCs/>
          <w:lang w:val="en-US" w:eastAsia="zh-CN"/>
        </w:rPr>
        <w:t xml:space="preserve"> Weak signals (&lt;0.07), typically noise, are largely suppressed to 0–0.01,</w:t>
      </w:r>
      <w:r>
        <w:rPr>
          <w:rFonts w:eastAsiaTheme="minorEastAsia" w:hint="eastAsia"/>
          <w:bCs/>
          <w:lang w:val="en-US" w:eastAsia="zh-CN"/>
        </w:rPr>
        <w:t xml:space="preserve"> </w:t>
      </w:r>
      <w:r>
        <w:rPr>
          <w:rFonts w:eastAsiaTheme="minorEastAsia" w:hint="eastAsia"/>
          <w:b/>
          <w:lang w:val="en-US" w:eastAsia="zh-CN"/>
        </w:rPr>
        <w:t>b</w:t>
      </w:r>
      <w:r>
        <w:rPr>
          <w:rFonts w:eastAsiaTheme="minorEastAsia"/>
          <w:bCs/>
          <w:lang w:val="en-US" w:eastAsia="zh-CN"/>
        </w:rPr>
        <w:t xml:space="preserve"> while strong feature signals (&gt;0.1) are fully preserved.</w:t>
      </w:r>
    </w:p>
    <w:p w14:paraId="4B81511E" w14:textId="77777777" w:rsidR="00BA0B0B" w:rsidRDefault="00BA0B0B">
      <w:pPr>
        <w:jc w:val="center"/>
        <w:rPr>
          <w:rFonts w:eastAsiaTheme="minorEastAsia"/>
          <w:bCs/>
          <w:lang w:val="en-US" w:eastAsia="zh-CN"/>
        </w:rPr>
      </w:pPr>
    </w:p>
    <w:p w14:paraId="24E74201" w14:textId="77777777" w:rsidR="00BA0B0B" w:rsidRDefault="009734D6">
      <w:pPr>
        <w:jc w:val="center"/>
        <w:rPr>
          <w:rFonts w:eastAsiaTheme="minorEastAsia"/>
          <w:b/>
          <w:lang w:val="en-US" w:eastAsia="en-US"/>
        </w:rPr>
      </w:pPr>
      <w:r>
        <w:rPr>
          <w:rFonts w:eastAsiaTheme="minorEastAsia"/>
          <w:b/>
          <w:noProof/>
          <w:lang w:val="en-US" w:eastAsia="en-US"/>
        </w:rPr>
        <w:drawing>
          <wp:inline distT="0" distB="0" distL="0" distR="0" wp14:anchorId="31EAC765" wp14:editId="07FFEEAA">
            <wp:extent cx="5238115" cy="2686050"/>
            <wp:effectExtent l="0" t="0" r="635" b="0"/>
            <wp:docPr id="7382853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85334" name="图片 2"/>
                    <pic:cNvPicPr>
                      <a:picLocks noChangeAspect="1" noChangeArrowheads="1"/>
                    </pic:cNvPicPr>
                  </pic:nvPicPr>
                  <pic:blipFill rotWithShape="1">
                    <a:blip r:embed="rId38">
                      <a:extLst>
                        <a:ext uri="{28A0092B-C50C-407E-A947-70E740481C1C}">
                          <a14:useLocalDpi xmlns:a14="http://schemas.microsoft.com/office/drawing/2010/main" val="0"/>
                        </a:ext>
                      </a:extLst>
                    </a:blip>
                    <a:srcRect t="3346" b="8190"/>
                    <a:stretch>
                      <a:fillRect/>
                    </a:stretch>
                  </pic:blipFill>
                  <pic:spPr bwMode="auto">
                    <a:xfrm>
                      <a:off x="0" y="0"/>
                      <a:ext cx="5245273" cy="2689721"/>
                    </a:xfrm>
                    <a:prstGeom prst="rect">
                      <a:avLst/>
                    </a:prstGeom>
                    <a:noFill/>
                    <a:ln>
                      <a:noFill/>
                    </a:ln>
                    <a:extLst>
                      <a:ext uri="{53640926-AAD7-44D8-BBD7-CCE9431645EC}">
                        <a14:shadowObscured xmlns:a14="http://schemas.microsoft.com/office/drawing/2010/main"/>
                      </a:ext>
                    </a:extLst>
                  </pic:spPr>
                </pic:pic>
              </a:graphicData>
            </a:graphic>
          </wp:inline>
        </w:drawing>
      </w:r>
    </w:p>
    <w:p w14:paraId="56DBDEA1" w14:textId="32D59ADA" w:rsidR="00BA0B0B" w:rsidRDefault="009734D6">
      <w:pPr>
        <w:jc w:val="both"/>
        <w:rPr>
          <w:rFonts w:eastAsiaTheme="minorEastAsia"/>
          <w:bCs/>
          <w:sz w:val="20"/>
          <w:szCs w:val="20"/>
          <w:lang w:val="en-US" w:eastAsia="zh-CN"/>
        </w:rPr>
      </w:pPr>
      <w:r>
        <w:rPr>
          <w:rFonts w:eastAsiaTheme="minorEastAsia"/>
          <w:b/>
          <w:lang w:val="en-US" w:eastAsia="en-US"/>
        </w:rPr>
        <w:t xml:space="preserve">Fig. </w:t>
      </w:r>
      <w:r>
        <w:rPr>
          <w:rFonts w:eastAsiaTheme="minorEastAsia" w:hint="eastAsia"/>
          <w:b/>
          <w:lang w:val="en-US" w:eastAsia="zh-CN"/>
        </w:rPr>
        <w:t>S2</w:t>
      </w:r>
      <w:r w:rsidR="00B70801">
        <w:rPr>
          <w:rFonts w:eastAsiaTheme="minorEastAsia" w:hint="eastAsia"/>
          <w:b/>
          <w:lang w:val="en-US" w:eastAsia="zh-CN"/>
        </w:rPr>
        <w:t>6</w:t>
      </w:r>
      <w:r>
        <w:rPr>
          <w:rFonts w:eastAsiaTheme="minorEastAsia" w:hint="eastAsia"/>
          <w:b/>
          <w:lang w:val="en-US" w:eastAsia="zh-CN"/>
        </w:rPr>
        <w:t xml:space="preserve"> </w:t>
      </w:r>
      <w:r>
        <w:rPr>
          <w:rFonts w:eastAsiaTheme="minorEastAsia"/>
          <w:b/>
          <w:bCs/>
          <w:lang w:val="en-US" w:eastAsia="zh-CN"/>
        </w:rPr>
        <w:t xml:space="preserve">Distribution of </w:t>
      </w:r>
      <w:r>
        <w:rPr>
          <w:rFonts w:eastAsiaTheme="minorEastAsia" w:hint="eastAsia"/>
          <w:b/>
          <w:bCs/>
          <w:lang w:val="en-US" w:eastAsia="zh-CN"/>
        </w:rPr>
        <w:t>p</w:t>
      </w:r>
      <w:r>
        <w:rPr>
          <w:rFonts w:eastAsiaTheme="minorEastAsia"/>
          <w:b/>
          <w:bCs/>
          <w:lang w:val="en-US" w:eastAsia="zh-CN"/>
        </w:rPr>
        <w:t xml:space="preserve">rediction </w:t>
      </w:r>
      <w:r>
        <w:rPr>
          <w:rFonts w:eastAsiaTheme="minorEastAsia" w:hint="eastAsia"/>
          <w:b/>
          <w:bCs/>
          <w:lang w:val="en-US" w:eastAsia="zh-CN"/>
        </w:rPr>
        <w:t>r</w:t>
      </w:r>
      <w:r>
        <w:rPr>
          <w:rFonts w:eastAsiaTheme="minorEastAsia"/>
          <w:b/>
          <w:bCs/>
          <w:lang w:val="en-US" w:eastAsia="zh-CN"/>
        </w:rPr>
        <w:t xml:space="preserve">esults for 500 </w:t>
      </w:r>
      <w:r>
        <w:rPr>
          <w:rFonts w:eastAsiaTheme="minorEastAsia" w:hint="eastAsia"/>
          <w:b/>
          <w:bCs/>
          <w:lang w:val="en-US" w:eastAsia="zh-CN"/>
        </w:rPr>
        <w:t>s</w:t>
      </w:r>
      <w:r>
        <w:rPr>
          <w:rFonts w:eastAsiaTheme="minorEastAsia"/>
          <w:b/>
          <w:bCs/>
          <w:lang w:val="en-US" w:eastAsia="zh-CN"/>
        </w:rPr>
        <w:t xml:space="preserve">ample </w:t>
      </w:r>
      <w:r>
        <w:rPr>
          <w:rFonts w:eastAsiaTheme="minorEastAsia" w:hint="eastAsia"/>
          <w:b/>
          <w:bCs/>
          <w:lang w:val="en-US" w:eastAsia="zh-CN"/>
        </w:rPr>
        <w:t>p</w:t>
      </w:r>
      <w:r>
        <w:rPr>
          <w:rFonts w:eastAsiaTheme="minorEastAsia"/>
          <w:b/>
          <w:bCs/>
          <w:lang w:val="en-US" w:eastAsia="zh-CN"/>
        </w:rPr>
        <w:t xml:space="preserve">oints </w:t>
      </w:r>
      <w:r>
        <w:rPr>
          <w:rFonts w:eastAsiaTheme="minorEastAsia" w:hint="eastAsia"/>
          <w:b/>
          <w:bCs/>
          <w:lang w:val="en-US" w:eastAsia="zh-CN"/>
        </w:rPr>
        <w:t>a</w:t>
      </w:r>
      <w:r>
        <w:rPr>
          <w:rFonts w:eastAsiaTheme="minorEastAsia"/>
          <w:b/>
          <w:bCs/>
          <w:lang w:val="en-US" w:eastAsia="zh-CN"/>
        </w:rPr>
        <w:t xml:space="preserve">fter 10 </w:t>
      </w:r>
      <w:r>
        <w:rPr>
          <w:rFonts w:eastAsiaTheme="minorEastAsia" w:hint="eastAsia"/>
          <w:b/>
          <w:bCs/>
          <w:lang w:val="en-US" w:eastAsia="zh-CN"/>
        </w:rPr>
        <w:t>e</w:t>
      </w:r>
      <w:r>
        <w:rPr>
          <w:rFonts w:eastAsiaTheme="minorEastAsia"/>
          <w:b/>
          <w:bCs/>
          <w:lang w:val="en-US" w:eastAsia="zh-CN"/>
        </w:rPr>
        <w:t>pochs.</w:t>
      </w:r>
      <w:r>
        <w:rPr>
          <w:rFonts w:eastAsiaTheme="minorEastAsia"/>
          <w:lang w:val="en-US" w:eastAsia="zh-CN"/>
        </w:rPr>
        <w:t xml:space="preserve"> </w:t>
      </w:r>
      <w:r>
        <w:rPr>
          <w:rFonts w:eastAsiaTheme="minorEastAsia" w:hint="eastAsia"/>
          <w:b/>
          <w:bCs/>
          <w:lang w:val="en-US" w:eastAsia="zh-CN"/>
        </w:rPr>
        <w:t>a</w:t>
      </w:r>
      <w:r>
        <w:rPr>
          <w:rFonts w:eastAsiaTheme="minorEastAsia"/>
          <w:lang w:val="en-US" w:eastAsia="zh-CN"/>
        </w:rPr>
        <w:t xml:space="preserve"> The predicted probabilities of the true labels by the system, where green points represent successful predictions, the majority of which exceed 99%, while red points represent failed predictions, </w:t>
      </w:r>
      <w:r>
        <w:rPr>
          <w:rFonts w:eastAsiaTheme="minorEastAsia"/>
          <w:lang w:val="en-US" w:eastAsia="zh-CN"/>
        </w:rPr>
        <w:lastRenderedPageBreak/>
        <w:t xml:space="preserve">accounting for 3.8% of the total sample size. </w:t>
      </w:r>
      <w:r>
        <w:rPr>
          <w:rFonts w:eastAsiaTheme="minorEastAsia" w:hint="eastAsia"/>
          <w:b/>
          <w:bCs/>
          <w:lang w:val="en-US" w:eastAsia="zh-CN"/>
        </w:rPr>
        <w:t>b</w:t>
      </w:r>
      <w:r>
        <w:rPr>
          <w:rFonts w:eastAsiaTheme="minorEastAsia"/>
          <w:lang w:val="en-US" w:eastAsia="zh-CN"/>
        </w:rPr>
        <w:t xml:space="preserve"> Distribution map of recognition probabilities for ten labels across the 500 samples</w:t>
      </w:r>
      <w:r>
        <w:rPr>
          <w:rFonts w:eastAsiaTheme="minorEastAsia" w:hint="eastAsia"/>
          <w:lang w:val="en-US" w:eastAsia="zh-CN"/>
        </w:rPr>
        <w:t>.</w:t>
      </w:r>
      <w:r>
        <w:rPr>
          <w:rFonts w:eastAsiaTheme="minorEastAsia" w:hint="eastAsia"/>
          <w:bCs/>
          <w:sz w:val="20"/>
          <w:szCs w:val="20"/>
          <w:lang w:val="en-US" w:eastAsia="zh-CN"/>
        </w:rPr>
        <w:t xml:space="preserve"> </w:t>
      </w:r>
    </w:p>
    <w:p w14:paraId="7B92F021" w14:textId="77777777" w:rsidR="00BA0B0B" w:rsidRDefault="00BA0B0B">
      <w:pPr>
        <w:jc w:val="both"/>
        <w:rPr>
          <w:rFonts w:eastAsiaTheme="minorEastAsia"/>
          <w:bCs/>
          <w:sz w:val="20"/>
          <w:szCs w:val="20"/>
          <w:lang w:val="en-US" w:eastAsia="zh-CN"/>
        </w:rPr>
      </w:pPr>
    </w:p>
    <w:p w14:paraId="0378F504" w14:textId="3E16706B" w:rsidR="00BA0B0B" w:rsidRDefault="009B4D8F">
      <w:pPr>
        <w:jc w:val="center"/>
        <w:rPr>
          <w:rFonts w:eastAsiaTheme="minorEastAsia"/>
          <w:bCs/>
          <w:sz w:val="20"/>
          <w:szCs w:val="20"/>
          <w:lang w:val="en-US" w:eastAsia="zh-CN"/>
        </w:rPr>
      </w:pPr>
      <w:r w:rsidRPr="009B4D8F">
        <w:rPr>
          <w:rFonts w:eastAsiaTheme="minorEastAsia"/>
          <w:bCs/>
          <w:noProof/>
          <w:sz w:val="20"/>
          <w:szCs w:val="20"/>
          <w:lang w:eastAsia="zh-CN"/>
        </w:rPr>
        <w:drawing>
          <wp:inline distT="0" distB="0" distL="0" distR="0" wp14:anchorId="7DE3963A" wp14:editId="2267CC22">
            <wp:extent cx="3746500" cy="2869755"/>
            <wp:effectExtent l="0" t="0" r="0" b="0"/>
            <wp:docPr id="41" name="图片 40">
              <a:extLst xmlns:a="http://schemas.openxmlformats.org/drawingml/2006/main">
                <a:ext uri="{FF2B5EF4-FFF2-40B4-BE49-F238E27FC236}">
                  <a16:creationId xmlns:a16="http://schemas.microsoft.com/office/drawing/2014/main" id="{0B757032-DD47-BBAA-5599-343C57F1E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a:extLst>
                        <a:ext uri="{FF2B5EF4-FFF2-40B4-BE49-F238E27FC236}">
                          <a16:creationId xmlns:a16="http://schemas.microsoft.com/office/drawing/2014/main" id="{0B757032-DD47-BBAA-5599-343C57F1E1A6}"/>
                        </a:ext>
                      </a:extLst>
                    </pic:cNvPr>
                    <pic:cNvPicPr>
                      <a:picLocks noChangeAspect="1"/>
                    </pic:cNvPicPr>
                  </pic:nvPicPr>
                  <pic:blipFill>
                    <a:blip r:embed="rId39"/>
                    <a:stretch>
                      <a:fillRect/>
                    </a:stretch>
                  </pic:blipFill>
                  <pic:spPr>
                    <a:xfrm>
                      <a:off x="0" y="0"/>
                      <a:ext cx="3764046" cy="2883195"/>
                    </a:xfrm>
                    <a:prstGeom prst="rect">
                      <a:avLst/>
                    </a:prstGeom>
                  </pic:spPr>
                </pic:pic>
              </a:graphicData>
            </a:graphic>
          </wp:inline>
        </w:drawing>
      </w:r>
    </w:p>
    <w:p w14:paraId="3726F7AA" w14:textId="3D3F1724" w:rsidR="00BA0B0B" w:rsidRDefault="009734D6">
      <w:pPr>
        <w:jc w:val="both"/>
        <w:rPr>
          <w:rFonts w:eastAsiaTheme="minorEastAsia"/>
          <w:sz w:val="20"/>
          <w:szCs w:val="20"/>
          <w:lang w:val="en-US" w:eastAsia="zh-CN"/>
        </w:rPr>
      </w:pPr>
      <w:r>
        <w:rPr>
          <w:rFonts w:eastAsiaTheme="minorEastAsia"/>
          <w:b/>
          <w:lang w:val="en-US" w:eastAsia="en-US"/>
        </w:rPr>
        <w:t xml:space="preserve">Fig. </w:t>
      </w:r>
      <w:r>
        <w:rPr>
          <w:rFonts w:eastAsiaTheme="minorEastAsia" w:hint="eastAsia"/>
          <w:b/>
          <w:lang w:val="en-US" w:eastAsia="zh-CN"/>
        </w:rPr>
        <w:t>S2</w:t>
      </w:r>
      <w:r w:rsidR="00B70801">
        <w:rPr>
          <w:rFonts w:eastAsiaTheme="minorEastAsia" w:hint="eastAsia"/>
          <w:b/>
          <w:lang w:val="en-US" w:eastAsia="zh-CN"/>
        </w:rPr>
        <w:t>7</w:t>
      </w:r>
      <w:r>
        <w:rPr>
          <w:lang w:val="en-US"/>
        </w:rPr>
        <w:t xml:space="preserve"> </w:t>
      </w:r>
      <w:r>
        <w:rPr>
          <w:rFonts w:eastAsiaTheme="minorEastAsia"/>
          <w:lang w:val="en-US" w:eastAsia="zh-CN"/>
        </w:rPr>
        <w:t>Post-training correlation between recognition accuracy and epochs for varying SNR audio signals: Lower SNR (</w:t>
      </w:r>
      <w:r w:rsidR="009B4D8F">
        <w:rPr>
          <w:rFonts w:eastAsiaTheme="minorEastAsia" w:hint="eastAsia"/>
          <w:lang w:val="en-US" w:eastAsia="zh-CN"/>
        </w:rPr>
        <w:t>1</w:t>
      </w:r>
      <w:r>
        <w:rPr>
          <w:rFonts w:eastAsiaTheme="minorEastAsia"/>
          <w:lang w:val="en-US" w:eastAsia="zh-CN"/>
        </w:rPr>
        <w:t>-5 dB) signals show greater training difficulty, yet maintain robust recognition accuracy after SR-BSID processing.</w:t>
      </w:r>
    </w:p>
    <w:p w14:paraId="0D94D62B" w14:textId="77777777" w:rsidR="00BA0B0B" w:rsidRDefault="009734D6">
      <w:pPr>
        <w:pStyle w:val="SMHeading"/>
        <w:spacing w:line="360" w:lineRule="auto"/>
        <w:rPr>
          <w:b w:val="0"/>
          <w:lang w:eastAsia="zh-CN"/>
        </w:rPr>
      </w:pPr>
      <w:r>
        <w:rPr>
          <w:bCs w:val="0"/>
        </w:rPr>
        <w:lastRenderedPageBreak/>
        <w:t xml:space="preserve">Table 1 </w:t>
      </w:r>
      <w:r>
        <w:rPr>
          <w:b w:val="0"/>
        </w:rPr>
        <w:t>Comparison of key metrics among state-of-the-art device</w:t>
      </w:r>
      <w:r>
        <w:rPr>
          <w:rFonts w:hint="eastAsia"/>
          <w:b w:val="0"/>
          <w:lang w:eastAsia="zh-CN"/>
        </w:rPr>
        <w:t>s</w:t>
      </w:r>
      <w:r>
        <w:rPr>
          <w:b w:val="0"/>
          <w:bCs w:val="0"/>
          <w:lang w:eastAsia="zh-CN"/>
        </w:rPr>
        <w:fldChar w:fldCharType="begin"/>
      </w:r>
      <w:r>
        <w:rPr>
          <w:b w:val="0"/>
          <w:bCs w:val="0"/>
          <w:lang w:eastAsia="zh-CN"/>
        </w:rPr>
        <w:instrText xml:space="preserve"> ADDIN ZOTERO_ITEM CSL_CITATION {"citationID":"jsPEjFhk","properties":{"formattedCitation":"\\super 1\\uc0\\u8211{}17\\nosupersub{}","plainCitation":"1–17","noteIndex":0},"citationItems":[{"id":2309,"uris":["http://zotero.org/users/13154729/items/VT449II5"],"itemData":{"id":2309,"type":"article-journal","abstract":"Memristors with steep off-on transitions and high “on” currents are excellent candidates for very low power and efficient electronics. Owing to their switching mechanism based on ion motion and oxidation/reduction process, memristors bridge the gap between MEMS and MOSFETs. They have better reliability similar to MOSFETS and at the same time have the more desirable off-to-on current ratios of MEMS. Here we show that by adding a gate electrode to memristors, the SET/RESET voltages in electrochemical memristors can be controlled enabling their applications in circuits with high input/output isolations. We discuss devices with 2mV/dec sub-threshold slope and show that the gate field effect can be used to modify the SET/RESET voltages considerably. In addition to enabling very low power switches using memristors, the gate can also be used as a global RESET.","container-title":"Solid-State Electronics","DOI":"10.1016/j.sse.2016.10.003","ISSN":"0038-1101","journalAbbreviation":"Solid-State Electronics","page":"20-25","source":"ScienceDirect","title":"[1]Steep sub-threshold current slope (</w:instrText>
      </w:r>
      <w:r>
        <w:rPr>
          <w:rFonts w:ascii="Cambria Math" w:hAnsi="Cambria Math" w:cs="Cambria Math"/>
          <w:b w:val="0"/>
          <w:bCs w:val="0"/>
          <w:lang w:eastAsia="zh-CN"/>
        </w:rPr>
        <w:instrText>∼</w:instrText>
      </w:r>
      <w:r>
        <w:rPr>
          <w:b w:val="0"/>
          <w:bCs w:val="0"/>
          <w:lang w:eastAsia="zh-CN"/>
        </w:rPr>
        <w:instrText xml:space="preserve">2   mV/dec) Pt/Cu2S/Pt gated memristor with lon/Ioff  &gt;   100","volume":"127","author":[{"family":"Mou","given":"N. I."},{"family":"Zhang","given":"Y."},{"family":"Pai","given":"P."},{"family":"Tabib-Azar","given":"M."}],"issued":{"date-parts":[["2017",1,1]]}}},{"id":2302,"uris":["http://zotero.org/users/13154729/items/TXQ2WS59"],"itemData":{"id":2302,"type":"webpage","abstract":"It has been shown that a ferroelectric material integrated into the gate stack of a transistor can create an effective negative capacitance (NC) that allows the device to overcome “Boltzmann tyranny”. While this switching below the thermal limit has been observed with Si-based NC field-effect transistors (NC-FETs), the adaptation to 2D materials would enable a device that is scalable in operating voltage as well as size. In this work, we demonstrate sustained sub-60 mV/dec switching, with a minimum subthreshold swing (SS) of 6.07 mV/dec (average of 8.03 mV/dec over 4 orders of magnitude in drain current), by incorporating hafnium zirconium oxide (HfZrO2 or HZO) ferroelectric into the gate stack of a MoS2 2D-FET. By first fabricating and characterizing metal–ferroelectric–metal capacitors, the MoS2 is able to be transferred directly on top and characterized with both a standard and a negative capacitance gate stack. The 2D NC-FET exhibited marked enhancement in low-voltage switching behavior compared to the 2D-FET on the same MoS2 channel, reducing the SS by 2 orders of magnitude. A maximum internal voltage gain of </w:instrText>
      </w:r>
      <w:r>
        <w:rPr>
          <w:rFonts w:ascii="Cambria Math" w:hAnsi="Cambria Math" w:cs="Cambria Math"/>
          <w:b w:val="0"/>
          <w:bCs w:val="0"/>
          <w:lang w:eastAsia="zh-CN"/>
        </w:rPr>
        <w:instrText>∼</w:instrText>
      </w:r>
      <w:r>
        <w:rPr>
          <w:b w:val="0"/>
          <w:bCs w:val="0"/>
          <w:lang w:eastAsia="zh-CN"/>
        </w:rPr>
        <w:instrText xml:space="preserve">28× was realized with </w:instrText>
      </w:r>
      <w:r>
        <w:rPr>
          <w:rFonts w:ascii="Cambria Math" w:hAnsi="Cambria Math" w:cs="Cambria Math"/>
          <w:b w:val="0"/>
          <w:bCs w:val="0"/>
          <w:lang w:eastAsia="zh-CN"/>
        </w:rPr>
        <w:instrText>∼</w:instrText>
      </w:r>
      <w:r>
        <w:rPr>
          <w:b w:val="0"/>
          <w:bCs w:val="0"/>
          <w:lang w:eastAsia="zh-CN"/>
        </w:rPr>
        <w:instrText>12 nm thick HZO. Several unique dependencies were observed, including threshold voltage (Vth) shifts in the 2D NC-FET (compared to the 2D-FET) that correlate with source/drain overlap capacitance and changes in HZO (ferroelectric) and HfO2 (dielectric) thicknesses. Remarkable sub-60 mV/dec switching was obtained from 2D NC-FETs of various sizes and gate stack thicknesses, demonstrating great potential for enabling size- and voltage-scalable transistors.","container-title":"ACS Publications","genre":"rapid-communication","language":"EN","license":"© 2017 American Chemical Society","note":"archive_location: world\npublisher: American Chemical Society\nDOI: 10.1021/acs.nanolett.7b01584","title":"[5]Sustained Sub-60 mV/decade Switching via the Negative Capacitance Effect in MoS2 Transistors","URL":"https://pubs.acs.org/doi/full/10.1021/acs.nanolett.7b01584","author":[{"family":"McGuire","given":"Felicia A."},{"family":"Lin","given":"Yuh-Chen"},{"family":"Price","given":"Katherine"},{"family":"Rayner","given":"G. Bruce"},{"family":"Khandelwal","given":"Sourabh"},{"family":"Salahuddin","given":"Sayeef"},{"family":"Franklin","given":"Aaron D."}],"accessed":{"date-parts":[["2025",4,8]]},"issued":{"date-parts":[["2017",7,12]]}}},{"id":2300,"uris":["http://zotero.org/users/13154729/items/XVA5LFBV"],"itemData":{"id":2300,"type":"article-journal","abstract":"A bidirect</w:instrText>
      </w:r>
      <w:r>
        <w:rPr>
          <w:rFonts w:hint="eastAsia"/>
          <w:b w:val="0"/>
          <w:bCs w:val="0"/>
          <w:lang w:eastAsia="zh-CN"/>
        </w:rPr>
        <w:instrText xml:space="preserve">ional threshold switching selector based on highly ordered Ag nanodots is achieved to provide sufficiently large RESET driving current of </w:instrText>
      </w:r>
      <w:r>
        <w:rPr>
          <w:rFonts w:hint="eastAsia"/>
          <w:b w:val="0"/>
          <w:bCs w:val="0"/>
          <w:lang w:eastAsia="zh-CN"/>
        </w:rPr>
        <w:instrText>≈</w:instrText>
      </w:r>
      <w:r>
        <w:rPr>
          <w:rFonts w:hint="eastAsia"/>
          <w:b w:val="0"/>
          <w:bCs w:val="0"/>
          <w:lang w:eastAsia="zh-CN"/>
        </w:rPr>
        <w:instrText>2.3 mA and extremely high selectivity beyond 109. ...","DOI":"10.1002/advs.201900024","language":"en","source":"advanced.onlinelibrary.wiley.com","title":"[6]A Threshold Switching Selector Based on Highly Ordered Ag Nanodots for X</w:instrText>
      </w:r>
      <w:r>
        <w:rPr>
          <w:rFonts w:hint="eastAsia"/>
          <w:b w:val="0"/>
          <w:bCs w:val="0"/>
          <w:lang w:eastAsia="zh-CN"/>
        </w:rPr>
        <w:instrText>‐</w:instrText>
      </w:r>
      <w:r>
        <w:rPr>
          <w:rFonts w:hint="eastAsia"/>
          <w:b w:val="0"/>
          <w:bCs w:val="0"/>
          <w:lang w:eastAsia="zh-CN"/>
        </w:rPr>
        <w:instrText>Point Memory Applications","URL":"https://advanced.onlinelibrary.wiley.com/doi/10.1002/advs.201900024","author":[{"family":"Hua","given":"Qi</w:instrText>
      </w:r>
      <w:r>
        <w:rPr>
          <w:b w:val="0"/>
          <w:bCs w:val="0"/>
          <w:lang w:eastAsia="zh-CN"/>
        </w:rPr>
        <w:instrText>lin"},{"family":"Wu","given":"Huaqiang"},{"family":"Gao","given":"Bin"},{"family":"Zhao","given":"Meiran"},{"family":"Li","given":"Yujia"},{"family":"Li","given":"Xinyi"},{"family":"Hou","given":"Xiang"},{"family":"Chang","given":"Meng-Fan (Marvin)"},{"family":"Zhou","given":"Peng"},{"family":"Qian","given":"He"}],"accessed":{"date-parts":[["2025",4,8]]}}},{"id":2301,"uris":["http://zotero.org/users/13154729/items/9HCU5N7P"],"itemData":{"id":2301,"type":"article-journal","abstract":"Large banks of cheap, fast, non-volatile, energy efficient, scalable solid-state memories are an increasingly essential component for today's data intensive computing. Conductive-bridge random access memory (CBRAM) – which involves voltage driven formation and dissolution of Cu or Ag filaments in a Cu (or Ag","DOI":"10.1039/C8NR01540F","language":"en","note":"publisher: The Royal Society of Chemistry","source":"pubs.rsc.org","title":"[7]Silicon compatible Sn-based resistive switching memory","URL":"https://pubs.rsc.org/en/content/articlelanding/2018/nr/c8nr01540f","author":[{"family":"Sonde","given":"Sushant"},{"family":"Chakrabarti","given":"Bhaswar"},{"family":"Liu","given":"Yuzi"},{"family":"Sasikumar","given":"Kiran"},{"family":"Lin","given":"Jianqiang"},{"family":"Stan","given":"Liliana"},{"family":"Divan","given":"Ralu"},{"family":"Ocola","given":"Leonidas E."},{"family":"Rosenmann","given":"Daniel"},{"family":"Choudhury","given":"Pabitra"},{"family":"Ni","given":"Kai"},{"family":"Sankaranarayanan","given":"Subramanian K. R. S."},{"family":"Datta","given":"Suman"},{"family":"Guha","given":"Supratik"}],"accessed":{"date-parts":[["2025",4,8]]}}},{"id":2299,"uris":["http://zotero.org/users/13154729/items/UKJ2Y94F"],"itemData":{"id":2299,"type":"article-journal","abstract":"Threshold switches (TSs) are an effective approach for resolving the sneak path problem within a memristor array. VO2 is a promising material for fabricating high-performance TSs. Here we report a single crystal VO2-based TS device with high switching performance. The single crystal monoclinic VO2 channel is","DOI":"10.1039/C9NR08364B","language":"en","note":"publisher: The Royal Society of Chemistry","source":"pubs.rsc.org","title":"[8]A high performance electroformed single-crystallite VO2 threshold switch","URL":"https://pubs.rsc.org/en/content/articlelanding/2019/nr/c9nr08364b","author":[{"family":"Zhou","given":"Xin"},{"family":"Gu","given":"Deen"},{"family":"Li","given":"Yatao"},{"family":"Qin","given":"Haoxin"},{"family":"Jiang","given":"Yadong"},{"family":"Xu","given":"Jimmy"}],"accessed":{"date-parts":[["2025",4,8]]}}},{"id":2298,"uris":["http://zotero.org/users/13154729/items/6ID4UIIY"],"itemData":{"id":2298,"type":"article-journal","container-title":"Nanotechnology","DOI":"10.1088/1361-6528/ab0484","ISSN":"0957-4484, 1361-6528","issue":"21","journalAbbreviation":"Nanotechnology","page":"215201","source":"DOI.org (Crossref)","title":"[9]Steep-slope field-effect transistors with AlGaN/GaN HEMT and oxide-based threshold switching device","volume":"30","author":[{"family":"Huang","given":"Xuanqi"},{"family":"Fang","given":"Runchen"},{"family":"Yang","given":"Chen"},{"family":"Fu","given":"Kai"},{"family":"Fu","given":"Houqiang"},{"family":"Chen","given":"Hong"},{"family":"Yang","given":"Tsung-Han"},{"family":"Zhou","given":"Jingan"},{"family":"Montes","given":"Jossue"},{"family":"Kozicki","given":"Michael"},{"family":"Barnaby","given":"Hugh"},{"family":"Zhang","given":"Baoshun"},{"family":"Zhao","given":"Yuji"}],"issued":{"date-parts":[["2019",5,24]]}}},{"id":2297,"uris":["http://zotero.org/users/13154729/items/549AK72R"],"itemData":{"id":2297,"type":"article-journal","abstract":"We report the poly(p-vinylphenol) (PVP)-based ovonic threshold switching devices. By optimizing the effective device area of the PVP-based device, low threshold voltage and low threshold voltage variation were achieved. By changing the compliance current to affect the strength of the conductive filaments, the threshold switching characteristics of the devices were tested at four different compliance currents of 1 × 10−4 A, 5 × 10−5 A, 1 × 10−5 A, 5 × 10−6, the results show that the lower the limiting current, the lower the on state current. The PVP-based device is used in the design of logic gates to realize the function of “AND” and “OR”. Furthermore, a steep slope FET was realized by connecting the PVP based device in series to the gate electrode of the graphene oxide-field effect transistor. The proposed device achieves an extremely low subthreshold swing of 23.7 mV/decade and a high on-off ratio of</w:instrText>
      </w:r>
      <w:r>
        <w:rPr>
          <w:rFonts w:ascii="Cambria Math" w:hAnsi="Cambria Math" w:cs="Cambria Math"/>
          <w:b w:val="0"/>
          <w:bCs w:val="0"/>
          <w:lang w:eastAsia="zh-CN"/>
        </w:rPr>
        <w:instrText>∼</w:instrText>
      </w:r>
      <w:r>
        <w:rPr>
          <w:b w:val="0"/>
          <w:bCs w:val="0"/>
          <w:lang w:eastAsia="zh-CN"/>
        </w:rPr>
        <w:instrText>105 due to the steep switching of the threshold switching device at the gate region.","container-title":"Surfaces and Interfaces","DOI":"10.1016/j.surfin.2022.101895","ISSN":"2468-0230","journalAbbreviation":"Surfaces and Interfaces","page":"101895","source":"ScienceDirect","title":"[10]Ovonic threshold switching device and its application to logic gate function and steep slope in field effect transistors","volume":"30","author":[{"family":"Wang","given":"Yufei"},{"family":"Yuan","given":"Qi"},{"family":"He","given":"Nian"},{"family":"Sun","given":"Yanmei"},{"family":"Wen","given":"Dianzhong"}],"issued":{"date-parts":[["2022",6,1]]}}},{"id":2292,"uris":["http://zotero.org/users/13154729/items/HK5KL5RI"],"itemData":{"id":2292,"type":"article-journal","abstract":"Programmable metallization cell is one of important threshold switching selectors. We first performed a study on the selector based on amorphous chalcogenide material (Si0.4Te0.6) because of the rigid structure applied in ovonic threshold switch. In the meantime, annealing process is implemented to improve the performance. Results show that devices without annealing process demonstrate a minor threshold switching characteristic, revealing the potential as selector for cross-point memristor array. After implementing annealing process, threshold voltage (Vth), selectivity and endurance of selectors improve. Meanwhile, requirements of high current and a low holding voltage (Vh) for an ideal selector are fulfilled. Using the Ag filament formed during motion of Ag ions, a steep-slope (1.7 mV/dec) for threshold switching with high selectivity (</w:instrText>
      </w:r>
      <w:r>
        <w:rPr>
          <w:rFonts w:ascii="Cambria Math" w:hAnsi="Cambria Math" w:cs="Cambria Math"/>
          <w:b w:val="0"/>
          <w:bCs w:val="0"/>
          <w:lang w:eastAsia="zh-CN"/>
        </w:rPr>
        <w:instrText>∼</w:instrText>
      </w:r>
      <w:r>
        <w:rPr>
          <w:b w:val="0"/>
          <w:bCs w:val="0"/>
          <w:lang w:eastAsia="zh-CN"/>
        </w:rPr>
        <w:instrText xml:space="preserve">104) could be achieved. Owing to the faster diffusivity of Ag atoms in solid-electrolytes, the resulting Ag filament easily dissolved under low current regime. It is deduced that performance improvement is due to the defect reduction within annealing process. Finally, time characteristics of selector devices are tested to verify fast switching and recovery speed for practical applicability.","container-title":"IEEE Journal of the Electron Devices Society","DOI":"10.1109/JEDS.2018.2836400","ISSN":"2168-6734","journalAbbreviation":"IEEE J. Electron Devices Soc.","language":"en","license":"https://ieeexplore.ieee.org/Xplorehelp/downloads/license-information/OAPA.html","page":"674-679","source":"DOI.org (Crossref)","title":"[15]Threshold Switching Behavior of Ag-SiTe-Based Selector Device and Annealing Effect on its Characteristics","volume":"6","author":[{"family":"Song","given":"Bing"},{"family":"Xu","given":"Hui"},{"family":"Liu","given":"Sen"},{"family":"Liu","given":"Haijun"},{"family":"Li","given":"Qingjiang"}],"issued":{"date-parts":[["2018"]]}}},{"id":2291,"uris":["http://zotero.org/users/13154729/items/CZAUYWGC"],"itemData":{"id":2291,"type":"article-journal","abstract":"In this work, an ovonic threshold switching (OTS) selector with simply binary GeSe has been demonstrated. According to mean coordination number theory, Se-rich GeSe was chosen as the dielectric layer. Meanwhile, annealing process was attempted to reduce defect quantity and enhance atomic structure stability. The results showed improving selector performance such as low off current (&lt; 0.1 nA at ~ 1 V), high on current (&gt; 1 mA at ~ 2 V), extremely sharp switching slope (&lt; 3 mv/dec), fast operating speed (turn-on time &lt; 100 ns). In addition, the mechanism of trap-assisted Poole–Frenkel conduction has been deduced to explain the reasons for improvements induced by annealing.","container-title":"Applied Physics A","DOI":"10.1007/s00339-019-3073-z","ISSN":"1432-0630","issue":"11","language":"En","license":"2019 Springer-Verlag GmbH Germany, part of Springer Nature","note":"number: 11\npublisher: Springer","page":"1-6","source":"link.springer.com","title":"[16]An ovonic threshold switching selector based on Se-rich GeSe chalcogenide","volume":"125","author":[{"family":"Song","given":"Bing"},{"family":"Xu","given":"Hui"},{"family":"Liu","given":"Sen"},{"family":"Liu","given":"Haijun"},{"family":"Liu","given":"Qi"},{"family":"Li","given":"Qingjiang"}],"issued":{"date-parts":[["2019",10,24]]}}},{"id":2490,"uris":["http://zotero.org/users/13154729/items/D4L792SN"],"itemData":{"id":2490,"type":"article-journal","abstract":"Abstract\n            \n              The directed </w:instrText>
      </w:r>
      <w:r>
        <w:rPr>
          <w:rFonts w:hint="eastAsia"/>
          <w:b w:val="0"/>
          <w:bCs w:val="0"/>
          <w:lang w:eastAsia="zh-CN"/>
        </w:rPr>
        <w:instrText>assembly of ordered arrays of cubic silver nanoparticles featuring distinct electrical threshold</w:instrText>
      </w:r>
      <w:r>
        <w:rPr>
          <w:rFonts w:hint="eastAsia"/>
          <w:b w:val="0"/>
          <w:bCs w:val="0"/>
          <w:lang w:eastAsia="zh-CN"/>
        </w:rPr>
        <w:instrText>‐</w:instrText>
      </w:r>
      <w:r>
        <w:rPr>
          <w:rFonts w:hint="eastAsia"/>
          <w:b w:val="0"/>
          <w:bCs w:val="0"/>
          <w:lang w:eastAsia="zh-CN"/>
        </w:rPr>
        <w:instrText>switching characteristics is reported. Threshold selectors are key elements for nonvolatile resistive random</w:instrText>
      </w:r>
      <w:r>
        <w:rPr>
          <w:rFonts w:hint="eastAsia"/>
          <w:b w:val="0"/>
          <w:bCs w:val="0"/>
          <w:lang w:eastAsia="zh-CN"/>
        </w:rPr>
        <w:instrText>‐</w:instrText>
      </w:r>
      <w:r>
        <w:rPr>
          <w:rFonts w:hint="eastAsia"/>
          <w:b w:val="0"/>
          <w:bCs w:val="0"/>
          <w:lang w:eastAsia="zh-CN"/>
        </w:rPr>
        <w:instrText>access</w:instrText>
      </w:r>
      <w:r>
        <w:rPr>
          <w:rFonts w:hint="eastAsia"/>
          <w:b w:val="0"/>
          <w:bCs w:val="0"/>
          <w:lang w:eastAsia="zh-CN"/>
        </w:rPr>
        <w:instrText>‐</w:instrText>
      </w:r>
      <w:r>
        <w:rPr>
          <w:rFonts w:hint="eastAsia"/>
          <w:b w:val="0"/>
          <w:bCs w:val="0"/>
          <w:lang w:eastAsia="zh-CN"/>
        </w:rPr>
        <w:instrText>memory architectures, as they suppress sneak path currents in crosspoint arrays. Nanocubes are site</w:instrText>
      </w:r>
      <w:r>
        <w:rPr>
          <w:rFonts w:hint="eastAsia"/>
          <w:b w:val="0"/>
          <w:bCs w:val="0"/>
          <w:lang w:eastAsia="zh-CN"/>
        </w:rPr>
        <w:instrText>‐</w:instrText>
      </w:r>
      <w:r>
        <w:rPr>
          <w:rFonts w:hint="eastAsia"/>
          <w:b w:val="0"/>
          <w:bCs w:val="0"/>
          <w:lang w:eastAsia="zh-CN"/>
        </w:rPr>
        <w:instrText xml:space="preserve">selectively immobilized on a TiO\n              2\n              </w:instrText>
      </w:r>
      <w:r>
        <w:rPr>
          <w:rFonts w:hint="eastAsia"/>
          <w:b w:val="0"/>
          <w:bCs w:val="0"/>
          <w:lang w:eastAsia="zh-CN"/>
        </w:rPr>
        <w:instrText>‐</w:instrText>
      </w:r>
      <w:r>
        <w:rPr>
          <w:rFonts w:hint="eastAsia"/>
          <w:b w:val="0"/>
          <w:bCs w:val="0"/>
          <w:lang w:eastAsia="zh-CN"/>
        </w:rPr>
        <w:instrText>coated silicon surface via a complementary molecular surface functionalization of nanoparticles and substrate based on a Cu(I)</w:instrText>
      </w:r>
      <w:r>
        <w:rPr>
          <w:rFonts w:hint="eastAsia"/>
          <w:b w:val="0"/>
          <w:bCs w:val="0"/>
          <w:lang w:eastAsia="zh-CN"/>
        </w:rPr>
        <w:instrText>‐</w:instrText>
      </w:r>
      <w:r>
        <w:rPr>
          <w:rFonts w:hint="eastAsia"/>
          <w:b w:val="0"/>
          <w:bCs w:val="0"/>
          <w:lang w:eastAsia="zh-CN"/>
        </w:rPr>
        <w:instrText>catalyzed alkyne</w:instrText>
      </w:r>
      <w:r>
        <w:rPr>
          <w:rFonts w:hint="eastAsia"/>
          <w:b w:val="0"/>
          <w:bCs w:val="0"/>
          <w:lang w:eastAsia="zh-CN"/>
        </w:rPr>
        <w:instrText>‐</w:instrText>
      </w:r>
      <w:r>
        <w:rPr>
          <w:rFonts w:hint="eastAsia"/>
          <w:b w:val="0"/>
          <w:bCs w:val="0"/>
          <w:lang w:eastAsia="zh-CN"/>
        </w:rPr>
        <w:instrText>azide cycloaddition without any physical template. Electrical characterization of individual silver nanocubes by conductive</w:instrText>
      </w:r>
      <w:r>
        <w:rPr>
          <w:rFonts w:hint="eastAsia"/>
          <w:b w:val="0"/>
          <w:bCs w:val="0"/>
          <w:lang w:eastAsia="zh-CN"/>
        </w:rPr>
        <w:instrText>‐</w:instrText>
      </w:r>
      <w:r>
        <w:rPr>
          <w:rFonts w:hint="eastAsia"/>
          <w:b w:val="0"/>
          <w:bCs w:val="0"/>
          <w:lang w:eastAsia="zh-CN"/>
        </w:rPr>
        <w:instrText>probe atomic force microscopy reveals pronounced and reproducible threshold</w:instrText>
      </w:r>
      <w:r>
        <w:rPr>
          <w:rFonts w:hint="eastAsia"/>
          <w:b w:val="0"/>
          <w:bCs w:val="0"/>
          <w:lang w:eastAsia="zh-CN"/>
        </w:rPr>
        <w:instrText>‐</w:instrText>
      </w:r>
      <w:r>
        <w:rPr>
          <w:rFonts w:hint="eastAsia"/>
          <w:b w:val="0"/>
          <w:bCs w:val="0"/>
          <w:lang w:eastAsia="zh-CN"/>
        </w:rPr>
        <w:instrText>switching behavior, featuring ultralow OFF</w:instrText>
      </w:r>
      <w:r>
        <w:rPr>
          <w:b w:val="0"/>
          <w:bCs w:val="0"/>
          <w:lang w:eastAsia="zh-CN"/>
        </w:rPr>
        <w:instrText xml:space="preserve"> currents below 1 pA, steep turn</w:instrText>
      </w:r>
      <w:r>
        <w:rPr>
          <w:rFonts w:hint="eastAsia"/>
          <w:b w:val="0"/>
          <w:bCs w:val="0"/>
          <w:lang w:eastAsia="zh-CN"/>
        </w:rPr>
        <w:instrText>‐</w:instrText>
      </w:r>
      <w:r>
        <w:rPr>
          <w:b w:val="0"/>
          <w:bCs w:val="0"/>
          <w:lang w:eastAsia="zh-CN"/>
        </w:rPr>
        <w:instrText>on slopes of &lt;50 mV dec\n              −1\n              and ON</w:instrText>
      </w:r>
      <w:r>
        <w:rPr>
          <w:rFonts w:hint="eastAsia"/>
          <w:b w:val="0"/>
          <w:bCs w:val="0"/>
          <w:lang w:eastAsia="zh-CN"/>
        </w:rPr>
        <w:instrText>‐</w:instrText>
      </w:r>
      <w:r>
        <w:rPr>
          <w:b w:val="0"/>
          <w:bCs w:val="0"/>
          <w:lang w:eastAsia="zh-CN"/>
        </w:rPr>
        <w:instrText>OFF ratios in excess of 10\n              3\n              . Numerical simulation of Ag</w:instrText>
      </w:r>
      <w:r>
        <w:rPr>
          <w:rFonts w:hint="eastAsia"/>
          <w:b w:val="0"/>
          <w:bCs w:val="0"/>
          <w:lang w:eastAsia="zh-CN"/>
        </w:rPr>
        <w:instrText>‐</w:instrText>
      </w:r>
      <w:r>
        <w:rPr>
          <w:b w:val="0"/>
          <w:bCs w:val="0"/>
          <w:lang w:eastAsia="zh-CN"/>
        </w:rPr>
        <w:instrText>ion migration dynamics in the TiO\n              2\n              elec</w:instrText>
      </w:r>
      <w:r>
        <w:rPr>
          <w:rFonts w:hint="eastAsia"/>
          <w:b w:val="0"/>
          <w:bCs w:val="0"/>
          <w:lang w:eastAsia="zh-CN"/>
        </w:rPr>
        <w:instrText>trolyte using a kinetic Monte Carlo model supports a switching mechanism based on conductive filament formation from Ag nanoclusters, and their reversible rupture in the low</w:instrText>
      </w:r>
      <w:r>
        <w:rPr>
          <w:rFonts w:hint="eastAsia"/>
          <w:b w:val="0"/>
          <w:bCs w:val="0"/>
          <w:lang w:eastAsia="zh-CN"/>
        </w:rPr>
        <w:instrText>‐</w:instrText>
      </w:r>
      <w:r>
        <w:rPr>
          <w:rFonts w:hint="eastAsia"/>
          <w:b w:val="0"/>
          <w:bCs w:val="0"/>
          <w:lang w:eastAsia="zh-CN"/>
        </w:rPr>
        <w:instrText>voltage regime. Assembled Ag nanocube threshold selectors are proposed for applic</w:instrText>
      </w:r>
      <w:r>
        <w:rPr>
          <w:b w:val="0"/>
          <w:bCs w:val="0"/>
          <w:lang w:eastAsia="zh-CN"/>
        </w:rPr>
        <w:instrText>ations in memristive memory architectures, in particular for future highly integrated 3D circuitry.","container-title":"Advanced Electronic Materials","DOI":"10.1002/aelm.201900098","ISSN":"2199-160X, 2199-160X","issue":"7","journalAbbreviation":"Adv Elec</w:instrText>
      </w:r>
      <w:r>
        <w:rPr>
          <w:rFonts w:hint="eastAsia"/>
          <w:b w:val="0"/>
          <w:bCs w:val="0"/>
          <w:lang w:eastAsia="zh-CN"/>
        </w:rPr>
        <w:instrText>t Materials","language":"en","page":"1900098","source":"DOI.org (Crossref)","title":"[17]Directed Assembly of Nanoparticle Threshold</w:instrText>
      </w:r>
      <w:r>
        <w:rPr>
          <w:rFonts w:hint="eastAsia"/>
          <w:b w:val="0"/>
          <w:bCs w:val="0"/>
          <w:lang w:eastAsia="zh-CN"/>
        </w:rPr>
        <w:instrText>‐</w:instrText>
      </w:r>
      <w:r>
        <w:rPr>
          <w:rFonts w:hint="eastAsia"/>
          <w:b w:val="0"/>
          <w:bCs w:val="0"/>
          <w:lang w:eastAsia="zh-CN"/>
        </w:rPr>
        <w:instrText>Selector Arrays","volume":"5","author":[{"family":"Speckbacher","given":"Maximilian"},{"family":"Rinderle","given":"Michael"},{"family":"Kaiser","given":"Waldemar"},{"family":"Osman","given":"Eiman A."},{"family":"Chryssikos","given":"Domenikos"},{"family":"Cattani</w:instrText>
      </w:r>
      <w:r>
        <w:rPr>
          <w:rFonts w:hint="eastAsia"/>
          <w:b w:val="0"/>
          <w:bCs w:val="0"/>
          <w:lang w:eastAsia="zh-CN"/>
        </w:rPr>
        <w:instrText>‐</w:instrText>
      </w:r>
      <w:r>
        <w:rPr>
          <w:rFonts w:hint="eastAsia"/>
          <w:b w:val="0"/>
          <w:bCs w:val="0"/>
          <w:lang w:eastAsia="zh-CN"/>
        </w:rPr>
        <w:instrText>Scholz","given":"Anna"},{"family":"Gibbs","given":"Julianne M."},{"family":"Gagliardi","given":"Alessio"},{"fam</w:instrText>
      </w:r>
      <w:r>
        <w:rPr>
          <w:b w:val="0"/>
          <w:bCs w:val="0"/>
          <w:lang w:eastAsia="zh-CN"/>
        </w:rPr>
        <w:instrText>ily":"Tornow","given":"Marc"}],"issued":{"date-parts":[["2019",7]]}}},{"id":2709,"uris":["http://zotero.org/users/13154729/items/C2TLNR8R"],"itemData":{"id":2709,"type":"article-journal","abstract":"AbstractMemristor, processing data storage and logic ope</w:instrText>
      </w:r>
      <w:r>
        <w:rPr>
          <w:rFonts w:hint="eastAsia"/>
          <w:b w:val="0"/>
          <w:bCs w:val="0"/>
          <w:lang w:eastAsia="zh-CN"/>
        </w:rPr>
        <w:instrText>ration all</w:instrText>
      </w:r>
      <w:r>
        <w:rPr>
          <w:rFonts w:hint="eastAsia"/>
          <w:b w:val="0"/>
          <w:bCs w:val="0"/>
          <w:lang w:eastAsia="zh-CN"/>
        </w:rPr>
        <w:instrText>‐</w:instrText>
      </w:r>
      <w:r>
        <w:rPr>
          <w:rFonts w:hint="eastAsia"/>
          <w:b w:val="0"/>
          <w:bCs w:val="0"/>
          <w:lang w:eastAsia="zh-CN"/>
        </w:rPr>
        <w:instrText>in</w:instrText>
      </w:r>
      <w:r>
        <w:rPr>
          <w:rFonts w:hint="eastAsia"/>
          <w:b w:val="0"/>
          <w:bCs w:val="0"/>
          <w:lang w:eastAsia="zh-CN"/>
        </w:rPr>
        <w:instrText>‐</w:instrText>
      </w:r>
      <w:r>
        <w:rPr>
          <w:rFonts w:hint="eastAsia"/>
          <w:b w:val="0"/>
          <w:bCs w:val="0"/>
          <w:lang w:eastAsia="zh-CN"/>
        </w:rPr>
        <w:instrText>one, is an advanced configuration for next generation computer. In this work, a bismuth doped tin oxide (Bi:SnO2) memristor with ITO/Bi:SnO2/TiN structure has been fabricated. Observing from transmission electron microscope (TEM) for the Bi:SnO2 device, it is found that the bismuth atoms surround the surface of SnO2 crystals to form the coaxial Bi conductive filament. The self</w:instrText>
      </w:r>
      <w:r>
        <w:rPr>
          <w:rFonts w:hint="eastAsia"/>
          <w:b w:val="0"/>
          <w:bCs w:val="0"/>
          <w:lang w:eastAsia="zh-CN"/>
        </w:rPr>
        <w:instrText>‐</w:instrText>
      </w:r>
      <w:r>
        <w:rPr>
          <w:rFonts w:hint="eastAsia"/>
          <w:b w:val="0"/>
          <w:bCs w:val="0"/>
          <w:lang w:eastAsia="zh-CN"/>
        </w:rPr>
        <w:instrText>compliance current, switching voltage and operating current of Bi:SnO2 memristor are remarkably smaller than that of</w:instrText>
      </w:r>
      <w:r>
        <w:rPr>
          <w:b w:val="0"/>
          <w:bCs w:val="0"/>
          <w:lang w:eastAsia="zh-CN"/>
        </w:rPr>
        <w:instrText xml:space="preserve"> ITO/SnO2/TiN device. With the content of 4.8% Bi doping, the SET operating power of doped device is 16 µW for ITO/Bi:SnO2/TiN memory cell of 0.4 × 0.4 µm2, which is cut down by two orders of magnitude. Hence, the findings in this study suggest that Bi:SnO2 memristors hold significant potential for application in low power memory and broadening the understanding of existing resistive switching (RS) mechanism.","container-title":"Small","DOI":"10.1002/smll.202004619","ISSN":"1613-6810, 1613-6829","issue":"</w:instrText>
      </w:r>
      <w:r>
        <w:rPr>
          <w:rFonts w:hint="eastAsia"/>
          <w:b w:val="0"/>
          <w:bCs w:val="0"/>
          <w:lang w:eastAsia="zh-CN"/>
        </w:rPr>
        <w:instrText>46","language":"en","license":"http://onlinelibrary.wiley.com/termsAndConditions#vor","note":"publisher: Wiley","source":"Crossref","title":"A Robust and Low</w:instrText>
      </w:r>
      <w:r>
        <w:rPr>
          <w:rFonts w:hint="eastAsia"/>
          <w:b w:val="0"/>
          <w:bCs w:val="0"/>
          <w:lang w:eastAsia="zh-CN"/>
        </w:rPr>
        <w:instrText>‐</w:instrText>
      </w:r>
      <w:r>
        <w:rPr>
          <w:rFonts w:hint="eastAsia"/>
          <w:b w:val="0"/>
          <w:bCs w:val="0"/>
          <w:lang w:eastAsia="zh-CN"/>
        </w:rPr>
        <w:instrText>Power Bismuth Doped Tin Oxide Memristor Derived from Coaxial Conductive Filaments","URL":"https://onlinelibrary.wiley.com/doi/10.1002/smll.202004619","volume":"16","author":[{"family":"Liu","given":"Yanxin"},{"family":"Ye","given":"Cong"},{"family":"Chang","given":"Kuan</w:instrText>
      </w:r>
      <w:r>
        <w:rPr>
          <w:rFonts w:hint="eastAsia"/>
          <w:b w:val="0"/>
          <w:bCs w:val="0"/>
          <w:lang w:eastAsia="zh-CN"/>
        </w:rPr>
        <w:instrText>‐</w:instrText>
      </w:r>
      <w:r>
        <w:rPr>
          <w:rFonts w:hint="eastAsia"/>
          <w:b w:val="0"/>
          <w:bCs w:val="0"/>
          <w:lang w:eastAsia="zh-CN"/>
        </w:rPr>
        <w:instrText>Chang"},{"family":"Li","given":"Lei"},{"family":"Jiang","given":"Bei"},{"family":</w:instrText>
      </w:r>
      <w:r>
        <w:rPr>
          <w:b w:val="0"/>
          <w:bCs w:val="0"/>
          <w:lang w:eastAsia="zh-CN"/>
        </w:rPr>
        <w:instrText xml:space="preserve">"Xia","given":"Chen"},{"family":"Liu","given":"Lei"},{"family":"Zhang","given":"Xin"},{"family":"Liu","given":"Xinyi"},{"family":"Xia","given":"Tian"},{"family":"Peng","given":"Zehui"},{"family":"Cao","given":"Guangsen"},{"family":"Cheng","given":"Gong"},{"family":"Ke","given":"Shanwu"},{"family":"Wang","given":"Jiahong"}],"accessed":{"date-parts":[["2025",7,25]]},"issued":{"date-parts":[["2020",11]]}}},{"id":2705,"uris":["http://zotero.org/users/13154729/items/LIY8RBN2"],"itemData":{"id":2705,"type":"article-journal","abstract":"Non-uniformity of switching parameters, e.g., switching voltage and resistances of the high resistance state and low resistance state, could obstruct the practical application of electrochemical metallization cells. Higher switching voltages are also undesirable in terms of power consumption. The non-uniformity is usually related to the number of conductive filaments (CFs) and their degree of dissolution during the RESET process. The number of CFs can be ideally reduced to one by decreasing the device area. However, the degree and location of the dissolution of CFs are difficult to control. Here, we introduce a SiO2/Ta2O5 heterojunction to control the dissolution of CFs, in which the growth direction and the shape of CFs are controlled by the SiO2 layer, while the dissolution of CFs is controlled in the ultrathin Ta2O5 layer. Transmission electron microscopy analysis clearly suggested that the formation/dissolution of CFs occurs in the ultrathin Ta2O5 layer, resulting in low voltage operation (&lt;0.3 V) with high stability and uniformity (Vset distributes in the range smaller than 0.1 V and Vreset distributes in the range smaller than 0.08 V).","container-title":"Nanoscale","DOI":"10.1039/C9NR09845C","ISSN":"2040-3372","issue":"7","journalAbbreviation":"Nanoscale","language":"en","note":"publisher: The Royal Society of Chemistry","page":"4320-4327","source":"pubs.rsc.org","title":"SiO2/Ta2O5 heterojunction ECM memristors: physical nature of their low voltage operation with high stability and uniformity","title-short":"SiO2/Ta2O5 heterojunction ECM memristors","volume":"12","author":[{"family":"Guo","given":"Xiangyu"},{"family":"Wang","given":"Qi"},{"family":"Lv","given":"Xiaowei"},{"family":"Yang","given":"Huiyong"},{"family":"Sun","given":"Kai"},{"family":"Yang","given":"Dongliang"},{"family":"Zhang","given":"Haitao"},{"family":"Hasegawa","given":"Tsuyoshi"},{"family":"He","given":"Deyan"}],"issued":{"date-parts":[["2020",2,20]]}}},{"id":2710,"uris":["http://zotero.org/users/13154729/items/HVQKE7Y9"],"itemData":{"id":2710,"type":"article-journal","abstract":"The ability to scale two-dimensional (2D) material thickness down to a single monolayer presents a promising opportunity to realize high-speed energy-efficient memristors. Here, we report an ultra-fast memristor fabricated using atomically thin sheets of 2D hexagonal Boron Nitride, exhibiting the shortest observed switching speed (120 ps) among 2D memristors and low switching energy (2pJ). Furthermore, we study the switching dynamics of these memristors using ultra-short (120ps-3ns) voltage pulses, a frequency range that is highly relevant in the context of modern complementary metal oxide semiconductor (CMOS) circuits. We employ statistical analysis of transient characteristics to gain insights into the memristor switching mechanism. Cycling endurance data confirms the ultra-fast switching capability of these memristors, making them attractive for next generation computing, storage, and Radio-Frequency (RF) circuit applications.","container-title":"Nature Communications","DOI":"10.1038/s41467-024-46372-y","ISSN":"2041-1723","issue":"1","journalAbbreviation":"Nat Commun","language":"en","license":"2024 The Author(s)","note":"publisher: Nature Publishing Group","page":"2334","source":"www.nature.com","title":"Ultra-fast switching memristors based on two-dimensional materials","volume":"15","author":[{"family":"Teja Nibhanupudi","given":"S. S."},{"family":"Roy","given":"Anupam"},{"family":"Veksler","given":"Dmitry"},{"family":"Coupin","given":"Matthew"},{"family":"Matthews","given":"Kevin C."},{"family":"Disiena","given":"Matthew"},{"family":"Ansh","given":""},{"family":"Singh","given":"Jatin V."},{"family":"Gearba-Dolocan","given":"Ioana R."},{"family":"Warner","given":"Jamie"},{"family":"Kulkarni","given":"Jaydeep P."},{"family":"Bersuker","given":"Gennadi"},{"family":"Banerjee","given":"Sanjay K."}],"issued":{"date-parts":[["2024",3,14]]}}},{"id":2713,"uris":["http://zotero.org/users/13154729/items/BCDZX457"],"itemData":{"id":2713,"type":"article-journal","abstract":"Two-dimensional (2D) halide perovskites have become a promising class of memristive materials due to their low power consumption, compositional versatility, and microstructural anisotropy in electronics. However, implementing high-performance resistive random-access memory requires a higher reliability and moisture resistance. To address these issues, component studies and attempts to improve the phase stability have been reported but have not been able to achieve sufficient reliability. Here, highly textured thin films grown perpendicular to the substrate in Ruddlesden–Popper 2D perovskites exhibited highly stable and reliable binary memory performance. We further built a flexible crossbar array to verify data storage capability, achieving a high device yield, robust endurance, long retention, reliability to operate under bending conditions, and moisture stability over a year. These device performances are attributed to preformed vertically oriented nanocrystals that allow the conductive filaments to operate reliably. Our finding provides the material design strategy that can be extended to the development of semiconductor materials for next-generation memory devices.","container-title":"ACS Nano","DOI":"10.1021/acsnano.4c07673","ISSN":"1936-0851","issue":"41","journalAbbreviation":"ACS Nano","note":"publisher: American Chemical Society","page":"28131-28141","source":"ACS Publications","title":"Reliable and Robust Two-Dimensional Perovskite Memristors for Flexible-Resistive Random-Access Memory Array","volume":"18","author":[{"family":"Kim","given":"Seung Ju"},{"family":"Im","given":"In Hyuk"},{"family":"Baek","given":"Ji Hyun"},{"family":"Park","given":"Sung Hyuk"},{"family":"Kim","given":"Jae Young"},{"family":"Yang","given":"J. Joshua"},{"family":"Jang","given":"Ho Won"}],"issued":{"date-parts":[["2024",10,15]]}}},{"id":2723,"uris":["http://zotero.org/users/13154729/items/IFYGYNXW"],"itemData":{"id":2723,"type":"article-journal","abstract":"Neuromorphic computing, consisting of artificial synapses and neural network algorithms, is much more energy efficient and is expected to replace traditional von Neumann computer architectures in the development of nextgeneration intelligent systems. Therefore, in this work, the flexible Au/CuInS2/Cu memristor were prepared using a low-temperature solution method. The flexible memristor demonstrates notable bipolar resistance switching performance, including a smaller threshold voltage (~0.6 V), a larger switching ratio (~102) and lower power consumption (~10 nW). In addition, the device accurately simulates simple biological synaptic behaviors, such as long-term and short-term plasticity (LTP and STP), paired-pulse facilitation (PPF) and spiketime-dependent plasticity (STDP). The MNIST-based Convolutional Neural Network (CNN) architecture was created to apply an enhanced stochastic adaptive algorithm and raise the recognition accuracy of the MNIST and Fashion-MNIST datasets to 96.7 % and 81.4 %, respectively. The results suggest that the 2D CuInS2 nanomaterials with outstanding performance provide a viable method for developing future flexible neural morphology computing systems.","container-title":"Materials Science in Semiconductor Processing","DOI":"10.1016/j.mssp.2024.109203","ISSN":"1369-8001","language":"en","license":"https://www.elsevier.com/tdm/userlicense/1.0/","note":"publisher: Elsevier BV","page":"109203","source":"Crossref","title":"A flexible artificial synapse based on the two-dimensional CuInS2 memristor for neural morphology calculation","volume":"188","author":[{"family":"Chen","given":"Zhong-Jie"},{"family":"Tang","given":"Zhenhua"},{"family":"Fan","given":"Zhao-Yuan"},{"family":"Fang","given":"Jun-Lin"},{"family":"Qiu","given":"Fan"},{"family":"Jiang","given":"Yan-Ping"},{"family":"Tang","given":"Xin-Gui"},{"family":"Zhou","given":"Yi-Chun"},{"family":"Jiang","given":"Xiujuan"},{"family":"Gao","given":"Ju"}],"issued":{"date-parts":[["2025",3]]}}},{"id":2717,"uris":["http://zotero.org/users/13154729/items/9MGY7IJL"],"itemData":{"id":2717,"type":"article-journal","abstract":"The integration of hydrogen-bonded organic frameworks (HOFs) into electronic devices holds great promise due to their high crystallinity, intrinsic porosity, and easy regeneration. However, despite their potential, the utilization of HOFs in electronic devices remains largely unexplored, primarily due to the challenges associated with fabricating high-quality films. Herein, a controlled synthesis of HOF nanofilms with smooth surface, good crystallinity, and high orientation is achieved using a solution-processed approach. The memristors exhibit outstanding bipolar switching performance with a low set voltage of 0.86 V, excellent retention of 1.64 × 104 s, and operational endurance of 60 cycles. Additionally, these robust memristors display remarkable thermal stability, maintaining their performance even at elevated temperatures of up to 200 °C. More strikingly, scratched HOF films can be readily regenerated through a simple solvent rinsing process, enabling their reuse for the fabrication of new memristors, which is difficult to achieve with traditional resistive switching materials. Additionally, a switching mechanism based on the reversible formation and annihilation of conductive filaments is revealed. This work provides novel and invaluable insights that have a significant impact on advancing the widespread adoption of HOFs as active layers in electronic devices.","container-title":"Advanced Materials","DOI":"10.1002/adma.202305344","ISSN":"1521-4095","issue":"47","language":"en","license":"© 2023 Wiley-VCH GmbH","note":"_eprint: https://advanced.onlinelibrary.wiley.com/doi/pdf/10.1002/adma.202305344","page":"2305344","source":"Wiley Online Library","title":"Solution-Processed Hydrogen-Bonded Organic Framework Nanofilms for High-Performance Resistive Memory Devices","volume":"35","author":[{"family":"Yang","given":"Xue"},{"family":"Huang","given":"Jian"},{"family":"Gao","given":"Shuiying"},{"family":"Zhao","given":"Yanqi"},{"family":"Huang","given":"Tao"},{"family":"Li","given":"Hongfang"},{"family":"Liu","given":"Tianfu"},{"family":"Yu","given":"Zhiyang"},{"family":"Cao","given":"Rong"}],"issued":{"date-parts":[["2023"]]}}},{"id":2715,"uris":["http://zotero.org/users/13154729/items/9VUDFSR6"],"itemData":{"id":2715,"type":"article-journal","abstract":"In this Letter, we present a dual-layer oxide volatile memristor characterized by an Ag/TaOx/ZnO/Pt structure. This innovative design deviates from traditional Ag/ZnO/Pt devices, chiefly through the introduction of a thin TaOx layer between the electrolyte and the active electrode. Our devices exhibit remarkable features, including an unprecedentedly low switching voltage slope, measuring a mere 0.221 mV/dec, and a threshold voltage that can be reduced to as low as 0.177 V. To further elucidate the performance enhancement of the device, we utilize first-principles calculations. The results reveal that the relatively high formation energy of oxygen vacancies in the supplementary TaOx layer facilitates meticulous control over the rupture and formation of silver conductive nanofilaments.","container-title":"Applied Physics Letters","DOI":"10.1063/5.0189913","ISSN":"0003-6951, 1077-3118","issue":"10","language":"en","note":"publisher: AIP Publishing","source":"Crossref","title":"Dual-layer volatile memristor with ultralow voltage slope","URL":"https://pubs.aip.org/apl/article/124/10/103502/3268163/Dual-layer-volatile-memristor-with-ultralow","volume":"124","author":[{"family":"Li","given":"Pengtao"},{"family":"Wang","given":"Zijian"},{"family":"Xing","given":"Shengpeng"},{"family":"Wang","given":"Zhen"},{"family":"Xia","given":"Wentai"},{"family":"Fan","given":"Xuemeng"},{"family":"Gao","given":"Dawei"},{"family":"Zhang","given":"Yishu"}],"accessed":{"date-parts":[["2025",7,25]]},"issued":{"date-parts":[["2024",3,4]]}}}],"schema":"https://github.com/citation-style-language/schema/raw/master/csl-citation.json"} </w:instrText>
      </w:r>
      <w:r>
        <w:rPr>
          <w:b w:val="0"/>
          <w:bCs w:val="0"/>
          <w:lang w:eastAsia="zh-CN"/>
        </w:rPr>
        <w:fldChar w:fldCharType="separate"/>
      </w:r>
      <w:r>
        <w:rPr>
          <w:kern w:val="0"/>
          <w:vertAlign w:val="superscript"/>
        </w:rPr>
        <w:t>1–17</w:t>
      </w:r>
      <w:r>
        <w:rPr>
          <w:b w:val="0"/>
          <w:bCs w:val="0"/>
          <w:lang w:eastAsia="zh-CN"/>
        </w:rPr>
        <w:fldChar w:fldCharType="end"/>
      </w:r>
      <w:r>
        <w:rPr>
          <w:lang w:eastAsia="zh-CN"/>
        </w:rPr>
        <w:t xml:space="preserve"> </w:t>
      </w:r>
    </w:p>
    <w:p w14:paraId="54FA10F5" w14:textId="0AC5B447" w:rsidR="00BA0B0B" w:rsidRDefault="00DA5A27">
      <w:pPr>
        <w:pStyle w:val="SMHeading"/>
        <w:spacing w:line="360" w:lineRule="auto"/>
        <w:rPr>
          <w:b w:val="0"/>
          <w:lang w:eastAsia="zh-CN"/>
        </w:rPr>
      </w:pPr>
      <w:r>
        <w:rPr>
          <w:noProof/>
        </w:rPr>
        <w:drawing>
          <wp:inline distT="0" distB="0" distL="0" distR="0" wp14:anchorId="5DA1B92B" wp14:editId="6F247442">
            <wp:extent cx="5760720" cy="6144260"/>
            <wp:effectExtent l="0" t="0" r="0" b="0"/>
            <wp:docPr id="1976981321" name="图片 2"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1321" name="图片 2" descr="表格&#10;&#10;AI 生成的内容可能不正确。"/>
                    <pic:cNvPicPr/>
                  </pic:nvPicPr>
                  <pic:blipFill>
                    <a:blip r:embed="rId40"/>
                    <a:stretch>
                      <a:fillRect/>
                    </a:stretch>
                  </pic:blipFill>
                  <pic:spPr>
                    <a:xfrm>
                      <a:off x="0" y="0"/>
                      <a:ext cx="5760720" cy="6144260"/>
                    </a:xfrm>
                    <a:prstGeom prst="rect">
                      <a:avLst/>
                    </a:prstGeom>
                  </pic:spPr>
                </pic:pic>
              </a:graphicData>
            </a:graphic>
          </wp:inline>
        </w:drawing>
      </w:r>
    </w:p>
    <w:p w14:paraId="7B27698A" w14:textId="77777777" w:rsidR="00BA0B0B" w:rsidRDefault="00BA0B0B">
      <w:pPr>
        <w:pStyle w:val="SMHeading"/>
        <w:spacing w:line="360" w:lineRule="auto"/>
        <w:rPr>
          <w:b w:val="0"/>
          <w:lang w:eastAsia="zh-CN"/>
        </w:rPr>
      </w:pPr>
    </w:p>
    <w:p w14:paraId="177AFDBF" w14:textId="77777777" w:rsidR="00BA0B0B" w:rsidRDefault="00BA0B0B">
      <w:pPr>
        <w:pStyle w:val="SMHeading"/>
        <w:spacing w:line="360" w:lineRule="auto"/>
        <w:rPr>
          <w:b w:val="0"/>
          <w:lang w:eastAsia="zh-CN"/>
        </w:rPr>
      </w:pPr>
    </w:p>
    <w:p w14:paraId="1F034D6D" w14:textId="77777777" w:rsidR="00BA0B0B" w:rsidRDefault="00BA0B0B">
      <w:pPr>
        <w:pStyle w:val="SMHeading"/>
        <w:spacing w:line="360" w:lineRule="auto"/>
        <w:rPr>
          <w:b w:val="0"/>
          <w:lang w:eastAsia="zh-CN"/>
        </w:rPr>
      </w:pPr>
    </w:p>
    <w:p w14:paraId="053F0C94" w14:textId="77777777" w:rsidR="00BA0B0B" w:rsidRDefault="00BA0B0B">
      <w:pPr>
        <w:pStyle w:val="SMHeading"/>
        <w:spacing w:line="360" w:lineRule="auto"/>
        <w:rPr>
          <w:b w:val="0"/>
          <w:lang w:eastAsia="zh-CN"/>
        </w:rPr>
      </w:pPr>
    </w:p>
    <w:p w14:paraId="453EC5C5" w14:textId="77777777" w:rsidR="00BA0B0B" w:rsidRDefault="00BA0B0B">
      <w:pPr>
        <w:pStyle w:val="SMHeading"/>
        <w:spacing w:line="360" w:lineRule="auto"/>
        <w:rPr>
          <w:b w:val="0"/>
          <w:lang w:eastAsia="zh-CN"/>
        </w:rPr>
      </w:pPr>
    </w:p>
    <w:p w14:paraId="73AAFF15" w14:textId="77777777" w:rsidR="00BA0B0B" w:rsidRDefault="009734D6">
      <w:pPr>
        <w:pStyle w:val="SMHeading"/>
        <w:spacing w:line="360" w:lineRule="auto"/>
        <w:rPr>
          <w:b w:val="0"/>
          <w:lang w:eastAsia="zh-CN"/>
        </w:rPr>
      </w:pPr>
      <w:r>
        <w:rPr>
          <w:rFonts w:hint="eastAsia"/>
          <w:b w:val="0"/>
          <w:lang w:eastAsia="zh-CN"/>
        </w:rPr>
        <w:lastRenderedPageBreak/>
        <w:t>Reference</w:t>
      </w:r>
    </w:p>
    <w:p w14:paraId="217C0B3C" w14:textId="77777777" w:rsidR="00BA0B0B" w:rsidRDefault="009734D6">
      <w:pPr>
        <w:pStyle w:val="13"/>
        <w:rPr>
          <w:lang w:val="en-US"/>
        </w:rPr>
      </w:pPr>
      <w:r>
        <w:rPr>
          <w:b/>
          <w:lang w:eastAsia="zh-CN"/>
        </w:rPr>
        <w:fldChar w:fldCharType="begin"/>
      </w:r>
      <w:r>
        <w:rPr>
          <w:b/>
          <w:lang w:val="en-US" w:eastAsia="zh-CN"/>
        </w:rPr>
        <w:instrText xml:space="preserve"> ADDIN ZOTERO_BIBL {"uncited":[],"omitted":[],"custom":[]} CSL_BIBLIOGRAPHY </w:instrText>
      </w:r>
      <w:r>
        <w:rPr>
          <w:b/>
          <w:lang w:eastAsia="zh-CN"/>
        </w:rPr>
        <w:fldChar w:fldCharType="separate"/>
      </w:r>
      <w:r>
        <w:rPr>
          <w:lang w:val="en-US"/>
        </w:rPr>
        <w:t>1.</w:t>
      </w:r>
      <w:r>
        <w:rPr>
          <w:lang w:val="en-US"/>
        </w:rPr>
        <w:tab/>
        <w:t>Mou, N. I., Zhang, Y., Pai, P. &amp; Tabib-Azar, M. [1]Steep sub-threshold current slope (</w:t>
      </w:r>
      <w:r>
        <w:rPr>
          <w:rFonts w:ascii="Cambria Math" w:hAnsi="Cambria Math" w:cs="Cambria Math"/>
          <w:lang w:val="en-US"/>
        </w:rPr>
        <w:t>∼</w:t>
      </w:r>
      <w:r>
        <w:rPr>
          <w:lang w:val="en-US"/>
        </w:rPr>
        <w:t xml:space="preserve">2   mV/dec) Pt/Cu2S/Pt gated memristor with lon/Ioff  &gt;   100. </w:t>
      </w:r>
      <w:r>
        <w:rPr>
          <w:i/>
          <w:iCs/>
          <w:lang w:val="en-US"/>
        </w:rPr>
        <w:t>Solid-State Electronics</w:t>
      </w:r>
      <w:r>
        <w:rPr>
          <w:lang w:val="en-US"/>
        </w:rPr>
        <w:t xml:space="preserve"> </w:t>
      </w:r>
      <w:r>
        <w:rPr>
          <w:b/>
          <w:bCs/>
          <w:lang w:val="en-US"/>
        </w:rPr>
        <w:t>127</w:t>
      </w:r>
      <w:r>
        <w:rPr>
          <w:lang w:val="en-US"/>
        </w:rPr>
        <w:t>, 20–25 (2017).</w:t>
      </w:r>
    </w:p>
    <w:p w14:paraId="2EC7C7A7" w14:textId="79AB54A9" w:rsidR="00BA0B0B" w:rsidRDefault="009734D6">
      <w:pPr>
        <w:pStyle w:val="13"/>
        <w:rPr>
          <w:lang w:val="en-US"/>
        </w:rPr>
      </w:pPr>
      <w:r>
        <w:rPr>
          <w:lang w:val="en-US"/>
        </w:rPr>
        <w:t>2.</w:t>
      </w:r>
      <w:r>
        <w:rPr>
          <w:lang w:val="en-US"/>
        </w:rPr>
        <w:tab/>
        <w:t xml:space="preserve">McGuire, F. A. </w:t>
      </w:r>
      <w:r>
        <w:rPr>
          <w:i/>
          <w:iCs/>
          <w:lang w:val="en-US"/>
        </w:rPr>
        <w:t>et al.</w:t>
      </w:r>
      <w:r>
        <w:rPr>
          <w:lang w:val="en-US"/>
        </w:rPr>
        <w:t xml:space="preserve"> Sustained Sub-60 mV/decade Switching via the Negative Capacitance Effect in MoS2 Transistors. </w:t>
      </w:r>
      <w:r>
        <w:rPr>
          <w:i/>
          <w:iCs/>
          <w:lang w:val="en-US"/>
        </w:rPr>
        <w:t>ACS Publications</w:t>
      </w:r>
      <w:r>
        <w:rPr>
          <w:lang w:val="en-US"/>
        </w:rPr>
        <w:t xml:space="preserve"> https://pubs.acs.org/doi/full/10.1021/acs.nanolett.7b01584 (2017) doi:10.1021/acs.nanolett.7b01584.</w:t>
      </w:r>
    </w:p>
    <w:p w14:paraId="414316C1" w14:textId="45431D4D" w:rsidR="00BA0B0B" w:rsidRDefault="009734D6">
      <w:pPr>
        <w:pStyle w:val="13"/>
        <w:rPr>
          <w:lang w:val="en-US"/>
        </w:rPr>
      </w:pPr>
      <w:r>
        <w:rPr>
          <w:lang w:val="en-US"/>
        </w:rPr>
        <w:t>3.</w:t>
      </w:r>
      <w:r>
        <w:rPr>
          <w:lang w:val="en-US"/>
        </w:rPr>
        <w:tab/>
        <w:t xml:space="preserve">Hua, Q. </w:t>
      </w:r>
      <w:r>
        <w:rPr>
          <w:i/>
          <w:iCs/>
          <w:lang w:val="en-US"/>
        </w:rPr>
        <w:t>et al.</w:t>
      </w:r>
      <w:r>
        <w:rPr>
          <w:lang w:val="en-US"/>
        </w:rPr>
        <w:t xml:space="preserve"> A Threshold Switching Selector Based on Highly Ordered Ag Nanodots for X‐Point Memory Applications. doi:10.1002/advs.201900024.</w:t>
      </w:r>
    </w:p>
    <w:p w14:paraId="45CCAFB9" w14:textId="08F9CD59" w:rsidR="00BA0B0B" w:rsidRDefault="009734D6">
      <w:pPr>
        <w:pStyle w:val="13"/>
        <w:rPr>
          <w:lang w:val="en-US"/>
        </w:rPr>
      </w:pPr>
      <w:r>
        <w:rPr>
          <w:lang w:val="en-US"/>
        </w:rPr>
        <w:t>4.</w:t>
      </w:r>
      <w:r>
        <w:rPr>
          <w:lang w:val="en-US"/>
        </w:rPr>
        <w:tab/>
        <w:t xml:space="preserve">Sonde, S. </w:t>
      </w:r>
      <w:r>
        <w:rPr>
          <w:i/>
          <w:iCs/>
          <w:lang w:val="en-US"/>
        </w:rPr>
        <w:t>et al.</w:t>
      </w:r>
      <w:r>
        <w:rPr>
          <w:lang w:val="en-US"/>
        </w:rPr>
        <w:t xml:space="preserve"> Silicon compatible Sn-based resistive switching memory. doi:10.1039/C8NR01540F.</w:t>
      </w:r>
    </w:p>
    <w:p w14:paraId="587E1C3B" w14:textId="0C71D0CB" w:rsidR="00BA0B0B" w:rsidRDefault="009734D6">
      <w:pPr>
        <w:pStyle w:val="13"/>
        <w:rPr>
          <w:lang w:val="en-US"/>
        </w:rPr>
      </w:pPr>
      <w:r>
        <w:rPr>
          <w:lang w:val="en-US"/>
        </w:rPr>
        <w:t>5.</w:t>
      </w:r>
      <w:r>
        <w:rPr>
          <w:lang w:val="en-US"/>
        </w:rPr>
        <w:tab/>
        <w:t xml:space="preserve">Zhou, X. </w:t>
      </w:r>
      <w:r>
        <w:rPr>
          <w:i/>
          <w:iCs/>
          <w:lang w:val="en-US"/>
        </w:rPr>
        <w:t>et al.</w:t>
      </w:r>
      <w:r>
        <w:rPr>
          <w:lang w:val="en-US"/>
        </w:rPr>
        <w:t xml:space="preserve"> A high performance electroformed single-crystallite VO2 threshold switch. doi:10.1039/C9NR08364B.</w:t>
      </w:r>
    </w:p>
    <w:p w14:paraId="790DDCF8" w14:textId="7287DAE6" w:rsidR="00BA0B0B" w:rsidRDefault="009734D6">
      <w:pPr>
        <w:pStyle w:val="13"/>
        <w:rPr>
          <w:lang w:val="en-US"/>
        </w:rPr>
      </w:pPr>
      <w:r>
        <w:rPr>
          <w:lang w:val="en-US"/>
        </w:rPr>
        <w:t>6.</w:t>
      </w:r>
      <w:r>
        <w:rPr>
          <w:lang w:val="en-US"/>
        </w:rPr>
        <w:tab/>
        <w:t xml:space="preserve">Huang, X. </w:t>
      </w:r>
      <w:r>
        <w:rPr>
          <w:i/>
          <w:iCs/>
          <w:lang w:val="en-US"/>
        </w:rPr>
        <w:t>et al.</w:t>
      </w:r>
      <w:r>
        <w:rPr>
          <w:lang w:val="en-US"/>
        </w:rPr>
        <w:t xml:space="preserve"> Steep-slope field-effect transistors with AlGaN/GaN HEMT and oxide-based threshold switching device. </w:t>
      </w:r>
      <w:r>
        <w:rPr>
          <w:i/>
          <w:iCs/>
          <w:lang w:val="en-US"/>
        </w:rPr>
        <w:t>Nanotechnology</w:t>
      </w:r>
      <w:r>
        <w:rPr>
          <w:lang w:val="en-US"/>
        </w:rPr>
        <w:t xml:space="preserve"> </w:t>
      </w:r>
      <w:r>
        <w:rPr>
          <w:b/>
          <w:bCs/>
          <w:lang w:val="en-US"/>
        </w:rPr>
        <w:t>30</w:t>
      </w:r>
      <w:r>
        <w:rPr>
          <w:lang w:val="en-US"/>
        </w:rPr>
        <w:t>, 215201 (2019).</w:t>
      </w:r>
    </w:p>
    <w:p w14:paraId="23E3189F" w14:textId="77777777" w:rsidR="00BA0B0B" w:rsidRDefault="009734D6">
      <w:pPr>
        <w:pStyle w:val="13"/>
        <w:rPr>
          <w:lang w:val="en-US"/>
        </w:rPr>
      </w:pPr>
      <w:r>
        <w:rPr>
          <w:lang w:val="en-US"/>
        </w:rPr>
        <w:t>7.</w:t>
      </w:r>
      <w:r>
        <w:rPr>
          <w:lang w:val="en-US"/>
        </w:rPr>
        <w:tab/>
        <w:t xml:space="preserve">Wang, Y., Yuan, Q., He, N., Sun, Y. &amp; Wen, D. [10]Ovonic threshold switching device and its application to logic gate function and steep slope in field effect transistors. </w:t>
      </w:r>
      <w:r>
        <w:rPr>
          <w:i/>
          <w:iCs/>
          <w:lang w:val="en-US"/>
        </w:rPr>
        <w:t>Surfaces and Interfaces</w:t>
      </w:r>
      <w:r>
        <w:rPr>
          <w:lang w:val="en-US"/>
        </w:rPr>
        <w:t xml:space="preserve"> </w:t>
      </w:r>
      <w:r>
        <w:rPr>
          <w:b/>
          <w:bCs/>
          <w:lang w:val="en-US"/>
        </w:rPr>
        <w:t>30</w:t>
      </w:r>
      <w:r>
        <w:rPr>
          <w:lang w:val="en-US"/>
        </w:rPr>
        <w:t>, 101895 (2022).</w:t>
      </w:r>
    </w:p>
    <w:p w14:paraId="5A344F6C" w14:textId="77777777" w:rsidR="00BA0B0B" w:rsidRDefault="009734D6">
      <w:pPr>
        <w:pStyle w:val="13"/>
        <w:rPr>
          <w:lang w:val="en-US"/>
        </w:rPr>
      </w:pPr>
      <w:r>
        <w:rPr>
          <w:lang w:val="en-US"/>
        </w:rPr>
        <w:t>8.</w:t>
      </w:r>
      <w:r>
        <w:rPr>
          <w:lang w:val="en-US"/>
        </w:rPr>
        <w:tab/>
        <w:t xml:space="preserve">Song, B., Xu, H., Liu, S., Liu, H. &amp; Li, Q. [15]Threshold Switching Behavior of Ag-SiTe-Based Selector Device and Annealing Effect on its Characteristics. </w:t>
      </w:r>
      <w:r>
        <w:rPr>
          <w:i/>
          <w:iCs/>
          <w:lang w:val="en-US"/>
        </w:rPr>
        <w:t>IEEE J. Electron Devices Soc.</w:t>
      </w:r>
      <w:r>
        <w:rPr>
          <w:lang w:val="en-US"/>
        </w:rPr>
        <w:t xml:space="preserve"> </w:t>
      </w:r>
      <w:r>
        <w:rPr>
          <w:b/>
          <w:bCs/>
          <w:lang w:val="en-US"/>
        </w:rPr>
        <w:t>6</w:t>
      </w:r>
      <w:r>
        <w:rPr>
          <w:lang w:val="en-US"/>
        </w:rPr>
        <w:t>, 674–679 (2018).</w:t>
      </w:r>
    </w:p>
    <w:p w14:paraId="23D7BCE6" w14:textId="0B48B031" w:rsidR="00BA0B0B" w:rsidRDefault="009734D6">
      <w:pPr>
        <w:pStyle w:val="13"/>
        <w:rPr>
          <w:lang w:val="en-US"/>
        </w:rPr>
      </w:pPr>
      <w:r>
        <w:rPr>
          <w:lang w:val="en-US"/>
        </w:rPr>
        <w:t>9.</w:t>
      </w:r>
      <w:r>
        <w:rPr>
          <w:lang w:val="en-US"/>
        </w:rPr>
        <w:tab/>
        <w:t xml:space="preserve">Song, B. </w:t>
      </w:r>
      <w:r>
        <w:rPr>
          <w:i/>
          <w:iCs/>
          <w:lang w:val="en-US"/>
        </w:rPr>
        <w:t>et al.</w:t>
      </w:r>
      <w:r>
        <w:rPr>
          <w:lang w:val="en-US"/>
        </w:rPr>
        <w:t xml:space="preserve"> An ovonic threshold switching selector based on Se-rich GeSe chalcogenide. </w:t>
      </w:r>
      <w:r>
        <w:rPr>
          <w:i/>
          <w:iCs/>
          <w:lang w:val="en-US"/>
        </w:rPr>
        <w:t>Applied Physics A</w:t>
      </w:r>
      <w:r>
        <w:rPr>
          <w:lang w:val="en-US"/>
        </w:rPr>
        <w:t xml:space="preserve"> </w:t>
      </w:r>
      <w:r>
        <w:rPr>
          <w:b/>
          <w:bCs/>
          <w:lang w:val="en-US"/>
        </w:rPr>
        <w:t>125</w:t>
      </w:r>
      <w:r>
        <w:rPr>
          <w:lang w:val="en-US"/>
        </w:rPr>
        <w:t>, 1–6 (2019).</w:t>
      </w:r>
    </w:p>
    <w:p w14:paraId="26769527" w14:textId="427625C2" w:rsidR="00BA0B0B" w:rsidRDefault="009734D6">
      <w:pPr>
        <w:pStyle w:val="13"/>
        <w:rPr>
          <w:lang w:val="en-US"/>
        </w:rPr>
      </w:pPr>
      <w:r>
        <w:rPr>
          <w:lang w:val="en-US"/>
        </w:rPr>
        <w:t>10.</w:t>
      </w:r>
      <w:r>
        <w:rPr>
          <w:lang w:val="en-US"/>
        </w:rPr>
        <w:tab/>
        <w:t xml:space="preserve">Speckbacher, M. </w:t>
      </w:r>
      <w:r>
        <w:rPr>
          <w:i/>
          <w:iCs/>
          <w:lang w:val="en-US"/>
        </w:rPr>
        <w:t>et al.</w:t>
      </w:r>
      <w:r>
        <w:rPr>
          <w:lang w:val="en-US"/>
        </w:rPr>
        <w:t xml:space="preserve"> Directed Assembly of Nanoparticle Threshold‐Selector Arrays. </w:t>
      </w:r>
      <w:r>
        <w:rPr>
          <w:i/>
          <w:iCs/>
          <w:lang w:val="en-US"/>
        </w:rPr>
        <w:t>Adv Elect Materials</w:t>
      </w:r>
      <w:r>
        <w:rPr>
          <w:lang w:val="en-US"/>
        </w:rPr>
        <w:t xml:space="preserve"> </w:t>
      </w:r>
      <w:r>
        <w:rPr>
          <w:b/>
          <w:bCs/>
          <w:lang w:val="en-US"/>
        </w:rPr>
        <w:t>5</w:t>
      </w:r>
      <w:r>
        <w:rPr>
          <w:lang w:val="en-US"/>
        </w:rPr>
        <w:t>, 1900098 (2019).</w:t>
      </w:r>
    </w:p>
    <w:p w14:paraId="2E44CB97" w14:textId="77777777" w:rsidR="00BA0B0B" w:rsidRDefault="009734D6">
      <w:pPr>
        <w:pStyle w:val="13"/>
        <w:rPr>
          <w:lang w:val="en-US"/>
        </w:rPr>
      </w:pPr>
      <w:r>
        <w:rPr>
          <w:lang w:val="en-US"/>
        </w:rPr>
        <w:lastRenderedPageBreak/>
        <w:t>11.</w:t>
      </w:r>
      <w:r>
        <w:rPr>
          <w:lang w:val="en-US"/>
        </w:rPr>
        <w:tab/>
        <w:t xml:space="preserve">Liu, Y. </w:t>
      </w:r>
      <w:r>
        <w:rPr>
          <w:i/>
          <w:iCs/>
          <w:lang w:val="en-US"/>
        </w:rPr>
        <w:t>et al.</w:t>
      </w:r>
      <w:r>
        <w:rPr>
          <w:lang w:val="en-US"/>
        </w:rPr>
        <w:t xml:space="preserve"> A Robust and Low‐Power Bismuth Doped Tin Oxide Memristor Derived from Coaxial Conductive Filaments. </w:t>
      </w:r>
      <w:r>
        <w:rPr>
          <w:i/>
          <w:iCs/>
          <w:lang w:val="en-US"/>
        </w:rPr>
        <w:t>Small</w:t>
      </w:r>
      <w:r>
        <w:rPr>
          <w:lang w:val="en-US"/>
        </w:rPr>
        <w:t xml:space="preserve"> </w:t>
      </w:r>
      <w:r>
        <w:rPr>
          <w:b/>
          <w:bCs/>
          <w:lang w:val="en-US"/>
        </w:rPr>
        <w:t>16</w:t>
      </w:r>
      <w:r>
        <w:rPr>
          <w:lang w:val="en-US"/>
        </w:rPr>
        <w:t>, (2020).</w:t>
      </w:r>
    </w:p>
    <w:p w14:paraId="20433234" w14:textId="77777777" w:rsidR="00BA0B0B" w:rsidRDefault="009734D6">
      <w:pPr>
        <w:pStyle w:val="13"/>
        <w:rPr>
          <w:lang w:val="en-US"/>
        </w:rPr>
      </w:pPr>
      <w:r>
        <w:rPr>
          <w:lang w:val="en-US"/>
        </w:rPr>
        <w:t>12.</w:t>
      </w:r>
      <w:r>
        <w:rPr>
          <w:lang w:val="en-US"/>
        </w:rPr>
        <w:tab/>
        <w:t xml:space="preserve">Guo, X. </w:t>
      </w:r>
      <w:r>
        <w:rPr>
          <w:i/>
          <w:iCs/>
          <w:lang w:val="en-US"/>
        </w:rPr>
        <w:t>et al.</w:t>
      </w:r>
      <w:r>
        <w:rPr>
          <w:lang w:val="en-US"/>
        </w:rPr>
        <w:t xml:space="preserve"> SiO2/Ta2O5 heterojunction ECM memristors: physical nature of their low voltage operation with high stability and uniformity. </w:t>
      </w:r>
      <w:r>
        <w:rPr>
          <w:i/>
          <w:iCs/>
          <w:lang w:val="en-US"/>
        </w:rPr>
        <w:t>Nanoscale</w:t>
      </w:r>
      <w:r>
        <w:rPr>
          <w:lang w:val="en-US"/>
        </w:rPr>
        <w:t xml:space="preserve"> </w:t>
      </w:r>
      <w:r>
        <w:rPr>
          <w:b/>
          <w:bCs/>
          <w:lang w:val="en-US"/>
        </w:rPr>
        <w:t>12</w:t>
      </w:r>
      <w:r>
        <w:rPr>
          <w:lang w:val="en-US"/>
        </w:rPr>
        <w:t>, 4320–4327 (2020).</w:t>
      </w:r>
    </w:p>
    <w:p w14:paraId="4CE9C045" w14:textId="77777777" w:rsidR="00BA0B0B" w:rsidRDefault="009734D6">
      <w:pPr>
        <w:pStyle w:val="13"/>
        <w:rPr>
          <w:lang w:val="en-US"/>
        </w:rPr>
      </w:pPr>
      <w:r>
        <w:rPr>
          <w:lang w:val="en-US"/>
        </w:rPr>
        <w:t>13.</w:t>
      </w:r>
      <w:r>
        <w:rPr>
          <w:lang w:val="en-US"/>
        </w:rPr>
        <w:tab/>
        <w:t xml:space="preserve">Teja Nibhanupudi, S. S. </w:t>
      </w:r>
      <w:r>
        <w:rPr>
          <w:i/>
          <w:iCs/>
          <w:lang w:val="en-US"/>
        </w:rPr>
        <w:t>et al.</w:t>
      </w:r>
      <w:r>
        <w:rPr>
          <w:lang w:val="en-US"/>
        </w:rPr>
        <w:t xml:space="preserve"> Ultra-fast switching memristors based on two-dimensional materials. </w:t>
      </w:r>
      <w:r>
        <w:rPr>
          <w:i/>
          <w:iCs/>
          <w:lang w:val="en-US"/>
        </w:rPr>
        <w:t>Nat Commun</w:t>
      </w:r>
      <w:r>
        <w:rPr>
          <w:lang w:val="en-US"/>
        </w:rPr>
        <w:t xml:space="preserve"> </w:t>
      </w:r>
      <w:r>
        <w:rPr>
          <w:b/>
          <w:bCs/>
          <w:lang w:val="en-US"/>
        </w:rPr>
        <w:t>15</w:t>
      </w:r>
      <w:r>
        <w:rPr>
          <w:lang w:val="en-US"/>
        </w:rPr>
        <w:t>, 2334 (2024).</w:t>
      </w:r>
    </w:p>
    <w:p w14:paraId="3E81E691" w14:textId="77777777" w:rsidR="00BA0B0B" w:rsidRDefault="009734D6">
      <w:pPr>
        <w:pStyle w:val="13"/>
        <w:rPr>
          <w:lang w:val="en-US"/>
        </w:rPr>
      </w:pPr>
      <w:r>
        <w:rPr>
          <w:lang w:val="en-US"/>
        </w:rPr>
        <w:t>14.</w:t>
      </w:r>
      <w:r>
        <w:rPr>
          <w:lang w:val="en-US"/>
        </w:rPr>
        <w:tab/>
        <w:t xml:space="preserve">Kim, S. J. </w:t>
      </w:r>
      <w:r>
        <w:rPr>
          <w:i/>
          <w:iCs/>
          <w:lang w:val="en-US"/>
        </w:rPr>
        <w:t>et al.</w:t>
      </w:r>
      <w:r>
        <w:rPr>
          <w:lang w:val="en-US"/>
        </w:rPr>
        <w:t xml:space="preserve"> Reliable and Robust Two-Dimensional Perovskite Memristors for Flexible-Resistive Random-Access Memory Array. </w:t>
      </w:r>
      <w:r>
        <w:rPr>
          <w:i/>
          <w:iCs/>
          <w:lang w:val="en-US"/>
        </w:rPr>
        <w:t>ACS Nano</w:t>
      </w:r>
      <w:r>
        <w:rPr>
          <w:lang w:val="en-US"/>
        </w:rPr>
        <w:t xml:space="preserve"> </w:t>
      </w:r>
      <w:r>
        <w:rPr>
          <w:b/>
          <w:bCs/>
          <w:lang w:val="en-US"/>
        </w:rPr>
        <w:t>18</w:t>
      </w:r>
      <w:r>
        <w:rPr>
          <w:lang w:val="en-US"/>
        </w:rPr>
        <w:t>, 28131–28141 (2024).</w:t>
      </w:r>
    </w:p>
    <w:p w14:paraId="187717CE" w14:textId="77777777" w:rsidR="00BA0B0B" w:rsidRDefault="009734D6">
      <w:pPr>
        <w:pStyle w:val="13"/>
        <w:rPr>
          <w:lang w:val="en-US"/>
        </w:rPr>
      </w:pPr>
      <w:r>
        <w:rPr>
          <w:lang w:val="en-US"/>
        </w:rPr>
        <w:t>15.</w:t>
      </w:r>
      <w:r>
        <w:rPr>
          <w:lang w:val="en-US"/>
        </w:rPr>
        <w:tab/>
        <w:t xml:space="preserve">Chen, Z.-J. </w:t>
      </w:r>
      <w:r>
        <w:rPr>
          <w:i/>
          <w:iCs/>
          <w:lang w:val="en-US"/>
        </w:rPr>
        <w:t>et al.</w:t>
      </w:r>
      <w:r>
        <w:rPr>
          <w:lang w:val="en-US"/>
        </w:rPr>
        <w:t xml:space="preserve"> A flexible artificial synapse based on the two-dimensional CuInS2 memristor for neural morphology calculation. </w:t>
      </w:r>
      <w:r>
        <w:rPr>
          <w:i/>
          <w:iCs/>
          <w:lang w:val="en-US"/>
        </w:rPr>
        <w:t>Materials Science in Semiconductor Processing</w:t>
      </w:r>
      <w:r>
        <w:rPr>
          <w:lang w:val="en-US"/>
        </w:rPr>
        <w:t xml:space="preserve"> </w:t>
      </w:r>
      <w:r>
        <w:rPr>
          <w:b/>
          <w:bCs/>
          <w:lang w:val="en-US"/>
        </w:rPr>
        <w:t>188</w:t>
      </w:r>
      <w:r>
        <w:rPr>
          <w:lang w:val="en-US"/>
        </w:rPr>
        <w:t>, 109203 (2025).</w:t>
      </w:r>
    </w:p>
    <w:p w14:paraId="2BD8E61F" w14:textId="77777777" w:rsidR="00BA0B0B" w:rsidRDefault="009734D6">
      <w:pPr>
        <w:pStyle w:val="13"/>
        <w:rPr>
          <w:lang w:val="en-US"/>
        </w:rPr>
      </w:pPr>
      <w:r>
        <w:rPr>
          <w:lang w:val="en-US"/>
        </w:rPr>
        <w:t>16.</w:t>
      </w:r>
      <w:r>
        <w:rPr>
          <w:lang w:val="en-US"/>
        </w:rPr>
        <w:tab/>
        <w:t xml:space="preserve">Yang, X. </w:t>
      </w:r>
      <w:r>
        <w:rPr>
          <w:i/>
          <w:iCs/>
          <w:lang w:val="en-US"/>
        </w:rPr>
        <w:t>et al.</w:t>
      </w:r>
      <w:r>
        <w:rPr>
          <w:lang w:val="en-US"/>
        </w:rPr>
        <w:t xml:space="preserve"> Solution-Processed Hydrogen-Bonded Organic Framework Nanofilms for High-Performance Resistive Memory Devices. </w:t>
      </w:r>
      <w:r>
        <w:rPr>
          <w:i/>
          <w:iCs/>
          <w:lang w:val="en-US"/>
        </w:rPr>
        <w:t>Advanced Materials</w:t>
      </w:r>
      <w:r>
        <w:rPr>
          <w:lang w:val="en-US"/>
        </w:rPr>
        <w:t xml:space="preserve"> </w:t>
      </w:r>
      <w:r>
        <w:rPr>
          <w:b/>
          <w:bCs/>
          <w:lang w:val="en-US"/>
        </w:rPr>
        <w:t>35</w:t>
      </w:r>
      <w:r>
        <w:rPr>
          <w:lang w:val="en-US"/>
        </w:rPr>
        <w:t>, 2305344 (2023).</w:t>
      </w:r>
    </w:p>
    <w:p w14:paraId="3B00F426" w14:textId="77777777" w:rsidR="00BA0B0B" w:rsidRDefault="009734D6">
      <w:pPr>
        <w:pStyle w:val="13"/>
      </w:pPr>
      <w:r>
        <w:rPr>
          <w:lang w:val="en-US"/>
        </w:rPr>
        <w:t>17.</w:t>
      </w:r>
      <w:r>
        <w:rPr>
          <w:lang w:val="en-US"/>
        </w:rPr>
        <w:tab/>
        <w:t xml:space="preserve">Li, P. </w:t>
      </w:r>
      <w:r>
        <w:rPr>
          <w:i/>
          <w:iCs/>
          <w:lang w:val="en-US"/>
        </w:rPr>
        <w:t>et al.</w:t>
      </w:r>
      <w:r>
        <w:rPr>
          <w:lang w:val="en-US"/>
        </w:rPr>
        <w:t xml:space="preserve"> Dual-layer volatile memristor with ultralow voltage slope. </w:t>
      </w:r>
      <w:r>
        <w:rPr>
          <w:i/>
          <w:iCs/>
        </w:rPr>
        <w:t>Applied Physics Letters</w:t>
      </w:r>
      <w:r>
        <w:t xml:space="preserve"> </w:t>
      </w:r>
      <w:r>
        <w:rPr>
          <w:b/>
          <w:bCs/>
        </w:rPr>
        <w:t>124</w:t>
      </w:r>
      <w:r>
        <w:t>, (2024).</w:t>
      </w:r>
    </w:p>
    <w:p w14:paraId="1495B431" w14:textId="77777777" w:rsidR="00BA0B0B" w:rsidRDefault="009734D6">
      <w:pPr>
        <w:pStyle w:val="SMHeading"/>
        <w:spacing w:line="360" w:lineRule="auto"/>
        <w:rPr>
          <w:b w:val="0"/>
          <w:lang w:eastAsia="zh-CN"/>
        </w:rPr>
      </w:pPr>
      <w:r>
        <w:rPr>
          <w:b w:val="0"/>
          <w:lang w:eastAsia="zh-CN"/>
        </w:rPr>
        <w:fldChar w:fldCharType="end"/>
      </w:r>
    </w:p>
    <w:sectPr w:rsidR="00BA0B0B">
      <w:headerReference w:type="default" r:id="rId41"/>
      <w:footerReference w:type="default" r:id="rId4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23E61" w14:textId="77777777" w:rsidR="00F571AD" w:rsidRDefault="00F571AD">
      <w:r>
        <w:separator/>
      </w:r>
    </w:p>
  </w:endnote>
  <w:endnote w:type="continuationSeparator" w:id="0">
    <w:p w14:paraId="3D6A38F9" w14:textId="77777777" w:rsidR="00F571AD" w:rsidRDefault="00F571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397831"/>
      <w:docPartObj>
        <w:docPartGallery w:val="AutoText"/>
      </w:docPartObj>
    </w:sdtPr>
    <w:sdtContent>
      <w:p w14:paraId="55800965" w14:textId="77777777" w:rsidR="00BA0B0B" w:rsidRDefault="009734D6">
        <w:pPr>
          <w:pStyle w:val="aa"/>
          <w:jc w:val="center"/>
        </w:pPr>
        <w:r>
          <w:fldChar w:fldCharType="begin"/>
        </w:r>
        <w:r>
          <w:instrText>PAGE   \* MERGEFORMAT</w:instrText>
        </w:r>
        <w:r>
          <w:fldChar w:fldCharType="separate"/>
        </w:r>
        <w:r>
          <w:rPr>
            <w:lang w:val="zh-CN" w:eastAsia="zh-CN"/>
          </w:rPr>
          <w:t>2</w:t>
        </w:r>
        <w:r>
          <w:fldChar w:fldCharType="end"/>
        </w:r>
      </w:p>
    </w:sdtContent>
  </w:sdt>
  <w:p w14:paraId="52FF5436" w14:textId="77777777" w:rsidR="00BA0B0B" w:rsidRDefault="00BA0B0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D7AFFD" w14:textId="77777777" w:rsidR="00F571AD" w:rsidRDefault="00F571AD">
      <w:r>
        <w:separator/>
      </w:r>
    </w:p>
  </w:footnote>
  <w:footnote w:type="continuationSeparator" w:id="0">
    <w:p w14:paraId="3B094A8F" w14:textId="77777777" w:rsidR="00F571AD" w:rsidRDefault="00F571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77777777" w:rsidR="00BA0B0B" w:rsidRDefault="009734D6">
    <w:pPr>
      <w:pStyle w:val="a5"/>
      <w:tabs>
        <w:tab w:val="left" w:pos="5003"/>
      </w:tabs>
      <w:jc w:val="right"/>
      <w:rPr>
        <w:lang w:val="en-US"/>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removePersonalInformation/>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sLQwsTQ2NjYwMDWzMDBQ0lEKTi0uzszPAykwqQUA+3rHrywAAAA="/>
    <w:docVar w:name="EN.InstantFormat" w:val="&lt;ENInstantFormat&gt;&lt;Enabled&gt;1&lt;/Enabled&gt;&lt;ScanUnformatted&gt;1&lt;/ScanUnformatted&gt;&lt;ScanChanges&gt;1&lt;/ScanChanges&gt;&lt;Suspended&gt;0&lt;/Suspended&gt;&lt;/ENInstantFormat&gt;"/>
    <w:docVar w:name="EN.Layout" w:val="&lt;ENLayout&gt;&lt;Style&gt;Science Advanc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v5ezvwdl92ez5es9pfvrv5leawttfe2rapr&quot;&gt;My EndNote Library&lt;record-ids&gt;&lt;item&gt;1093&lt;/item&gt;&lt;item&gt;1095&lt;/item&gt;&lt;item&gt;1193&lt;/item&gt;&lt;item&gt;1195&lt;/item&gt;&lt;item&gt;1237&lt;/item&gt;&lt;item&gt;1297&lt;/item&gt;&lt;item&gt;1336&lt;/item&gt;&lt;item&gt;1343&lt;/item&gt;&lt;item&gt;1355&lt;/item&gt;&lt;item&gt;1365&lt;/item&gt;&lt;item&gt;1366&lt;/item&gt;&lt;item&gt;1405&lt;/item&gt;&lt;item&gt;1442&lt;/item&gt;&lt;item&gt;1460&lt;/item&gt;&lt;item&gt;1547&lt;/item&gt;&lt;item&gt;1548&lt;/item&gt;&lt;item&gt;1561&lt;/item&gt;&lt;item&gt;1599&lt;/item&gt;&lt;item&gt;1603&lt;/item&gt;&lt;item&gt;1605&lt;/item&gt;&lt;item&gt;1607&lt;/item&gt;&lt;item&gt;1610&lt;/item&gt;&lt;item&gt;1611&lt;/item&gt;&lt;item&gt;1616&lt;/item&gt;&lt;item&gt;1617&lt;/item&gt;&lt;item&gt;1620&lt;/item&gt;&lt;item&gt;1621&lt;/item&gt;&lt;item&gt;1631&lt;/item&gt;&lt;item&gt;1632&lt;/item&gt;&lt;/record-ids&gt;&lt;/item&gt;&lt;/Libraries&gt;"/>
  </w:docVars>
  <w:rsids>
    <w:rsidRoot w:val="002D16A0"/>
    <w:rsid w:val="000003BB"/>
    <w:rsid w:val="00000DA3"/>
    <w:rsid w:val="00001388"/>
    <w:rsid w:val="00001651"/>
    <w:rsid w:val="00003429"/>
    <w:rsid w:val="0000374D"/>
    <w:rsid w:val="00003FAF"/>
    <w:rsid w:val="00004A23"/>
    <w:rsid w:val="00006A0A"/>
    <w:rsid w:val="00006C38"/>
    <w:rsid w:val="0000703E"/>
    <w:rsid w:val="00007C3E"/>
    <w:rsid w:val="000112FC"/>
    <w:rsid w:val="000118B0"/>
    <w:rsid w:val="00011F40"/>
    <w:rsid w:val="0001454A"/>
    <w:rsid w:val="000147F9"/>
    <w:rsid w:val="00015630"/>
    <w:rsid w:val="00015705"/>
    <w:rsid w:val="0001683C"/>
    <w:rsid w:val="000172E7"/>
    <w:rsid w:val="000175DA"/>
    <w:rsid w:val="000207BF"/>
    <w:rsid w:val="000214A8"/>
    <w:rsid w:val="00023D7D"/>
    <w:rsid w:val="00023F64"/>
    <w:rsid w:val="000240B0"/>
    <w:rsid w:val="00024F26"/>
    <w:rsid w:val="00025F8C"/>
    <w:rsid w:val="00027FB5"/>
    <w:rsid w:val="00030CBF"/>
    <w:rsid w:val="00030E54"/>
    <w:rsid w:val="000314D2"/>
    <w:rsid w:val="000324F9"/>
    <w:rsid w:val="0003318F"/>
    <w:rsid w:val="00035EF6"/>
    <w:rsid w:val="00036B08"/>
    <w:rsid w:val="0004094E"/>
    <w:rsid w:val="00040B7B"/>
    <w:rsid w:val="00040C0E"/>
    <w:rsid w:val="00041C1B"/>
    <w:rsid w:val="000437F7"/>
    <w:rsid w:val="0004667C"/>
    <w:rsid w:val="000471E7"/>
    <w:rsid w:val="00050985"/>
    <w:rsid w:val="00050DC0"/>
    <w:rsid w:val="0005160B"/>
    <w:rsid w:val="0005289F"/>
    <w:rsid w:val="000530CF"/>
    <w:rsid w:val="000531C1"/>
    <w:rsid w:val="00053347"/>
    <w:rsid w:val="00054406"/>
    <w:rsid w:val="00054509"/>
    <w:rsid w:val="0005501E"/>
    <w:rsid w:val="00055883"/>
    <w:rsid w:val="00055AF9"/>
    <w:rsid w:val="000570B8"/>
    <w:rsid w:val="0006044D"/>
    <w:rsid w:val="00060D37"/>
    <w:rsid w:val="00062324"/>
    <w:rsid w:val="00062660"/>
    <w:rsid w:val="00062B50"/>
    <w:rsid w:val="00063C0E"/>
    <w:rsid w:val="00063C78"/>
    <w:rsid w:val="00065691"/>
    <w:rsid w:val="00065B14"/>
    <w:rsid w:val="00066133"/>
    <w:rsid w:val="0006667F"/>
    <w:rsid w:val="00072A8D"/>
    <w:rsid w:val="00072EA7"/>
    <w:rsid w:val="0007439E"/>
    <w:rsid w:val="000744DF"/>
    <w:rsid w:val="00074C02"/>
    <w:rsid w:val="00076EAD"/>
    <w:rsid w:val="000774CF"/>
    <w:rsid w:val="00077B48"/>
    <w:rsid w:val="0008015D"/>
    <w:rsid w:val="00080992"/>
    <w:rsid w:val="0008287E"/>
    <w:rsid w:val="00083031"/>
    <w:rsid w:val="000842FA"/>
    <w:rsid w:val="00086E3E"/>
    <w:rsid w:val="0008740B"/>
    <w:rsid w:val="000904D3"/>
    <w:rsid w:val="0009309C"/>
    <w:rsid w:val="00093F1B"/>
    <w:rsid w:val="00094174"/>
    <w:rsid w:val="00094E32"/>
    <w:rsid w:val="00095AF4"/>
    <w:rsid w:val="0009646B"/>
    <w:rsid w:val="000965A9"/>
    <w:rsid w:val="00097B8F"/>
    <w:rsid w:val="000A01D7"/>
    <w:rsid w:val="000A1878"/>
    <w:rsid w:val="000A1F4B"/>
    <w:rsid w:val="000A21A9"/>
    <w:rsid w:val="000A393B"/>
    <w:rsid w:val="000A3E93"/>
    <w:rsid w:val="000A451D"/>
    <w:rsid w:val="000A472C"/>
    <w:rsid w:val="000A5773"/>
    <w:rsid w:val="000A58A6"/>
    <w:rsid w:val="000A65EE"/>
    <w:rsid w:val="000A682F"/>
    <w:rsid w:val="000B05A0"/>
    <w:rsid w:val="000B1A78"/>
    <w:rsid w:val="000B33EE"/>
    <w:rsid w:val="000B4293"/>
    <w:rsid w:val="000B4DC4"/>
    <w:rsid w:val="000B69C9"/>
    <w:rsid w:val="000C06CB"/>
    <w:rsid w:val="000C10B6"/>
    <w:rsid w:val="000C162B"/>
    <w:rsid w:val="000C1938"/>
    <w:rsid w:val="000C19BA"/>
    <w:rsid w:val="000C19D2"/>
    <w:rsid w:val="000C1B6E"/>
    <w:rsid w:val="000C259E"/>
    <w:rsid w:val="000C3E0C"/>
    <w:rsid w:val="000C5F54"/>
    <w:rsid w:val="000C6252"/>
    <w:rsid w:val="000C6518"/>
    <w:rsid w:val="000C6F8A"/>
    <w:rsid w:val="000D0551"/>
    <w:rsid w:val="000D0C94"/>
    <w:rsid w:val="000D2696"/>
    <w:rsid w:val="000D2D4B"/>
    <w:rsid w:val="000D3C55"/>
    <w:rsid w:val="000D41A3"/>
    <w:rsid w:val="000D45F4"/>
    <w:rsid w:val="000D4E98"/>
    <w:rsid w:val="000D5780"/>
    <w:rsid w:val="000D5AB4"/>
    <w:rsid w:val="000D66DB"/>
    <w:rsid w:val="000D6F10"/>
    <w:rsid w:val="000D7039"/>
    <w:rsid w:val="000D7104"/>
    <w:rsid w:val="000D7EBA"/>
    <w:rsid w:val="000E2834"/>
    <w:rsid w:val="000E379D"/>
    <w:rsid w:val="000E3866"/>
    <w:rsid w:val="000E427C"/>
    <w:rsid w:val="000E6A69"/>
    <w:rsid w:val="000E783E"/>
    <w:rsid w:val="000E788B"/>
    <w:rsid w:val="000E7A5B"/>
    <w:rsid w:val="000E7BBA"/>
    <w:rsid w:val="000F0279"/>
    <w:rsid w:val="000F512F"/>
    <w:rsid w:val="000F51BE"/>
    <w:rsid w:val="000F6471"/>
    <w:rsid w:val="000F70D1"/>
    <w:rsid w:val="000F74AE"/>
    <w:rsid w:val="000F7A87"/>
    <w:rsid w:val="0010050B"/>
    <w:rsid w:val="001011CF"/>
    <w:rsid w:val="001013F4"/>
    <w:rsid w:val="00101461"/>
    <w:rsid w:val="001026E4"/>
    <w:rsid w:val="00103C06"/>
    <w:rsid w:val="001054D4"/>
    <w:rsid w:val="00106620"/>
    <w:rsid w:val="0010686C"/>
    <w:rsid w:val="00106DBE"/>
    <w:rsid w:val="00107C5F"/>
    <w:rsid w:val="00107CCC"/>
    <w:rsid w:val="00110011"/>
    <w:rsid w:val="001105BD"/>
    <w:rsid w:val="001105BF"/>
    <w:rsid w:val="00112CCB"/>
    <w:rsid w:val="0011378D"/>
    <w:rsid w:val="0011388A"/>
    <w:rsid w:val="00113A64"/>
    <w:rsid w:val="001141D8"/>
    <w:rsid w:val="0011489E"/>
    <w:rsid w:val="00114EBB"/>
    <w:rsid w:val="00116C82"/>
    <w:rsid w:val="00120109"/>
    <w:rsid w:val="00120B95"/>
    <w:rsid w:val="00120BE6"/>
    <w:rsid w:val="00120E85"/>
    <w:rsid w:val="001217CA"/>
    <w:rsid w:val="00122923"/>
    <w:rsid w:val="0012338B"/>
    <w:rsid w:val="00123ADA"/>
    <w:rsid w:val="00125573"/>
    <w:rsid w:val="0012642A"/>
    <w:rsid w:val="00126D17"/>
    <w:rsid w:val="00126FCE"/>
    <w:rsid w:val="001305BF"/>
    <w:rsid w:val="00131D58"/>
    <w:rsid w:val="00133009"/>
    <w:rsid w:val="0013419E"/>
    <w:rsid w:val="001370B1"/>
    <w:rsid w:val="001377CA"/>
    <w:rsid w:val="00140B94"/>
    <w:rsid w:val="00141D8A"/>
    <w:rsid w:val="001429ED"/>
    <w:rsid w:val="00144A32"/>
    <w:rsid w:val="001450FB"/>
    <w:rsid w:val="00145F5C"/>
    <w:rsid w:val="0014658A"/>
    <w:rsid w:val="0014731E"/>
    <w:rsid w:val="00147DB8"/>
    <w:rsid w:val="00151683"/>
    <w:rsid w:val="0015344D"/>
    <w:rsid w:val="0015392F"/>
    <w:rsid w:val="0015540C"/>
    <w:rsid w:val="0015563E"/>
    <w:rsid w:val="00155F66"/>
    <w:rsid w:val="00156674"/>
    <w:rsid w:val="00157982"/>
    <w:rsid w:val="0016390D"/>
    <w:rsid w:val="0016394C"/>
    <w:rsid w:val="00163B68"/>
    <w:rsid w:val="00163DDA"/>
    <w:rsid w:val="00164057"/>
    <w:rsid w:val="00164DCE"/>
    <w:rsid w:val="00164F3E"/>
    <w:rsid w:val="00165B37"/>
    <w:rsid w:val="00166DB1"/>
    <w:rsid w:val="0016748C"/>
    <w:rsid w:val="00167513"/>
    <w:rsid w:val="0016769E"/>
    <w:rsid w:val="00170369"/>
    <w:rsid w:val="0017057F"/>
    <w:rsid w:val="00170700"/>
    <w:rsid w:val="00171C31"/>
    <w:rsid w:val="00172C5B"/>
    <w:rsid w:val="00173757"/>
    <w:rsid w:val="00174176"/>
    <w:rsid w:val="001749BB"/>
    <w:rsid w:val="001761E5"/>
    <w:rsid w:val="00176C36"/>
    <w:rsid w:val="00177D94"/>
    <w:rsid w:val="00181D92"/>
    <w:rsid w:val="001823B6"/>
    <w:rsid w:val="00183788"/>
    <w:rsid w:val="001848EB"/>
    <w:rsid w:val="00185212"/>
    <w:rsid w:val="00186529"/>
    <w:rsid w:val="00187238"/>
    <w:rsid w:val="00187DB9"/>
    <w:rsid w:val="0019077D"/>
    <w:rsid w:val="00190EAB"/>
    <w:rsid w:val="00191288"/>
    <w:rsid w:val="0019194D"/>
    <w:rsid w:val="001937DA"/>
    <w:rsid w:val="0019487D"/>
    <w:rsid w:val="0019723B"/>
    <w:rsid w:val="001A05BF"/>
    <w:rsid w:val="001A1C39"/>
    <w:rsid w:val="001A28DA"/>
    <w:rsid w:val="001A3B2B"/>
    <w:rsid w:val="001A4240"/>
    <w:rsid w:val="001A5989"/>
    <w:rsid w:val="001A6821"/>
    <w:rsid w:val="001A734D"/>
    <w:rsid w:val="001A7632"/>
    <w:rsid w:val="001B067E"/>
    <w:rsid w:val="001B141D"/>
    <w:rsid w:val="001B1ACD"/>
    <w:rsid w:val="001B29D4"/>
    <w:rsid w:val="001B2E02"/>
    <w:rsid w:val="001B2EC4"/>
    <w:rsid w:val="001B3C50"/>
    <w:rsid w:val="001B4224"/>
    <w:rsid w:val="001B4963"/>
    <w:rsid w:val="001B7472"/>
    <w:rsid w:val="001C010F"/>
    <w:rsid w:val="001C0110"/>
    <w:rsid w:val="001C10AC"/>
    <w:rsid w:val="001C446E"/>
    <w:rsid w:val="001C5041"/>
    <w:rsid w:val="001C5437"/>
    <w:rsid w:val="001C55FB"/>
    <w:rsid w:val="001C607A"/>
    <w:rsid w:val="001C7F1F"/>
    <w:rsid w:val="001D0390"/>
    <w:rsid w:val="001D10A8"/>
    <w:rsid w:val="001D12BC"/>
    <w:rsid w:val="001D2AA0"/>
    <w:rsid w:val="001D3BCB"/>
    <w:rsid w:val="001D5198"/>
    <w:rsid w:val="001D561D"/>
    <w:rsid w:val="001D5906"/>
    <w:rsid w:val="001D6E7A"/>
    <w:rsid w:val="001D7E52"/>
    <w:rsid w:val="001E05DB"/>
    <w:rsid w:val="001E18CC"/>
    <w:rsid w:val="001E27E0"/>
    <w:rsid w:val="001E31D3"/>
    <w:rsid w:val="001E3D2D"/>
    <w:rsid w:val="001E4605"/>
    <w:rsid w:val="001E5F4E"/>
    <w:rsid w:val="001E7543"/>
    <w:rsid w:val="001E7CE0"/>
    <w:rsid w:val="001F16EA"/>
    <w:rsid w:val="001F2689"/>
    <w:rsid w:val="001F26B6"/>
    <w:rsid w:val="001F2AB7"/>
    <w:rsid w:val="001F3594"/>
    <w:rsid w:val="001F3C9B"/>
    <w:rsid w:val="001F3E77"/>
    <w:rsid w:val="001F4BD1"/>
    <w:rsid w:val="001F5110"/>
    <w:rsid w:val="001F5702"/>
    <w:rsid w:val="001F5B4F"/>
    <w:rsid w:val="001F6191"/>
    <w:rsid w:val="001F65A2"/>
    <w:rsid w:val="001F7B81"/>
    <w:rsid w:val="002002FC"/>
    <w:rsid w:val="00200EDA"/>
    <w:rsid w:val="00201F71"/>
    <w:rsid w:val="002022DE"/>
    <w:rsid w:val="00202EF6"/>
    <w:rsid w:val="00203850"/>
    <w:rsid w:val="00203934"/>
    <w:rsid w:val="0020446B"/>
    <w:rsid w:val="00204BA7"/>
    <w:rsid w:val="002072AB"/>
    <w:rsid w:val="002075C0"/>
    <w:rsid w:val="00210140"/>
    <w:rsid w:val="0021040E"/>
    <w:rsid w:val="0021061B"/>
    <w:rsid w:val="00211942"/>
    <w:rsid w:val="00214D95"/>
    <w:rsid w:val="00215531"/>
    <w:rsid w:val="002162B2"/>
    <w:rsid w:val="00216CD3"/>
    <w:rsid w:val="00216F54"/>
    <w:rsid w:val="00220933"/>
    <w:rsid w:val="00220C72"/>
    <w:rsid w:val="0022540C"/>
    <w:rsid w:val="00226AA4"/>
    <w:rsid w:val="002273CD"/>
    <w:rsid w:val="00230D22"/>
    <w:rsid w:val="00231335"/>
    <w:rsid w:val="002326DD"/>
    <w:rsid w:val="00233C8A"/>
    <w:rsid w:val="00233C98"/>
    <w:rsid w:val="00233D28"/>
    <w:rsid w:val="00235258"/>
    <w:rsid w:val="00236036"/>
    <w:rsid w:val="00240D90"/>
    <w:rsid w:val="00241ED6"/>
    <w:rsid w:val="00242A74"/>
    <w:rsid w:val="00242AF1"/>
    <w:rsid w:val="00245442"/>
    <w:rsid w:val="00246865"/>
    <w:rsid w:val="0024695D"/>
    <w:rsid w:val="00247ED7"/>
    <w:rsid w:val="002510D5"/>
    <w:rsid w:val="002536BB"/>
    <w:rsid w:val="00253CB1"/>
    <w:rsid w:val="00253D9A"/>
    <w:rsid w:val="002543F9"/>
    <w:rsid w:val="002552F2"/>
    <w:rsid w:val="00257ADD"/>
    <w:rsid w:val="00257B2C"/>
    <w:rsid w:val="0026297A"/>
    <w:rsid w:val="00263723"/>
    <w:rsid w:val="002638B9"/>
    <w:rsid w:val="00263CF8"/>
    <w:rsid w:val="0026464A"/>
    <w:rsid w:val="00264F70"/>
    <w:rsid w:val="00264F8B"/>
    <w:rsid w:val="00265635"/>
    <w:rsid w:val="00266389"/>
    <w:rsid w:val="00266BFB"/>
    <w:rsid w:val="002675F7"/>
    <w:rsid w:val="00271B23"/>
    <w:rsid w:val="002721CC"/>
    <w:rsid w:val="002725A5"/>
    <w:rsid w:val="0027314F"/>
    <w:rsid w:val="00280815"/>
    <w:rsid w:val="002809C8"/>
    <w:rsid w:val="00280A2E"/>
    <w:rsid w:val="002826E6"/>
    <w:rsid w:val="0028289F"/>
    <w:rsid w:val="00282948"/>
    <w:rsid w:val="00284157"/>
    <w:rsid w:val="00285631"/>
    <w:rsid w:val="00287560"/>
    <w:rsid w:val="002901FB"/>
    <w:rsid w:val="00290D94"/>
    <w:rsid w:val="0029203C"/>
    <w:rsid w:val="00292F9B"/>
    <w:rsid w:val="00294873"/>
    <w:rsid w:val="00294B1E"/>
    <w:rsid w:val="00294C7F"/>
    <w:rsid w:val="00296F76"/>
    <w:rsid w:val="002A08AC"/>
    <w:rsid w:val="002A3C0C"/>
    <w:rsid w:val="002A4A81"/>
    <w:rsid w:val="002A5744"/>
    <w:rsid w:val="002A6B28"/>
    <w:rsid w:val="002A6C89"/>
    <w:rsid w:val="002A6D9C"/>
    <w:rsid w:val="002A72DE"/>
    <w:rsid w:val="002A73A2"/>
    <w:rsid w:val="002A7CE8"/>
    <w:rsid w:val="002B0671"/>
    <w:rsid w:val="002B262F"/>
    <w:rsid w:val="002B2E6A"/>
    <w:rsid w:val="002B3553"/>
    <w:rsid w:val="002B35AC"/>
    <w:rsid w:val="002B5E06"/>
    <w:rsid w:val="002B5ED6"/>
    <w:rsid w:val="002C0CFF"/>
    <w:rsid w:val="002C4C7F"/>
    <w:rsid w:val="002C6198"/>
    <w:rsid w:val="002C7977"/>
    <w:rsid w:val="002D0023"/>
    <w:rsid w:val="002D09B9"/>
    <w:rsid w:val="002D16A0"/>
    <w:rsid w:val="002D2930"/>
    <w:rsid w:val="002D2DFF"/>
    <w:rsid w:val="002D3D6D"/>
    <w:rsid w:val="002D4418"/>
    <w:rsid w:val="002D5BF8"/>
    <w:rsid w:val="002D7ECC"/>
    <w:rsid w:val="002E0D7D"/>
    <w:rsid w:val="002E1055"/>
    <w:rsid w:val="002E1B8F"/>
    <w:rsid w:val="002E248E"/>
    <w:rsid w:val="002E2DEF"/>
    <w:rsid w:val="002E2F23"/>
    <w:rsid w:val="002E415C"/>
    <w:rsid w:val="002E4DF4"/>
    <w:rsid w:val="002E4E3E"/>
    <w:rsid w:val="002E631E"/>
    <w:rsid w:val="002E76B2"/>
    <w:rsid w:val="002E79A2"/>
    <w:rsid w:val="002F1335"/>
    <w:rsid w:val="002F287D"/>
    <w:rsid w:val="002F2C05"/>
    <w:rsid w:val="002F4F4B"/>
    <w:rsid w:val="002F52A9"/>
    <w:rsid w:val="002F55FD"/>
    <w:rsid w:val="002F594C"/>
    <w:rsid w:val="00301541"/>
    <w:rsid w:val="00301891"/>
    <w:rsid w:val="00301984"/>
    <w:rsid w:val="00301B0B"/>
    <w:rsid w:val="00301E84"/>
    <w:rsid w:val="00301EDF"/>
    <w:rsid w:val="00302CC7"/>
    <w:rsid w:val="00302E7A"/>
    <w:rsid w:val="00303D1B"/>
    <w:rsid w:val="0030436D"/>
    <w:rsid w:val="003046B7"/>
    <w:rsid w:val="00306F2A"/>
    <w:rsid w:val="00310D0F"/>
    <w:rsid w:val="00310D25"/>
    <w:rsid w:val="00310FFE"/>
    <w:rsid w:val="0031250A"/>
    <w:rsid w:val="00312BFE"/>
    <w:rsid w:val="00314985"/>
    <w:rsid w:val="00315A4E"/>
    <w:rsid w:val="00317A57"/>
    <w:rsid w:val="003205E2"/>
    <w:rsid w:val="00320A99"/>
    <w:rsid w:val="0032144B"/>
    <w:rsid w:val="00321E38"/>
    <w:rsid w:val="00321F2F"/>
    <w:rsid w:val="00322BFE"/>
    <w:rsid w:val="00322D5B"/>
    <w:rsid w:val="00323AC3"/>
    <w:rsid w:val="00324EFB"/>
    <w:rsid w:val="00325AC2"/>
    <w:rsid w:val="00326A1C"/>
    <w:rsid w:val="00326EE8"/>
    <w:rsid w:val="003272BB"/>
    <w:rsid w:val="00327FDC"/>
    <w:rsid w:val="00330FE3"/>
    <w:rsid w:val="0033133F"/>
    <w:rsid w:val="003316B2"/>
    <w:rsid w:val="00331BEA"/>
    <w:rsid w:val="00332585"/>
    <w:rsid w:val="00334904"/>
    <w:rsid w:val="00335DDF"/>
    <w:rsid w:val="003360E3"/>
    <w:rsid w:val="003362B5"/>
    <w:rsid w:val="00336B61"/>
    <w:rsid w:val="003371D5"/>
    <w:rsid w:val="003376CD"/>
    <w:rsid w:val="00340B29"/>
    <w:rsid w:val="00342574"/>
    <w:rsid w:val="0034259D"/>
    <w:rsid w:val="00342F4F"/>
    <w:rsid w:val="003452C3"/>
    <w:rsid w:val="003501A7"/>
    <w:rsid w:val="0035048A"/>
    <w:rsid w:val="003520E4"/>
    <w:rsid w:val="00354A5D"/>
    <w:rsid w:val="003555D8"/>
    <w:rsid w:val="00356757"/>
    <w:rsid w:val="00356A54"/>
    <w:rsid w:val="00357523"/>
    <w:rsid w:val="0035783D"/>
    <w:rsid w:val="00361342"/>
    <w:rsid w:val="00361ECA"/>
    <w:rsid w:val="0036263B"/>
    <w:rsid w:val="00363B62"/>
    <w:rsid w:val="003645B0"/>
    <w:rsid w:val="00364B2C"/>
    <w:rsid w:val="00365056"/>
    <w:rsid w:val="00365DAD"/>
    <w:rsid w:val="003664F1"/>
    <w:rsid w:val="003669FA"/>
    <w:rsid w:val="00367E3F"/>
    <w:rsid w:val="00371269"/>
    <w:rsid w:val="003720B4"/>
    <w:rsid w:val="00373281"/>
    <w:rsid w:val="00373BF6"/>
    <w:rsid w:val="003750EB"/>
    <w:rsid w:val="0037622D"/>
    <w:rsid w:val="00376C34"/>
    <w:rsid w:val="00377EA5"/>
    <w:rsid w:val="00377F77"/>
    <w:rsid w:val="00381767"/>
    <w:rsid w:val="00381D22"/>
    <w:rsid w:val="003828BA"/>
    <w:rsid w:val="00383073"/>
    <w:rsid w:val="0038438F"/>
    <w:rsid w:val="00387C67"/>
    <w:rsid w:val="00387D98"/>
    <w:rsid w:val="00387E70"/>
    <w:rsid w:val="003903DA"/>
    <w:rsid w:val="0039044A"/>
    <w:rsid w:val="00390AFE"/>
    <w:rsid w:val="00390B0F"/>
    <w:rsid w:val="00390B38"/>
    <w:rsid w:val="00390B6B"/>
    <w:rsid w:val="00390F0F"/>
    <w:rsid w:val="00391266"/>
    <w:rsid w:val="003912EA"/>
    <w:rsid w:val="00391CFE"/>
    <w:rsid w:val="0039353B"/>
    <w:rsid w:val="00394F9E"/>
    <w:rsid w:val="003953A1"/>
    <w:rsid w:val="00395426"/>
    <w:rsid w:val="0039567C"/>
    <w:rsid w:val="00395B91"/>
    <w:rsid w:val="00396615"/>
    <w:rsid w:val="0039700D"/>
    <w:rsid w:val="00397089"/>
    <w:rsid w:val="003978A8"/>
    <w:rsid w:val="00397A4A"/>
    <w:rsid w:val="003A0A22"/>
    <w:rsid w:val="003A0D03"/>
    <w:rsid w:val="003A0F30"/>
    <w:rsid w:val="003A1842"/>
    <w:rsid w:val="003A2511"/>
    <w:rsid w:val="003A36DF"/>
    <w:rsid w:val="003A498B"/>
    <w:rsid w:val="003A4C44"/>
    <w:rsid w:val="003A5AD0"/>
    <w:rsid w:val="003A6CE3"/>
    <w:rsid w:val="003A7176"/>
    <w:rsid w:val="003A7899"/>
    <w:rsid w:val="003A7E87"/>
    <w:rsid w:val="003A7EB6"/>
    <w:rsid w:val="003B15EE"/>
    <w:rsid w:val="003B31A5"/>
    <w:rsid w:val="003B3A6C"/>
    <w:rsid w:val="003B4C1B"/>
    <w:rsid w:val="003B4DB5"/>
    <w:rsid w:val="003B517D"/>
    <w:rsid w:val="003B60EC"/>
    <w:rsid w:val="003B62E7"/>
    <w:rsid w:val="003B75A4"/>
    <w:rsid w:val="003C00ED"/>
    <w:rsid w:val="003C0B89"/>
    <w:rsid w:val="003C1C0A"/>
    <w:rsid w:val="003C35DF"/>
    <w:rsid w:val="003C4A68"/>
    <w:rsid w:val="003C554F"/>
    <w:rsid w:val="003C61DD"/>
    <w:rsid w:val="003C685D"/>
    <w:rsid w:val="003C713E"/>
    <w:rsid w:val="003D0A6B"/>
    <w:rsid w:val="003D0DEC"/>
    <w:rsid w:val="003D17C7"/>
    <w:rsid w:val="003D2E1D"/>
    <w:rsid w:val="003D63E7"/>
    <w:rsid w:val="003E05F1"/>
    <w:rsid w:val="003E113B"/>
    <w:rsid w:val="003E14EA"/>
    <w:rsid w:val="003E2881"/>
    <w:rsid w:val="003E4CE4"/>
    <w:rsid w:val="003E5092"/>
    <w:rsid w:val="003E64C9"/>
    <w:rsid w:val="003E6AFA"/>
    <w:rsid w:val="003E715D"/>
    <w:rsid w:val="003E7B97"/>
    <w:rsid w:val="003F0249"/>
    <w:rsid w:val="003F103E"/>
    <w:rsid w:val="003F1ACB"/>
    <w:rsid w:val="003F1BB4"/>
    <w:rsid w:val="003F2E48"/>
    <w:rsid w:val="003F440C"/>
    <w:rsid w:val="003F525A"/>
    <w:rsid w:val="003F5E01"/>
    <w:rsid w:val="003F6AD1"/>
    <w:rsid w:val="003F7BE6"/>
    <w:rsid w:val="003F7D08"/>
    <w:rsid w:val="004006A9"/>
    <w:rsid w:val="004033EC"/>
    <w:rsid w:val="00404548"/>
    <w:rsid w:val="004052AE"/>
    <w:rsid w:val="00405CBA"/>
    <w:rsid w:val="0040637A"/>
    <w:rsid w:val="004100E6"/>
    <w:rsid w:val="004118A5"/>
    <w:rsid w:val="00412158"/>
    <w:rsid w:val="00413672"/>
    <w:rsid w:val="00414041"/>
    <w:rsid w:val="00414465"/>
    <w:rsid w:val="00414729"/>
    <w:rsid w:val="00414C80"/>
    <w:rsid w:val="00414F4B"/>
    <w:rsid w:val="0041585A"/>
    <w:rsid w:val="00415EF9"/>
    <w:rsid w:val="004162A7"/>
    <w:rsid w:val="00416629"/>
    <w:rsid w:val="00417DA1"/>
    <w:rsid w:val="004205F8"/>
    <w:rsid w:val="00423034"/>
    <w:rsid w:val="00423478"/>
    <w:rsid w:val="0042362D"/>
    <w:rsid w:val="00424A58"/>
    <w:rsid w:val="00425988"/>
    <w:rsid w:val="00425B76"/>
    <w:rsid w:val="004260A2"/>
    <w:rsid w:val="00426107"/>
    <w:rsid w:val="00426FC6"/>
    <w:rsid w:val="004273BC"/>
    <w:rsid w:val="00427C5F"/>
    <w:rsid w:val="00430415"/>
    <w:rsid w:val="004327D3"/>
    <w:rsid w:val="0043343D"/>
    <w:rsid w:val="00434872"/>
    <w:rsid w:val="00435ADC"/>
    <w:rsid w:val="0043602F"/>
    <w:rsid w:val="00436AC7"/>
    <w:rsid w:val="00441101"/>
    <w:rsid w:val="004411FB"/>
    <w:rsid w:val="00441EAC"/>
    <w:rsid w:val="00442479"/>
    <w:rsid w:val="00442A27"/>
    <w:rsid w:val="0044609A"/>
    <w:rsid w:val="004460B9"/>
    <w:rsid w:val="004462EB"/>
    <w:rsid w:val="004507E5"/>
    <w:rsid w:val="004508AF"/>
    <w:rsid w:val="00451479"/>
    <w:rsid w:val="004519AD"/>
    <w:rsid w:val="00452209"/>
    <w:rsid w:val="004525C7"/>
    <w:rsid w:val="00452C51"/>
    <w:rsid w:val="0045459A"/>
    <w:rsid w:val="004545DB"/>
    <w:rsid w:val="00455804"/>
    <w:rsid w:val="0045786A"/>
    <w:rsid w:val="00460F76"/>
    <w:rsid w:val="0046163F"/>
    <w:rsid w:val="00461959"/>
    <w:rsid w:val="00461BD4"/>
    <w:rsid w:val="00462F12"/>
    <w:rsid w:val="00463050"/>
    <w:rsid w:val="0046340F"/>
    <w:rsid w:val="00466168"/>
    <w:rsid w:val="00466C14"/>
    <w:rsid w:val="0046778B"/>
    <w:rsid w:val="00470B44"/>
    <w:rsid w:val="004714D4"/>
    <w:rsid w:val="00473270"/>
    <w:rsid w:val="0047371A"/>
    <w:rsid w:val="00475712"/>
    <w:rsid w:val="004766E5"/>
    <w:rsid w:val="00476A4D"/>
    <w:rsid w:val="00477C0E"/>
    <w:rsid w:val="00480CCE"/>
    <w:rsid w:val="00480DAD"/>
    <w:rsid w:val="004812DF"/>
    <w:rsid w:val="00482FAA"/>
    <w:rsid w:val="00486059"/>
    <w:rsid w:val="0048617C"/>
    <w:rsid w:val="00486DCA"/>
    <w:rsid w:val="00487211"/>
    <w:rsid w:val="004875F3"/>
    <w:rsid w:val="00487903"/>
    <w:rsid w:val="00487A8F"/>
    <w:rsid w:val="0049075F"/>
    <w:rsid w:val="00492979"/>
    <w:rsid w:val="00492DA8"/>
    <w:rsid w:val="00496253"/>
    <w:rsid w:val="00497222"/>
    <w:rsid w:val="004975BC"/>
    <w:rsid w:val="00497B66"/>
    <w:rsid w:val="004A0888"/>
    <w:rsid w:val="004A3779"/>
    <w:rsid w:val="004A43B6"/>
    <w:rsid w:val="004A4DD6"/>
    <w:rsid w:val="004A55F0"/>
    <w:rsid w:val="004A5D63"/>
    <w:rsid w:val="004A70EE"/>
    <w:rsid w:val="004A769A"/>
    <w:rsid w:val="004A774E"/>
    <w:rsid w:val="004A7D3E"/>
    <w:rsid w:val="004A7FF9"/>
    <w:rsid w:val="004B1787"/>
    <w:rsid w:val="004B1912"/>
    <w:rsid w:val="004B2B18"/>
    <w:rsid w:val="004B348B"/>
    <w:rsid w:val="004B3591"/>
    <w:rsid w:val="004B379D"/>
    <w:rsid w:val="004B4513"/>
    <w:rsid w:val="004B456C"/>
    <w:rsid w:val="004B4E72"/>
    <w:rsid w:val="004B5F0C"/>
    <w:rsid w:val="004B6031"/>
    <w:rsid w:val="004B7D9A"/>
    <w:rsid w:val="004C046E"/>
    <w:rsid w:val="004C1609"/>
    <w:rsid w:val="004C1CFD"/>
    <w:rsid w:val="004C1F3A"/>
    <w:rsid w:val="004C216B"/>
    <w:rsid w:val="004C23B0"/>
    <w:rsid w:val="004C4E90"/>
    <w:rsid w:val="004C545A"/>
    <w:rsid w:val="004C5DD3"/>
    <w:rsid w:val="004C6001"/>
    <w:rsid w:val="004C72B1"/>
    <w:rsid w:val="004C7B1B"/>
    <w:rsid w:val="004D30F9"/>
    <w:rsid w:val="004D35BF"/>
    <w:rsid w:val="004D367F"/>
    <w:rsid w:val="004D4A32"/>
    <w:rsid w:val="004D56EA"/>
    <w:rsid w:val="004D64AB"/>
    <w:rsid w:val="004D65D7"/>
    <w:rsid w:val="004D66CD"/>
    <w:rsid w:val="004E24DA"/>
    <w:rsid w:val="004E39A2"/>
    <w:rsid w:val="004E4EE2"/>
    <w:rsid w:val="004E5F95"/>
    <w:rsid w:val="004E6BD4"/>
    <w:rsid w:val="004E7CE8"/>
    <w:rsid w:val="004F02BB"/>
    <w:rsid w:val="004F1D97"/>
    <w:rsid w:val="004F271D"/>
    <w:rsid w:val="004F43F7"/>
    <w:rsid w:val="004F4871"/>
    <w:rsid w:val="004F5114"/>
    <w:rsid w:val="004F6A34"/>
    <w:rsid w:val="004F756C"/>
    <w:rsid w:val="005001FA"/>
    <w:rsid w:val="00500974"/>
    <w:rsid w:val="005019AF"/>
    <w:rsid w:val="00501D2E"/>
    <w:rsid w:val="0050488D"/>
    <w:rsid w:val="00504D12"/>
    <w:rsid w:val="00504F4C"/>
    <w:rsid w:val="0050527A"/>
    <w:rsid w:val="0050535A"/>
    <w:rsid w:val="00507C3E"/>
    <w:rsid w:val="00510100"/>
    <w:rsid w:val="005106F5"/>
    <w:rsid w:val="0051100F"/>
    <w:rsid w:val="00511192"/>
    <w:rsid w:val="005118AD"/>
    <w:rsid w:val="00512353"/>
    <w:rsid w:val="00513637"/>
    <w:rsid w:val="005139D0"/>
    <w:rsid w:val="00514D94"/>
    <w:rsid w:val="0051677F"/>
    <w:rsid w:val="005220C2"/>
    <w:rsid w:val="00522E88"/>
    <w:rsid w:val="00523369"/>
    <w:rsid w:val="0052398F"/>
    <w:rsid w:val="00523A73"/>
    <w:rsid w:val="005255D8"/>
    <w:rsid w:val="00527526"/>
    <w:rsid w:val="0052776F"/>
    <w:rsid w:val="0053288A"/>
    <w:rsid w:val="00532960"/>
    <w:rsid w:val="00532A59"/>
    <w:rsid w:val="0053736D"/>
    <w:rsid w:val="00537C4F"/>
    <w:rsid w:val="005406CC"/>
    <w:rsid w:val="00540B04"/>
    <w:rsid w:val="00540C2F"/>
    <w:rsid w:val="005420B3"/>
    <w:rsid w:val="00544BE5"/>
    <w:rsid w:val="005452E4"/>
    <w:rsid w:val="00545A73"/>
    <w:rsid w:val="00546DEB"/>
    <w:rsid w:val="00546F0F"/>
    <w:rsid w:val="005477E7"/>
    <w:rsid w:val="00550159"/>
    <w:rsid w:val="00550607"/>
    <w:rsid w:val="00550D52"/>
    <w:rsid w:val="005515B2"/>
    <w:rsid w:val="00551897"/>
    <w:rsid w:val="00551D56"/>
    <w:rsid w:val="00551FFD"/>
    <w:rsid w:val="00552A0F"/>
    <w:rsid w:val="00552ABB"/>
    <w:rsid w:val="00552BA2"/>
    <w:rsid w:val="005533F9"/>
    <w:rsid w:val="005551ED"/>
    <w:rsid w:val="00556419"/>
    <w:rsid w:val="005564A9"/>
    <w:rsid w:val="005572B4"/>
    <w:rsid w:val="005572DD"/>
    <w:rsid w:val="00560564"/>
    <w:rsid w:val="0056132A"/>
    <w:rsid w:val="00562514"/>
    <w:rsid w:val="00562E2B"/>
    <w:rsid w:val="0056320F"/>
    <w:rsid w:val="005633CC"/>
    <w:rsid w:val="00564668"/>
    <w:rsid w:val="00564E2D"/>
    <w:rsid w:val="005652A3"/>
    <w:rsid w:val="0056575A"/>
    <w:rsid w:val="00565CAD"/>
    <w:rsid w:val="005664DB"/>
    <w:rsid w:val="00566E34"/>
    <w:rsid w:val="00567805"/>
    <w:rsid w:val="00570353"/>
    <w:rsid w:val="00570829"/>
    <w:rsid w:val="005715F5"/>
    <w:rsid w:val="0057171E"/>
    <w:rsid w:val="00571EEC"/>
    <w:rsid w:val="0057224C"/>
    <w:rsid w:val="00572666"/>
    <w:rsid w:val="0057267E"/>
    <w:rsid w:val="005726BD"/>
    <w:rsid w:val="00574A5A"/>
    <w:rsid w:val="005753B8"/>
    <w:rsid w:val="005763B5"/>
    <w:rsid w:val="00576A1A"/>
    <w:rsid w:val="00580094"/>
    <w:rsid w:val="00580234"/>
    <w:rsid w:val="005811BA"/>
    <w:rsid w:val="00581E5C"/>
    <w:rsid w:val="00583371"/>
    <w:rsid w:val="00583ED5"/>
    <w:rsid w:val="005840CA"/>
    <w:rsid w:val="0058477A"/>
    <w:rsid w:val="00584F71"/>
    <w:rsid w:val="005853EA"/>
    <w:rsid w:val="00586AC1"/>
    <w:rsid w:val="00586ADC"/>
    <w:rsid w:val="00587437"/>
    <w:rsid w:val="005879C8"/>
    <w:rsid w:val="00587B13"/>
    <w:rsid w:val="00590F68"/>
    <w:rsid w:val="00592678"/>
    <w:rsid w:val="00593429"/>
    <w:rsid w:val="005943DB"/>
    <w:rsid w:val="00594644"/>
    <w:rsid w:val="005946F1"/>
    <w:rsid w:val="0059526F"/>
    <w:rsid w:val="00595280"/>
    <w:rsid w:val="00595398"/>
    <w:rsid w:val="00596F36"/>
    <w:rsid w:val="00597281"/>
    <w:rsid w:val="00597554"/>
    <w:rsid w:val="005979C4"/>
    <w:rsid w:val="005A1593"/>
    <w:rsid w:val="005A1741"/>
    <w:rsid w:val="005A235F"/>
    <w:rsid w:val="005A24A0"/>
    <w:rsid w:val="005A25B7"/>
    <w:rsid w:val="005A3925"/>
    <w:rsid w:val="005A751F"/>
    <w:rsid w:val="005A7719"/>
    <w:rsid w:val="005A77C2"/>
    <w:rsid w:val="005B129F"/>
    <w:rsid w:val="005B242A"/>
    <w:rsid w:val="005B24C7"/>
    <w:rsid w:val="005B291B"/>
    <w:rsid w:val="005B4EBB"/>
    <w:rsid w:val="005B5C48"/>
    <w:rsid w:val="005B5EB2"/>
    <w:rsid w:val="005B76C5"/>
    <w:rsid w:val="005B7AF0"/>
    <w:rsid w:val="005B7B8A"/>
    <w:rsid w:val="005C09C6"/>
    <w:rsid w:val="005C3A67"/>
    <w:rsid w:val="005C436F"/>
    <w:rsid w:val="005C458D"/>
    <w:rsid w:val="005C491E"/>
    <w:rsid w:val="005C5AF3"/>
    <w:rsid w:val="005C5E0A"/>
    <w:rsid w:val="005C687A"/>
    <w:rsid w:val="005C6C0C"/>
    <w:rsid w:val="005C79AC"/>
    <w:rsid w:val="005D0A12"/>
    <w:rsid w:val="005D2276"/>
    <w:rsid w:val="005D25FD"/>
    <w:rsid w:val="005D2808"/>
    <w:rsid w:val="005D5625"/>
    <w:rsid w:val="005E0858"/>
    <w:rsid w:val="005E09C3"/>
    <w:rsid w:val="005E2794"/>
    <w:rsid w:val="005E2CA6"/>
    <w:rsid w:val="005E3742"/>
    <w:rsid w:val="005E3CBF"/>
    <w:rsid w:val="005E4A7E"/>
    <w:rsid w:val="005E61B4"/>
    <w:rsid w:val="005E6F9D"/>
    <w:rsid w:val="005E7B5A"/>
    <w:rsid w:val="005F01FC"/>
    <w:rsid w:val="005F042D"/>
    <w:rsid w:val="005F0964"/>
    <w:rsid w:val="005F0C89"/>
    <w:rsid w:val="005F3701"/>
    <w:rsid w:val="005F41DF"/>
    <w:rsid w:val="005F4521"/>
    <w:rsid w:val="005F5478"/>
    <w:rsid w:val="005F5F33"/>
    <w:rsid w:val="005F6AAD"/>
    <w:rsid w:val="005F6B4E"/>
    <w:rsid w:val="005F7826"/>
    <w:rsid w:val="005F7909"/>
    <w:rsid w:val="006006FC"/>
    <w:rsid w:val="00602BCA"/>
    <w:rsid w:val="00602F85"/>
    <w:rsid w:val="00603E4C"/>
    <w:rsid w:val="006045BA"/>
    <w:rsid w:val="006052F4"/>
    <w:rsid w:val="0060583A"/>
    <w:rsid w:val="00606347"/>
    <w:rsid w:val="00607B6C"/>
    <w:rsid w:val="00611649"/>
    <w:rsid w:val="006117F0"/>
    <w:rsid w:val="00611A0E"/>
    <w:rsid w:val="00611FDB"/>
    <w:rsid w:val="0061259B"/>
    <w:rsid w:val="00614154"/>
    <w:rsid w:val="006148BF"/>
    <w:rsid w:val="00614BD3"/>
    <w:rsid w:val="00614E06"/>
    <w:rsid w:val="0061527C"/>
    <w:rsid w:val="00615F22"/>
    <w:rsid w:val="00615FCD"/>
    <w:rsid w:val="00616C63"/>
    <w:rsid w:val="00617E37"/>
    <w:rsid w:val="00620A23"/>
    <w:rsid w:val="00621149"/>
    <w:rsid w:val="00621CF3"/>
    <w:rsid w:val="00622D64"/>
    <w:rsid w:val="00623A77"/>
    <w:rsid w:val="0062440F"/>
    <w:rsid w:val="006249EB"/>
    <w:rsid w:val="006256F5"/>
    <w:rsid w:val="00626CF1"/>
    <w:rsid w:val="00627B45"/>
    <w:rsid w:val="00627C5E"/>
    <w:rsid w:val="0063097B"/>
    <w:rsid w:val="006321F7"/>
    <w:rsid w:val="00632603"/>
    <w:rsid w:val="00632A9A"/>
    <w:rsid w:val="00633105"/>
    <w:rsid w:val="006355BB"/>
    <w:rsid w:val="00635991"/>
    <w:rsid w:val="0063609E"/>
    <w:rsid w:val="006364B8"/>
    <w:rsid w:val="00636A64"/>
    <w:rsid w:val="00636B93"/>
    <w:rsid w:val="00640550"/>
    <w:rsid w:val="0064326A"/>
    <w:rsid w:val="00643437"/>
    <w:rsid w:val="00644D5D"/>
    <w:rsid w:val="006457C7"/>
    <w:rsid w:val="0064695B"/>
    <w:rsid w:val="00646DC7"/>
    <w:rsid w:val="00647904"/>
    <w:rsid w:val="00647FB2"/>
    <w:rsid w:val="00651039"/>
    <w:rsid w:val="006511FB"/>
    <w:rsid w:val="00651A9D"/>
    <w:rsid w:val="00651D26"/>
    <w:rsid w:val="006520FC"/>
    <w:rsid w:val="00654C93"/>
    <w:rsid w:val="00656092"/>
    <w:rsid w:val="00656127"/>
    <w:rsid w:val="00656AC7"/>
    <w:rsid w:val="0065741C"/>
    <w:rsid w:val="00660B85"/>
    <w:rsid w:val="006622E0"/>
    <w:rsid w:val="00662B17"/>
    <w:rsid w:val="00662DCE"/>
    <w:rsid w:val="006631CD"/>
    <w:rsid w:val="00664F6D"/>
    <w:rsid w:val="006650B8"/>
    <w:rsid w:val="00666329"/>
    <w:rsid w:val="0066687E"/>
    <w:rsid w:val="006672EE"/>
    <w:rsid w:val="0067011F"/>
    <w:rsid w:val="0067015E"/>
    <w:rsid w:val="00672D40"/>
    <w:rsid w:val="00672F36"/>
    <w:rsid w:val="006730C9"/>
    <w:rsid w:val="00673947"/>
    <w:rsid w:val="00675B3F"/>
    <w:rsid w:val="00677D9C"/>
    <w:rsid w:val="00680453"/>
    <w:rsid w:val="00682526"/>
    <w:rsid w:val="00683555"/>
    <w:rsid w:val="0068366B"/>
    <w:rsid w:val="00684CB3"/>
    <w:rsid w:val="0068601A"/>
    <w:rsid w:val="00686A12"/>
    <w:rsid w:val="00686F1D"/>
    <w:rsid w:val="00691C77"/>
    <w:rsid w:val="00692F7A"/>
    <w:rsid w:val="00693FB7"/>
    <w:rsid w:val="00694180"/>
    <w:rsid w:val="00694F7E"/>
    <w:rsid w:val="00695E06"/>
    <w:rsid w:val="00696315"/>
    <w:rsid w:val="006974D2"/>
    <w:rsid w:val="006975AB"/>
    <w:rsid w:val="006A06A6"/>
    <w:rsid w:val="006A080B"/>
    <w:rsid w:val="006A0D51"/>
    <w:rsid w:val="006A1C05"/>
    <w:rsid w:val="006A225B"/>
    <w:rsid w:val="006A30D2"/>
    <w:rsid w:val="006A5A6A"/>
    <w:rsid w:val="006A5FE3"/>
    <w:rsid w:val="006A6C7B"/>
    <w:rsid w:val="006A6D03"/>
    <w:rsid w:val="006A7FAC"/>
    <w:rsid w:val="006B2288"/>
    <w:rsid w:val="006B23B2"/>
    <w:rsid w:val="006B2538"/>
    <w:rsid w:val="006B2FE3"/>
    <w:rsid w:val="006B359A"/>
    <w:rsid w:val="006B4845"/>
    <w:rsid w:val="006B5590"/>
    <w:rsid w:val="006B57AC"/>
    <w:rsid w:val="006B635C"/>
    <w:rsid w:val="006B67FC"/>
    <w:rsid w:val="006B6CF9"/>
    <w:rsid w:val="006B7EB5"/>
    <w:rsid w:val="006C0E12"/>
    <w:rsid w:val="006C1708"/>
    <w:rsid w:val="006C1C29"/>
    <w:rsid w:val="006C1FCB"/>
    <w:rsid w:val="006C24AE"/>
    <w:rsid w:val="006C26EE"/>
    <w:rsid w:val="006C2AAB"/>
    <w:rsid w:val="006C3782"/>
    <w:rsid w:val="006C3CDE"/>
    <w:rsid w:val="006C4745"/>
    <w:rsid w:val="006C50A2"/>
    <w:rsid w:val="006C67CD"/>
    <w:rsid w:val="006C75A1"/>
    <w:rsid w:val="006D0EE8"/>
    <w:rsid w:val="006D11E6"/>
    <w:rsid w:val="006D145D"/>
    <w:rsid w:val="006D3162"/>
    <w:rsid w:val="006D37E7"/>
    <w:rsid w:val="006D4E2B"/>
    <w:rsid w:val="006D5146"/>
    <w:rsid w:val="006D58C2"/>
    <w:rsid w:val="006D59D6"/>
    <w:rsid w:val="006D5C04"/>
    <w:rsid w:val="006D7508"/>
    <w:rsid w:val="006D78CF"/>
    <w:rsid w:val="006E0933"/>
    <w:rsid w:val="006E0F2F"/>
    <w:rsid w:val="006E1101"/>
    <w:rsid w:val="006E11BC"/>
    <w:rsid w:val="006E19D7"/>
    <w:rsid w:val="006E5803"/>
    <w:rsid w:val="006E5A02"/>
    <w:rsid w:val="006E6B20"/>
    <w:rsid w:val="006E71B9"/>
    <w:rsid w:val="006F2D87"/>
    <w:rsid w:val="006F39B2"/>
    <w:rsid w:val="006F5384"/>
    <w:rsid w:val="006F6604"/>
    <w:rsid w:val="006F6896"/>
    <w:rsid w:val="006F71D8"/>
    <w:rsid w:val="006F7369"/>
    <w:rsid w:val="006F7D1A"/>
    <w:rsid w:val="00702F6F"/>
    <w:rsid w:val="0070346C"/>
    <w:rsid w:val="007051A0"/>
    <w:rsid w:val="00706496"/>
    <w:rsid w:val="00711545"/>
    <w:rsid w:val="00711A12"/>
    <w:rsid w:val="00711AF9"/>
    <w:rsid w:val="00711F11"/>
    <w:rsid w:val="0071389B"/>
    <w:rsid w:val="00713B92"/>
    <w:rsid w:val="00714D82"/>
    <w:rsid w:val="007154C4"/>
    <w:rsid w:val="00715DB9"/>
    <w:rsid w:val="00715F4F"/>
    <w:rsid w:val="00716ACB"/>
    <w:rsid w:val="00716CBA"/>
    <w:rsid w:val="007174BE"/>
    <w:rsid w:val="00720616"/>
    <w:rsid w:val="007218A0"/>
    <w:rsid w:val="007219AB"/>
    <w:rsid w:val="00722864"/>
    <w:rsid w:val="007229C2"/>
    <w:rsid w:val="007238AF"/>
    <w:rsid w:val="00724A19"/>
    <w:rsid w:val="007264B6"/>
    <w:rsid w:val="00726908"/>
    <w:rsid w:val="007270C7"/>
    <w:rsid w:val="00730F3A"/>
    <w:rsid w:val="0073151F"/>
    <w:rsid w:val="007316EA"/>
    <w:rsid w:val="0073208A"/>
    <w:rsid w:val="007321E7"/>
    <w:rsid w:val="00734A76"/>
    <w:rsid w:val="00735551"/>
    <w:rsid w:val="00735DDD"/>
    <w:rsid w:val="00735F34"/>
    <w:rsid w:val="007367A2"/>
    <w:rsid w:val="00736944"/>
    <w:rsid w:val="00740189"/>
    <w:rsid w:val="00740621"/>
    <w:rsid w:val="00741200"/>
    <w:rsid w:val="00741333"/>
    <w:rsid w:val="00741CD0"/>
    <w:rsid w:val="00742495"/>
    <w:rsid w:val="00742FF2"/>
    <w:rsid w:val="007443BE"/>
    <w:rsid w:val="00744D6A"/>
    <w:rsid w:val="0074515E"/>
    <w:rsid w:val="00745557"/>
    <w:rsid w:val="00745B8F"/>
    <w:rsid w:val="00746138"/>
    <w:rsid w:val="0074620A"/>
    <w:rsid w:val="007506BD"/>
    <w:rsid w:val="00751770"/>
    <w:rsid w:val="00751D50"/>
    <w:rsid w:val="007527D5"/>
    <w:rsid w:val="00752F3C"/>
    <w:rsid w:val="00753A83"/>
    <w:rsid w:val="00753F4C"/>
    <w:rsid w:val="0075606E"/>
    <w:rsid w:val="007561FC"/>
    <w:rsid w:val="00757B26"/>
    <w:rsid w:val="007602DE"/>
    <w:rsid w:val="00761D34"/>
    <w:rsid w:val="007626E8"/>
    <w:rsid w:val="00762D2D"/>
    <w:rsid w:val="00764622"/>
    <w:rsid w:val="00764CAD"/>
    <w:rsid w:val="007660F8"/>
    <w:rsid w:val="00770CA7"/>
    <w:rsid w:val="00770FA1"/>
    <w:rsid w:val="007723EF"/>
    <w:rsid w:val="00772FBE"/>
    <w:rsid w:val="00773884"/>
    <w:rsid w:val="00774813"/>
    <w:rsid w:val="00777294"/>
    <w:rsid w:val="007779E2"/>
    <w:rsid w:val="0078052A"/>
    <w:rsid w:val="007807E7"/>
    <w:rsid w:val="007812FB"/>
    <w:rsid w:val="00783ACF"/>
    <w:rsid w:val="00784032"/>
    <w:rsid w:val="00784B41"/>
    <w:rsid w:val="0078537B"/>
    <w:rsid w:val="007853A0"/>
    <w:rsid w:val="007855A1"/>
    <w:rsid w:val="00785669"/>
    <w:rsid w:val="0078667B"/>
    <w:rsid w:val="00786718"/>
    <w:rsid w:val="00786E79"/>
    <w:rsid w:val="00787925"/>
    <w:rsid w:val="00790305"/>
    <w:rsid w:val="00790E31"/>
    <w:rsid w:val="00791103"/>
    <w:rsid w:val="00791578"/>
    <w:rsid w:val="00791A94"/>
    <w:rsid w:val="00793555"/>
    <w:rsid w:val="00793B87"/>
    <w:rsid w:val="007943EC"/>
    <w:rsid w:val="0079483C"/>
    <w:rsid w:val="00794DF9"/>
    <w:rsid w:val="00794F32"/>
    <w:rsid w:val="0079566E"/>
    <w:rsid w:val="00795FEA"/>
    <w:rsid w:val="00796509"/>
    <w:rsid w:val="00796680"/>
    <w:rsid w:val="0079691E"/>
    <w:rsid w:val="00797723"/>
    <w:rsid w:val="00797830"/>
    <w:rsid w:val="007A0BE1"/>
    <w:rsid w:val="007A20FB"/>
    <w:rsid w:val="007A2708"/>
    <w:rsid w:val="007A2DFA"/>
    <w:rsid w:val="007A3063"/>
    <w:rsid w:val="007A4401"/>
    <w:rsid w:val="007B0CE9"/>
    <w:rsid w:val="007B0D83"/>
    <w:rsid w:val="007B1C82"/>
    <w:rsid w:val="007B1EEE"/>
    <w:rsid w:val="007B249B"/>
    <w:rsid w:val="007B6939"/>
    <w:rsid w:val="007B6D4D"/>
    <w:rsid w:val="007B6FAF"/>
    <w:rsid w:val="007B7A09"/>
    <w:rsid w:val="007C0F7A"/>
    <w:rsid w:val="007C1742"/>
    <w:rsid w:val="007C1997"/>
    <w:rsid w:val="007C3D68"/>
    <w:rsid w:val="007C6F43"/>
    <w:rsid w:val="007C79F0"/>
    <w:rsid w:val="007D1FBF"/>
    <w:rsid w:val="007D24A9"/>
    <w:rsid w:val="007D27FA"/>
    <w:rsid w:val="007D2B33"/>
    <w:rsid w:val="007D30B5"/>
    <w:rsid w:val="007D344B"/>
    <w:rsid w:val="007D3783"/>
    <w:rsid w:val="007D4217"/>
    <w:rsid w:val="007D4F06"/>
    <w:rsid w:val="007D6218"/>
    <w:rsid w:val="007D6699"/>
    <w:rsid w:val="007D694C"/>
    <w:rsid w:val="007D7E30"/>
    <w:rsid w:val="007E0A75"/>
    <w:rsid w:val="007E0AA1"/>
    <w:rsid w:val="007E1226"/>
    <w:rsid w:val="007E206B"/>
    <w:rsid w:val="007E2777"/>
    <w:rsid w:val="007E359F"/>
    <w:rsid w:val="007E39DB"/>
    <w:rsid w:val="007E493C"/>
    <w:rsid w:val="007E6419"/>
    <w:rsid w:val="007E70E8"/>
    <w:rsid w:val="007F0104"/>
    <w:rsid w:val="007F1B27"/>
    <w:rsid w:val="007F33A9"/>
    <w:rsid w:val="007F54FA"/>
    <w:rsid w:val="007F5AF5"/>
    <w:rsid w:val="007F6815"/>
    <w:rsid w:val="007F6BA8"/>
    <w:rsid w:val="00801C34"/>
    <w:rsid w:val="0080681B"/>
    <w:rsid w:val="00806882"/>
    <w:rsid w:val="00806A7F"/>
    <w:rsid w:val="00806EE0"/>
    <w:rsid w:val="0080738C"/>
    <w:rsid w:val="00807E34"/>
    <w:rsid w:val="00807E87"/>
    <w:rsid w:val="00810816"/>
    <w:rsid w:val="00810B77"/>
    <w:rsid w:val="00813710"/>
    <w:rsid w:val="00814C4D"/>
    <w:rsid w:val="00815236"/>
    <w:rsid w:val="00817436"/>
    <w:rsid w:val="00817DBA"/>
    <w:rsid w:val="008217A2"/>
    <w:rsid w:val="008220DE"/>
    <w:rsid w:val="00822217"/>
    <w:rsid w:val="0082340D"/>
    <w:rsid w:val="00823E89"/>
    <w:rsid w:val="008242F9"/>
    <w:rsid w:val="0082542D"/>
    <w:rsid w:val="00825462"/>
    <w:rsid w:val="00825646"/>
    <w:rsid w:val="00825B04"/>
    <w:rsid w:val="00827834"/>
    <w:rsid w:val="00832835"/>
    <w:rsid w:val="00832AFB"/>
    <w:rsid w:val="00832D15"/>
    <w:rsid w:val="00835110"/>
    <w:rsid w:val="008351FC"/>
    <w:rsid w:val="008355E7"/>
    <w:rsid w:val="00837E18"/>
    <w:rsid w:val="00841C65"/>
    <w:rsid w:val="00841F50"/>
    <w:rsid w:val="008423AB"/>
    <w:rsid w:val="00843A0E"/>
    <w:rsid w:val="0084447E"/>
    <w:rsid w:val="00845DFE"/>
    <w:rsid w:val="00846D01"/>
    <w:rsid w:val="00846E17"/>
    <w:rsid w:val="00847337"/>
    <w:rsid w:val="00847446"/>
    <w:rsid w:val="00850E3F"/>
    <w:rsid w:val="008515FF"/>
    <w:rsid w:val="0085200A"/>
    <w:rsid w:val="00852895"/>
    <w:rsid w:val="00854283"/>
    <w:rsid w:val="008559AC"/>
    <w:rsid w:val="008573E3"/>
    <w:rsid w:val="00860BBC"/>
    <w:rsid w:val="00861AF2"/>
    <w:rsid w:val="00861E81"/>
    <w:rsid w:val="00861F06"/>
    <w:rsid w:val="00862787"/>
    <w:rsid w:val="008645FF"/>
    <w:rsid w:val="00866335"/>
    <w:rsid w:val="00866D42"/>
    <w:rsid w:val="0087030E"/>
    <w:rsid w:val="00870AAC"/>
    <w:rsid w:val="00871717"/>
    <w:rsid w:val="00872848"/>
    <w:rsid w:val="008734F7"/>
    <w:rsid w:val="00874E9F"/>
    <w:rsid w:val="0087548A"/>
    <w:rsid w:val="008774BA"/>
    <w:rsid w:val="00877842"/>
    <w:rsid w:val="008806F8"/>
    <w:rsid w:val="008808E2"/>
    <w:rsid w:val="00881456"/>
    <w:rsid w:val="00881ACB"/>
    <w:rsid w:val="008826EE"/>
    <w:rsid w:val="008832BE"/>
    <w:rsid w:val="0088419C"/>
    <w:rsid w:val="00885046"/>
    <w:rsid w:val="00885FC9"/>
    <w:rsid w:val="00886742"/>
    <w:rsid w:val="00886B46"/>
    <w:rsid w:val="00890448"/>
    <w:rsid w:val="008912B5"/>
    <w:rsid w:val="00891328"/>
    <w:rsid w:val="008917F0"/>
    <w:rsid w:val="00891A47"/>
    <w:rsid w:val="00891FC4"/>
    <w:rsid w:val="008923E2"/>
    <w:rsid w:val="008927A0"/>
    <w:rsid w:val="00892809"/>
    <w:rsid w:val="0089370F"/>
    <w:rsid w:val="008939AF"/>
    <w:rsid w:val="00893FED"/>
    <w:rsid w:val="0089449A"/>
    <w:rsid w:val="00895E48"/>
    <w:rsid w:val="00896687"/>
    <w:rsid w:val="008971F4"/>
    <w:rsid w:val="00897CE8"/>
    <w:rsid w:val="008A0563"/>
    <w:rsid w:val="008A0E76"/>
    <w:rsid w:val="008A0E7D"/>
    <w:rsid w:val="008A213E"/>
    <w:rsid w:val="008A2E12"/>
    <w:rsid w:val="008A3023"/>
    <w:rsid w:val="008A403F"/>
    <w:rsid w:val="008A6815"/>
    <w:rsid w:val="008A7336"/>
    <w:rsid w:val="008B1031"/>
    <w:rsid w:val="008B2303"/>
    <w:rsid w:val="008B2825"/>
    <w:rsid w:val="008B2A24"/>
    <w:rsid w:val="008B34A0"/>
    <w:rsid w:val="008B41B8"/>
    <w:rsid w:val="008B4F62"/>
    <w:rsid w:val="008B5740"/>
    <w:rsid w:val="008C0B84"/>
    <w:rsid w:val="008C0CA7"/>
    <w:rsid w:val="008C41DA"/>
    <w:rsid w:val="008C5379"/>
    <w:rsid w:val="008C553A"/>
    <w:rsid w:val="008C588E"/>
    <w:rsid w:val="008C6D5F"/>
    <w:rsid w:val="008C6E9A"/>
    <w:rsid w:val="008C6F85"/>
    <w:rsid w:val="008C7226"/>
    <w:rsid w:val="008C7915"/>
    <w:rsid w:val="008C7C2F"/>
    <w:rsid w:val="008D5F34"/>
    <w:rsid w:val="008D7B80"/>
    <w:rsid w:val="008E121F"/>
    <w:rsid w:val="008E1884"/>
    <w:rsid w:val="008E2068"/>
    <w:rsid w:val="008E21C9"/>
    <w:rsid w:val="008E243B"/>
    <w:rsid w:val="008E248D"/>
    <w:rsid w:val="008E4184"/>
    <w:rsid w:val="008E4E99"/>
    <w:rsid w:val="008E549F"/>
    <w:rsid w:val="008E5F24"/>
    <w:rsid w:val="008E6301"/>
    <w:rsid w:val="008E727B"/>
    <w:rsid w:val="008F10BC"/>
    <w:rsid w:val="008F2052"/>
    <w:rsid w:val="008F26ED"/>
    <w:rsid w:val="008F2A38"/>
    <w:rsid w:val="008F3012"/>
    <w:rsid w:val="008F3F2C"/>
    <w:rsid w:val="008F592B"/>
    <w:rsid w:val="008F5983"/>
    <w:rsid w:val="008F651E"/>
    <w:rsid w:val="008F70C1"/>
    <w:rsid w:val="009004FE"/>
    <w:rsid w:val="009005EF"/>
    <w:rsid w:val="00900C11"/>
    <w:rsid w:val="00901D14"/>
    <w:rsid w:val="0090240E"/>
    <w:rsid w:val="00903775"/>
    <w:rsid w:val="00903E05"/>
    <w:rsid w:val="00905E65"/>
    <w:rsid w:val="00907A49"/>
    <w:rsid w:val="009109F7"/>
    <w:rsid w:val="00912137"/>
    <w:rsid w:val="00913395"/>
    <w:rsid w:val="009143BB"/>
    <w:rsid w:val="009145A8"/>
    <w:rsid w:val="00914712"/>
    <w:rsid w:val="00915BED"/>
    <w:rsid w:val="00916221"/>
    <w:rsid w:val="00916B64"/>
    <w:rsid w:val="009172A0"/>
    <w:rsid w:val="009201AE"/>
    <w:rsid w:val="0092078C"/>
    <w:rsid w:val="00920B5E"/>
    <w:rsid w:val="00920C33"/>
    <w:rsid w:val="0092145D"/>
    <w:rsid w:val="00922A2F"/>
    <w:rsid w:val="00923B9E"/>
    <w:rsid w:val="00924455"/>
    <w:rsid w:val="009245DE"/>
    <w:rsid w:val="00926DEA"/>
    <w:rsid w:val="00930762"/>
    <w:rsid w:val="009309F2"/>
    <w:rsid w:val="00930C0C"/>
    <w:rsid w:val="00931597"/>
    <w:rsid w:val="00931F26"/>
    <w:rsid w:val="009330A3"/>
    <w:rsid w:val="00934D85"/>
    <w:rsid w:val="00935231"/>
    <w:rsid w:val="009361C0"/>
    <w:rsid w:val="00936B81"/>
    <w:rsid w:val="00937D03"/>
    <w:rsid w:val="0094009A"/>
    <w:rsid w:val="0094091E"/>
    <w:rsid w:val="009419DC"/>
    <w:rsid w:val="00944701"/>
    <w:rsid w:val="00945A40"/>
    <w:rsid w:val="00945E58"/>
    <w:rsid w:val="00950ED1"/>
    <w:rsid w:val="00951536"/>
    <w:rsid w:val="00952A7A"/>
    <w:rsid w:val="00953A02"/>
    <w:rsid w:val="00954352"/>
    <w:rsid w:val="0095444E"/>
    <w:rsid w:val="00955C67"/>
    <w:rsid w:val="00957B65"/>
    <w:rsid w:val="009609A6"/>
    <w:rsid w:val="00960AFF"/>
    <w:rsid w:val="009623B3"/>
    <w:rsid w:val="00963F62"/>
    <w:rsid w:val="00964FC1"/>
    <w:rsid w:val="00965EFC"/>
    <w:rsid w:val="0096691C"/>
    <w:rsid w:val="0097086B"/>
    <w:rsid w:val="0097161B"/>
    <w:rsid w:val="009720E1"/>
    <w:rsid w:val="0097315A"/>
    <w:rsid w:val="00973462"/>
    <w:rsid w:val="009734D6"/>
    <w:rsid w:val="009754A7"/>
    <w:rsid w:val="009762D2"/>
    <w:rsid w:val="009762F1"/>
    <w:rsid w:val="0097692D"/>
    <w:rsid w:val="00976FAE"/>
    <w:rsid w:val="009776D2"/>
    <w:rsid w:val="00977EA8"/>
    <w:rsid w:val="0098140D"/>
    <w:rsid w:val="00981CED"/>
    <w:rsid w:val="009843DD"/>
    <w:rsid w:val="00987225"/>
    <w:rsid w:val="00990870"/>
    <w:rsid w:val="00990CB4"/>
    <w:rsid w:val="00990DCF"/>
    <w:rsid w:val="00990FF6"/>
    <w:rsid w:val="009915FB"/>
    <w:rsid w:val="009918A8"/>
    <w:rsid w:val="009920F5"/>
    <w:rsid w:val="00992B56"/>
    <w:rsid w:val="00992CDA"/>
    <w:rsid w:val="00993342"/>
    <w:rsid w:val="0099396C"/>
    <w:rsid w:val="00996CE4"/>
    <w:rsid w:val="009A0406"/>
    <w:rsid w:val="009A0FB3"/>
    <w:rsid w:val="009A10D2"/>
    <w:rsid w:val="009A1A1C"/>
    <w:rsid w:val="009A1FA0"/>
    <w:rsid w:val="009A22D5"/>
    <w:rsid w:val="009A3F36"/>
    <w:rsid w:val="009A48D8"/>
    <w:rsid w:val="009A5BC6"/>
    <w:rsid w:val="009A6B10"/>
    <w:rsid w:val="009A6C59"/>
    <w:rsid w:val="009A6EF1"/>
    <w:rsid w:val="009A74FB"/>
    <w:rsid w:val="009A7878"/>
    <w:rsid w:val="009B0888"/>
    <w:rsid w:val="009B0F09"/>
    <w:rsid w:val="009B1AD5"/>
    <w:rsid w:val="009B22E8"/>
    <w:rsid w:val="009B2CAC"/>
    <w:rsid w:val="009B33DF"/>
    <w:rsid w:val="009B35DC"/>
    <w:rsid w:val="009B3A87"/>
    <w:rsid w:val="009B4270"/>
    <w:rsid w:val="009B44CC"/>
    <w:rsid w:val="009B4D8F"/>
    <w:rsid w:val="009B5651"/>
    <w:rsid w:val="009B607C"/>
    <w:rsid w:val="009B62E4"/>
    <w:rsid w:val="009B7035"/>
    <w:rsid w:val="009B706A"/>
    <w:rsid w:val="009B797E"/>
    <w:rsid w:val="009C0246"/>
    <w:rsid w:val="009C179B"/>
    <w:rsid w:val="009C2855"/>
    <w:rsid w:val="009C3581"/>
    <w:rsid w:val="009C4319"/>
    <w:rsid w:val="009C43DA"/>
    <w:rsid w:val="009C4C56"/>
    <w:rsid w:val="009C5D08"/>
    <w:rsid w:val="009D0812"/>
    <w:rsid w:val="009D109E"/>
    <w:rsid w:val="009D18F4"/>
    <w:rsid w:val="009D1CD9"/>
    <w:rsid w:val="009D1F28"/>
    <w:rsid w:val="009D28E5"/>
    <w:rsid w:val="009D3039"/>
    <w:rsid w:val="009D4830"/>
    <w:rsid w:val="009D503A"/>
    <w:rsid w:val="009D520D"/>
    <w:rsid w:val="009D6BD8"/>
    <w:rsid w:val="009D797A"/>
    <w:rsid w:val="009D7E98"/>
    <w:rsid w:val="009E026A"/>
    <w:rsid w:val="009E1A53"/>
    <w:rsid w:val="009E3095"/>
    <w:rsid w:val="009E3B56"/>
    <w:rsid w:val="009E49B5"/>
    <w:rsid w:val="009E551E"/>
    <w:rsid w:val="009E7066"/>
    <w:rsid w:val="009E7136"/>
    <w:rsid w:val="009F0148"/>
    <w:rsid w:val="009F1460"/>
    <w:rsid w:val="009F1EF8"/>
    <w:rsid w:val="009F32AD"/>
    <w:rsid w:val="009F4398"/>
    <w:rsid w:val="009F4604"/>
    <w:rsid w:val="009F4B78"/>
    <w:rsid w:val="009F5132"/>
    <w:rsid w:val="009F5D7E"/>
    <w:rsid w:val="009F606B"/>
    <w:rsid w:val="009F68EC"/>
    <w:rsid w:val="009F6E66"/>
    <w:rsid w:val="009F7888"/>
    <w:rsid w:val="00A00385"/>
    <w:rsid w:val="00A02AC3"/>
    <w:rsid w:val="00A06070"/>
    <w:rsid w:val="00A06840"/>
    <w:rsid w:val="00A06EAD"/>
    <w:rsid w:val="00A079A4"/>
    <w:rsid w:val="00A1147F"/>
    <w:rsid w:val="00A1293C"/>
    <w:rsid w:val="00A13BBC"/>
    <w:rsid w:val="00A14BDC"/>
    <w:rsid w:val="00A14F9B"/>
    <w:rsid w:val="00A167F1"/>
    <w:rsid w:val="00A16DF9"/>
    <w:rsid w:val="00A2085F"/>
    <w:rsid w:val="00A20EC0"/>
    <w:rsid w:val="00A2150B"/>
    <w:rsid w:val="00A215D9"/>
    <w:rsid w:val="00A218D6"/>
    <w:rsid w:val="00A22107"/>
    <w:rsid w:val="00A2292C"/>
    <w:rsid w:val="00A23FC3"/>
    <w:rsid w:val="00A24DE1"/>
    <w:rsid w:val="00A250DA"/>
    <w:rsid w:val="00A25F1B"/>
    <w:rsid w:val="00A27A41"/>
    <w:rsid w:val="00A3288D"/>
    <w:rsid w:val="00A329DC"/>
    <w:rsid w:val="00A32DE8"/>
    <w:rsid w:val="00A34038"/>
    <w:rsid w:val="00A34A69"/>
    <w:rsid w:val="00A362EE"/>
    <w:rsid w:val="00A36B36"/>
    <w:rsid w:val="00A4012A"/>
    <w:rsid w:val="00A41135"/>
    <w:rsid w:val="00A41FEB"/>
    <w:rsid w:val="00A426F8"/>
    <w:rsid w:val="00A42AB6"/>
    <w:rsid w:val="00A42FBA"/>
    <w:rsid w:val="00A43078"/>
    <w:rsid w:val="00A44DA6"/>
    <w:rsid w:val="00A45764"/>
    <w:rsid w:val="00A463DA"/>
    <w:rsid w:val="00A50921"/>
    <w:rsid w:val="00A5160D"/>
    <w:rsid w:val="00A52792"/>
    <w:rsid w:val="00A52AFC"/>
    <w:rsid w:val="00A533BD"/>
    <w:rsid w:val="00A5425E"/>
    <w:rsid w:val="00A54558"/>
    <w:rsid w:val="00A54AB3"/>
    <w:rsid w:val="00A55721"/>
    <w:rsid w:val="00A55E4C"/>
    <w:rsid w:val="00A56091"/>
    <w:rsid w:val="00A5624A"/>
    <w:rsid w:val="00A56CA4"/>
    <w:rsid w:val="00A571AB"/>
    <w:rsid w:val="00A574B7"/>
    <w:rsid w:val="00A60478"/>
    <w:rsid w:val="00A6189D"/>
    <w:rsid w:val="00A619A0"/>
    <w:rsid w:val="00A61C97"/>
    <w:rsid w:val="00A61E9A"/>
    <w:rsid w:val="00A635A3"/>
    <w:rsid w:val="00A648FB"/>
    <w:rsid w:val="00A65F04"/>
    <w:rsid w:val="00A65F2E"/>
    <w:rsid w:val="00A7006C"/>
    <w:rsid w:val="00A7086D"/>
    <w:rsid w:val="00A70A91"/>
    <w:rsid w:val="00A71AD5"/>
    <w:rsid w:val="00A779AA"/>
    <w:rsid w:val="00A77BDC"/>
    <w:rsid w:val="00A8073E"/>
    <w:rsid w:val="00A80883"/>
    <w:rsid w:val="00A809CD"/>
    <w:rsid w:val="00A80B45"/>
    <w:rsid w:val="00A819CA"/>
    <w:rsid w:val="00A81BED"/>
    <w:rsid w:val="00A82714"/>
    <w:rsid w:val="00A82FC6"/>
    <w:rsid w:val="00A83559"/>
    <w:rsid w:val="00A85A0D"/>
    <w:rsid w:val="00A85AB9"/>
    <w:rsid w:val="00A90644"/>
    <w:rsid w:val="00A92270"/>
    <w:rsid w:val="00A92752"/>
    <w:rsid w:val="00A928F0"/>
    <w:rsid w:val="00AA10AE"/>
    <w:rsid w:val="00AA2564"/>
    <w:rsid w:val="00AA329F"/>
    <w:rsid w:val="00AA73BB"/>
    <w:rsid w:val="00AA7B6A"/>
    <w:rsid w:val="00AB1837"/>
    <w:rsid w:val="00AB18A0"/>
    <w:rsid w:val="00AB3057"/>
    <w:rsid w:val="00AB3E46"/>
    <w:rsid w:val="00AB3E8F"/>
    <w:rsid w:val="00AB415D"/>
    <w:rsid w:val="00AB5522"/>
    <w:rsid w:val="00AB593E"/>
    <w:rsid w:val="00AB5D37"/>
    <w:rsid w:val="00AB683F"/>
    <w:rsid w:val="00AC169C"/>
    <w:rsid w:val="00AC20C7"/>
    <w:rsid w:val="00AC269C"/>
    <w:rsid w:val="00AC4233"/>
    <w:rsid w:val="00AC4A2E"/>
    <w:rsid w:val="00AC5CF5"/>
    <w:rsid w:val="00AD0530"/>
    <w:rsid w:val="00AD1228"/>
    <w:rsid w:val="00AD150B"/>
    <w:rsid w:val="00AD1885"/>
    <w:rsid w:val="00AD1FEF"/>
    <w:rsid w:val="00AD2DD8"/>
    <w:rsid w:val="00AD2E23"/>
    <w:rsid w:val="00AD382E"/>
    <w:rsid w:val="00AD3BF8"/>
    <w:rsid w:val="00AD49AC"/>
    <w:rsid w:val="00AD50BA"/>
    <w:rsid w:val="00AE02E7"/>
    <w:rsid w:val="00AE0F75"/>
    <w:rsid w:val="00AE18D2"/>
    <w:rsid w:val="00AE1EED"/>
    <w:rsid w:val="00AE2851"/>
    <w:rsid w:val="00AE319E"/>
    <w:rsid w:val="00AE3215"/>
    <w:rsid w:val="00AE3B2C"/>
    <w:rsid w:val="00AE3B4E"/>
    <w:rsid w:val="00AE454A"/>
    <w:rsid w:val="00AE6744"/>
    <w:rsid w:val="00AE676F"/>
    <w:rsid w:val="00AE709C"/>
    <w:rsid w:val="00AE76ED"/>
    <w:rsid w:val="00AE7DD9"/>
    <w:rsid w:val="00AF05CE"/>
    <w:rsid w:val="00AF2B38"/>
    <w:rsid w:val="00AF2BB7"/>
    <w:rsid w:val="00B004C1"/>
    <w:rsid w:val="00B0116D"/>
    <w:rsid w:val="00B0168B"/>
    <w:rsid w:val="00B02070"/>
    <w:rsid w:val="00B02C15"/>
    <w:rsid w:val="00B03458"/>
    <w:rsid w:val="00B04462"/>
    <w:rsid w:val="00B04B8E"/>
    <w:rsid w:val="00B05192"/>
    <w:rsid w:val="00B06520"/>
    <w:rsid w:val="00B06714"/>
    <w:rsid w:val="00B07E89"/>
    <w:rsid w:val="00B07FC7"/>
    <w:rsid w:val="00B10051"/>
    <w:rsid w:val="00B1072F"/>
    <w:rsid w:val="00B15820"/>
    <w:rsid w:val="00B20189"/>
    <w:rsid w:val="00B215D8"/>
    <w:rsid w:val="00B21921"/>
    <w:rsid w:val="00B2218A"/>
    <w:rsid w:val="00B225A0"/>
    <w:rsid w:val="00B22879"/>
    <w:rsid w:val="00B22E69"/>
    <w:rsid w:val="00B246ED"/>
    <w:rsid w:val="00B26765"/>
    <w:rsid w:val="00B26DD0"/>
    <w:rsid w:val="00B30205"/>
    <w:rsid w:val="00B3090B"/>
    <w:rsid w:val="00B30B8A"/>
    <w:rsid w:val="00B319C4"/>
    <w:rsid w:val="00B338C8"/>
    <w:rsid w:val="00B341CC"/>
    <w:rsid w:val="00B35321"/>
    <w:rsid w:val="00B35505"/>
    <w:rsid w:val="00B35A2B"/>
    <w:rsid w:val="00B35CB3"/>
    <w:rsid w:val="00B35E0A"/>
    <w:rsid w:val="00B37ADC"/>
    <w:rsid w:val="00B40124"/>
    <w:rsid w:val="00B40B86"/>
    <w:rsid w:val="00B424E7"/>
    <w:rsid w:val="00B4288A"/>
    <w:rsid w:val="00B42E03"/>
    <w:rsid w:val="00B4358B"/>
    <w:rsid w:val="00B43667"/>
    <w:rsid w:val="00B43948"/>
    <w:rsid w:val="00B443E2"/>
    <w:rsid w:val="00B46222"/>
    <w:rsid w:val="00B47BC6"/>
    <w:rsid w:val="00B51A7E"/>
    <w:rsid w:val="00B5297E"/>
    <w:rsid w:val="00B52A5D"/>
    <w:rsid w:val="00B52C7A"/>
    <w:rsid w:val="00B54092"/>
    <w:rsid w:val="00B5444C"/>
    <w:rsid w:val="00B5568B"/>
    <w:rsid w:val="00B557BF"/>
    <w:rsid w:val="00B55BD6"/>
    <w:rsid w:val="00B56147"/>
    <w:rsid w:val="00B568B2"/>
    <w:rsid w:val="00B5720A"/>
    <w:rsid w:val="00B604A0"/>
    <w:rsid w:val="00B60761"/>
    <w:rsid w:val="00B60EB6"/>
    <w:rsid w:val="00B620A5"/>
    <w:rsid w:val="00B62BB1"/>
    <w:rsid w:val="00B63559"/>
    <w:rsid w:val="00B65AE1"/>
    <w:rsid w:val="00B66A75"/>
    <w:rsid w:val="00B70801"/>
    <w:rsid w:val="00B73979"/>
    <w:rsid w:val="00B73CE6"/>
    <w:rsid w:val="00B751B0"/>
    <w:rsid w:val="00B76248"/>
    <w:rsid w:val="00B762E0"/>
    <w:rsid w:val="00B764E9"/>
    <w:rsid w:val="00B8039D"/>
    <w:rsid w:val="00B82899"/>
    <w:rsid w:val="00B83AED"/>
    <w:rsid w:val="00B846F8"/>
    <w:rsid w:val="00B8592F"/>
    <w:rsid w:val="00B86188"/>
    <w:rsid w:val="00B86C54"/>
    <w:rsid w:val="00B874C4"/>
    <w:rsid w:val="00B9053E"/>
    <w:rsid w:val="00B92CAE"/>
    <w:rsid w:val="00B94ACC"/>
    <w:rsid w:val="00B956F0"/>
    <w:rsid w:val="00B96E93"/>
    <w:rsid w:val="00B97AA2"/>
    <w:rsid w:val="00B97B8E"/>
    <w:rsid w:val="00BA00A8"/>
    <w:rsid w:val="00BA0378"/>
    <w:rsid w:val="00BA0B0B"/>
    <w:rsid w:val="00BA3416"/>
    <w:rsid w:val="00BA37A4"/>
    <w:rsid w:val="00BA3C6A"/>
    <w:rsid w:val="00BA491E"/>
    <w:rsid w:val="00BA4FB0"/>
    <w:rsid w:val="00BA6138"/>
    <w:rsid w:val="00BA693F"/>
    <w:rsid w:val="00BB037A"/>
    <w:rsid w:val="00BB049D"/>
    <w:rsid w:val="00BB1930"/>
    <w:rsid w:val="00BB301C"/>
    <w:rsid w:val="00BB3478"/>
    <w:rsid w:val="00BB3776"/>
    <w:rsid w:val="00BB5F63"/>
    <w:rsid w:val="00BC2247"/>
    <w:rsid w:val="00BC29CF"/>
    <w:rsid w:val="00BC2AE9"/>
    <w:rsid w:val="00BC2AF6"/>
    <w:rsid w:val="00BC3C22"/>
    <w:rsid w:val="00BC4960"/>
    <w:rsid w:val="00BC5572"/>
    <w:rsid w:val="00BC7C56"/>
    <w:rsid w:val="00BC7FBA"/>
    <w:rsid w:val="00BD3CCF"/>
    <w:rsid w:val="00BD440D"/>
    <w:rsid w:val="00BD497C"/>
    <w:rsid w:val="00BD57EE"/>
    <w:rsid w:val="00BD5DF5"/>
    <w:rsid w:val="00BD6121"/>
    <w:rsid w:val="00BD734B"/>
    <w:rsid w:val="00BD7EEE"/>
    <w:rsid w:val="00BE0511"/>
    <w:rsid w:val="00BE1AE6"/>
    <w:rsid w:val="00BE3125"/>
    <w:rsid w:val="00BE4E8A"/>
    <w:rsid w:val="00BE72F9"/>
    <w:rsid w:val="00BF0772"/>
    <w:rsid w:val="00BF142C"/>
    <w:rsid w:val="00BF1533"/>
    <w:rsid w:val="00BF19A3"/>
    <w:rsid w:val="00BF1CFC"/>
    <w:rsid w:val="00BF2A79"/>
    <w:rsid w:val="00BF375F"/>
    <w:rsid w:val="00BF4CEF"/>
    <w:rsid w:val="00BF78F5"/>
    <w:rsid w:val="00C000DD"/>
    <w:rsid w:val="00C00B6F"/>
    <w:rsid w:val="00C02372"/>
    <w:rsid w:val="00C044C3"/>
    <w:rsid w:val="00C05B97"/>
    <w:rsid w:val="00C05D4A"/>
    <w:rsid w:val="00C07BAC"/>
    <w:rsid w:val="00C10453"/>
    <w:rsid w:val="00C11F80"/>
    <w:rsid w:val="00C12243"/>
    <w:rsid w:val="00C12DF1"/>
    <w:rsid w:val="00C12E60"/>
    <w:rsid w:val="00C1340C"/>
    <w:rsid w:val="00C13BCA"/>
    <w:rsid w:val="00C1415A"/>
    <w:rsid w:val="00C141B9"/>
    <w:rsid w:val="00C15037"/>
    <w:rsid w:val="00C151A3"/>
    <w:rsid w:val="00C158CF"/>
    <w:rsid w:val="00C1604D"/>
    <w:rsid w:val="00C16518"/>
    <w:rsid w:val="00C16B89"/>
    <w:rsid w:val="00C1787D"/>
    <w:rsid w:val="00C20F14"/>
    <w:rsid w:val="00C21627"/>
    <w:rsid w:val="00C226AF"/>
    <w:rsid w:val="00C22B7C"/>
    <w:rsid w:val="00C22D68"/>
    <w:rsid w:val="00C233EC"/>
    <w:rsid w:val="00C23B8E"/>
    <w:rsid w:val="00C261DA"/>
    <w:rsid w:val="00C27617"/>
    <w:rsid w:val="00C27988"/>
    <w:rsid w:val="00C30510"/>
    <w:rsid w:val="00C30A39"/>
    <w:rsid w:val="00C30FAD"/>
    <w:rsid w:val="00C3184D"/>
    <w:rsid w:val="00C32765"/>
    <w:rsid w:val="00C32D39"/>
    <w:rsid w:val="00C331FD"/>
    <w:rsid w:val="00C34701"/>
    <w:rsid w:val="00C34DCB"/>
    <w:rsid w:val="00C34DFD"/>
    <w:rsid w:val="00C36D0C"/>
    <w:rsid w:val="00C36F44"/>
    <w:rsid w:val="00C3708D"/>
    <w:rsid w:val="00C40B97"/>
    <w:rsid w:val="00C4138A"/>
    <w:rsid w:val="00C428EA"/>
    <w:rsid w:val="00C440B4"/>
    <w:rsid w:val="00C446F9"/>
    <w:rsid w:val="00C462CB"/>
    <w:rsid w:val="00C46D0E"/>
    <w:rsid w:val="00C46F39"/>
    <w:rsid w:val="00C47AFE"/>
    <w:rsid w:val="00C5067F"/>
    <w:rsid w:val="00C50D0E"/>
    <w:rsid w:val="00C515C3"/>
    <w:rsid w:val="00C51AA2"/>
    <w:rsid w:val="00C52E43"/>
    <w:rsid w:val="00C53067"/>
    <w:rsid w:val="00C53896"/>
    <w:rsid w:val="00C54362"/>
    <w:rsid w:val="00C55319"/>
    <w:rsid w:val="00C55387"/>
    <w:rsid w:val="00C56CD4"/>
    <w:rsid w:val="00C5788A"/>
    <w:rsid w:val="00C609C3"/>
    <w:rsid w:val="00C60CEF"/>
    <w:rsid w:val="00C60E16"/>
    <w:rsid w:val="00C620DC"/>
    <w:rsid w:val="00C62142"/>
    <w:rsid w:val="00C654C9"/>
    <w:rsid w:val="00C65636"/>
    <w:rsid w:val="00C65E4E"/>
    <w:rsid w:val="00C66610"/>
    <w:rsid w:val="00C66648"/>
    <w:rsid w:val="00C66CF6"/>
    <w:rsid w:val="00C66FEF"/>
    <w:rsid w:val="00C671FE"/>
    <w:rsid w:val="00C67563"/>
    <w:rsid w:val="00C70CB4"/>
    <w:rsid w:val="00C72110"/>
    <w:rsid w:val="00C727A7"/>
    <w:rsid w:val="00C728D5"/>
    <w:rsid w:val="00C72CF7"/>
    <w:rsid w:val="00C736F8"/>
    <w:rsid w:val="00C743F5"/>
    <w:rsid w:val="00C75119"/>
    <w:rsid w:val="00C7610E"/>
    <w:rsid w:val="00C76926"/>
    <w:rsid w:val="00C76DD6"/>
    <w:rsid w:val="00C803BD"/>
    <w:rsid w:val="00C80D22"/>
    <w:rsid w:val="00C813D6"/>
    <w:rsid w:val="00C82C79"/>
    <w:rsid w:val="00C84166"/>
    <w:rsid w:val="00C87F65"/>
    <w:rsid w:val="00C90B62"/>
    <w:rsid w:val="00C91849"/>
    <w:rsid w:val="00C91C08"/>
    <w:rsid w:val="00C92940"/>
    <w:rsid w:val="00C93AA1"/>
    <w:rsid w:val="00C95208"/>
    <w:rsid w:val="00C959F3"/>
    <w:rsid w:val="00C95CE2"/>
    <w:rsid w:val="00C961EE"/>
    <w:rsid w:val="00C97F0E"/>
    <w:rsid w:val="00CA06AC"/>
    <w:rsid w:val="00CA0C8B"/>
    <w:rsid w:val="00CA1D9E"/>
    <w:rsid w:val="00CA220A"/>
    <w:rsid w:val="00CA242A"/>
    <w:rsid w:val="00CA27BD"/>
    <w:rsid w:val="00CA2AB6"/>
    <w:rsid w:val="00CA2CA3"/>
    <w:rsid w:val="00CA36DE"/>
    <w:rsid w:val="00CA4151"/>
    <w:rsid w:val="00CA4415"/>
    <w:rsid w:val="00CA4BCC"/>
    <w:rsid w:val="00CA5313"/>
    <w:rsid w:val="00CA7770"/>
    <w:rsid w:val="00CB01D6"/>
    <w:rsid w:val="00CB2B7D"/>
    <w:rsid w:val="00CB311E"/>
    <w:rsid w:val="00CB62B4"/>
    <w:rsid w:val="00CB71E1"/>
    <w:rsid w:val="00CC0ED3"/>
    <w:rsid w:val="00CC1894"/>
    <w:rsid w:val="00CC2544"/>
    <w:rsid w:val="00CC2EE2"/>
    <w:rsid w:val="00CC3D03"/>
    <w:rsid w:val="00CC45DB"/>
    <w:rsid w:val="00CC4D7B"/>
    <w:rsid w:val="00CC5651"/>
    <w:rsid w:val="00CC6072"/>
    <w:rsid w:val="00CC73FF"/>
    <w:rsid w:val="00CD141E"/>
    <w:rsid w:val="00CD2049"/>
    <w:rsid w:val="00CD45DA"/>
    <w:rsid w:val="00CD5EBB"/>
    <w:rsid w:val="00CD6235"/>
    <w:rsid w:val="00CD7018"/>
    <w:rsid w:val="00CD7D19"/>
    <w:rsid w:val="00CE23D0"/>
    <w:rsid w:val="00CE2EA4"/>
    <w:rsid w:val="00CE4126"/>
    <w:rsid w:val="00CE4F87"/>
    <w:rsid w:val="00CE5714"/>
    <w:rsid w:val="00CE586A"/>
    <w:rsid w:val="00CE6138"/>
    <w:rsid w:val="00CE6F59"/>
    <w:rsid w:val="00CE7AAB"/>
    <w:rsid w:val="00CF04FD"/>
    <w:rsid w:val="00CF0854"/>
    <w:rsid w:val="00CF2673"/>
    <w:rsid w:val="00CF2DA1"/>
    <w:rsid w:val="00CF3BFC"/>
    <w:rsid w:val="00CF43B1"/>
    <w:rsid w:val="00CF5147"/>
    <w:rsid w:val="00CF5C12"/>
    <w:rsid w:val="00D0128D"/>
    <w:rsid w:val="00D02799"/>
    <w:rsid w:val="00D027CB"/>
    <w:rsid w:val="00D02844"/>
    <w:rsid w:val="00D032DF"/>
    <w:rsid w:val="00D03F39"/>
    <w:rsid w:val="00D04EFD"/>
    <w:rsid w:val="00D05067"/>
    <w:rsid w:val="00D05C43"/>
    <w:rsid w:val="00D0614B"/>
    <w:rsid w:val="00D06AD1"/>
    <w:rsid w:val="00D07E60"/>
    <w:rsid w:val="00D10654"/>
    <w:rsid w:val="00D11471"/>
    <w:rsid w:val="00D11488"/>
    <w:rsid w:val="00D1204D"/>
    <w:rsid w:val="00D120D7"/>
    <w:rsid w:val="00D120E3"/>
    <w:rsid w:val="00D12B0D"/>
    <w:rsid w:val="00D14832"/>
    <w:rsid w:val="00D16AAA"/>
    <w:rsid w:val="00D172DB"/>
    <w:rsid w:val="00D17549"/>
    <w:rsid w:val="00D23089"/>
    <w:rsid w:val="00D24D97"/>
    <w:rsid w:val="00D25772"/>
    <w:rsid w:val="00D275F5"/>
    <w:rsid w:val="00D27A5A"/>
    <w:rsid w:val="00D30937"/>
    <w:rsid w:val="00D32315"/>
    <w:rsid w:val="00D33207"/>
    <w:rsid w:val="00D33278"/>
    <w:rsid w:val="00D3397E"/>
    <w:rsid w:val="00D34587"/>
    <w:rsid w:val="00D372C1"/>
    <w:rsid w:val="00D375B7"/>
    <w:rsid w:val="00D376F1"/>
    <w:rsid w:val="00D378F0"/>
    <w:rsid w:val="00D407DA"/>
    <w:rsid w:val="00D41E9A"/>
    <w:rsid w:val="00D43CA8"/>
    <w:rsid w:val="00D44087"/>
    <w:rsid w:val="00D4459F"/>
    <w:rsid w:val="00D4523D"/>
    <w:rsid w:val="00D4593F"/>
    <w:rsid w:val="00D45BD4"/>
    <w:rsid w:val="00D45E0E"/>
    <w:rsid w:val="00D4775B"/>
    <w:rsid w:val="00D47AB8"/>
    <w:rsid w:val="00D542CE"/>
    <w:rsid w:val="00D55D94"/>
    <w:rsid w:val="00D56566"/>
    <w:rsid w:val="00D60422"/>
    <w:rsid w:val="00D60899"/>
    <w:rsid w:val="00D60CFB"/>
    <w:rsid w:val="00D61C8B"/>
    <w:rsid w:val="00D647A4"/>
    <w:rsid w:val="00D6487A"/>
    <w:rsid w:val="00D648BB"/>
    <w:rsid w:val="00D64E04"/>
    <w:rsid w:val="00D65A5E"/>
    <w:rsid w:val="00D669D1"/>
    <w:rsid w:val="00D6785A"/>
    <w:rsid w:val="00D7049A"/>
    <w:rsid w:val="00D704F6"/>
    <w:rsid w:val="00D722B1"/>
    <w:rsid w:val="00D74A82"/>
    <w:rsid w:val="00D74EC2"/>
    <w:rsid w:val="00D753F6"/>
    <w:rsid w:val="00D76D53"/>
    <w:rsid w:val="00D7737D"/>
    <w:rsid w:val="00D77C58"/>
    <w:rsid w:val="00D80897"/>
    <w:rsid w:val="00D81375"/>
    <w:rsid w:val="00D8540E"/>
    <w:rsid w:val="00D85AFC"/>
    <w:rsid w:val="00D85C4D"/>
    <w:rsid w:val="00D86F84"/>
    <w:rsid w:val="00D8730B"/>
    <w:rsid w:val="00D90569"/>
    <w:rsid w:val="00D9072A"/>
    <w:rsid w:val="00D93AC4"/>
    <w:rsid w:val="00D9444A"/>
    <w:rsid w:val="00D94749"/>
    <w:rsid w:val="00D94852"/>
    <w:rsid w:val="00D96C19"/>
    <w:rsid w:val="00D97C52"/>
    <w:rsid w:val="00DA039C"/>
    <w:rsid w:val="00DA10B4"/>
    <w:rsid w:val="00DA1640"/>
    <w:rsid w:val="00DA22A0"/>
    <w:rsid w:val="00DA5A27"/>
    <w:rsid w:val="00DA6EBE"/>
    <w:rsid w:val="00DA7B2F"/>
    <w:rsid w:val="00DB1025"/>
    <w:rsid w:val="00DB130F"/>
    <w:rsid w:val="00DB24DE"/>
    <w:rsid w:val="00DB27CC"/>
    <w:rsid w:val="00DB2A54"/>
    <w:rsid w:val="00DB4EF9"/>
    <w:rsid w:val="00DB5AFA"/>
    <w:rsid w:val="00DC1E74"/>
    <w:rsid w:val="00DC1F05"/>
    <w:rsid w:val="00DC29FE"/>
    <w:rsid w:val="00DC2B7C"/>
    <w:rsid w:val="00DC430C"/>
    <w:rsid w:val="00DC60FB"/>
    <w:rsid w:val="00DC7319"/>
    <w:rsid w:val="00DC742E"/>
    <w:rsid w:val="00DD14E5"/>
    <w:rsid w:val="00DD38DC"/>
    <w:rsid w:val="00DD3B98"/>
    <w:rsid w:val="00DD408C"/>
    <w:rsid w:val="00DD63FF"/>
    <w:rsid w:val="00DD7E61"/>
    <w:rsid w:val="00DE24B1"/>
    <w:rsid w:val="00DE6B9D"/>
    <w:rsid w:val="00DE718D"/>
    <w:rsid w:val="00DF04A2"/>
    <w:rsid w:val="00DF0EE3"/>
    <w:rsid w:val="00DF1852"/>
    <w:rsid w:val="00DF1BBF"/>
    <w:rsid w:val="00DF1ED3"/>
    <w:rsid w:val="00DF3145"/>
    <w:rsid w:val="00DF4B0E"/>
    <w:rsid w:val="00DF585E"/>
    <w:rsid w:val="00DF5CE6"/>
    <w:rsid w:val="00DF6727"/>
    <w:rsid w:val="00DF7752"/>
    <w:rsid w:val="00E00883"/>
    <w:rsid w:val="00E01E4B"/>
    <w:rsid w:val="00E02132"/>
    <w:rsid w:val="00E03023"/>
    <w:rsid w:val="00E0600A"/>
    <w:rsid w:val="00E062B0"/>
    <w:rsid w:val="00E06E85"/>
    <w:rsid w:val="00E0711E"/>
    <w:rsid w:val="00E07612"/>
    <w:rsid w:val="00E0770C"/>
    <w:rsid w:val="00E1161C"/>
    <w:rsid w:val="00E12104"/>
    <w:rsid w:val="00E12B77"/>
    <w:rsid w:val="00E12F11"/>
    <w:rsid w:val="00E14DFA"/>
    <w:rsid w:val="00E17EA5"/>
    <w:rsid w:val="00E229DB"/>
    <w:rsid w:val="00E22B41"/>
    <w:rsid w:val="00E23A48"/>
    <w:rsid w:val="00E24032"/>
    <w:rsid w:val="00E2571A"/>
    <w:rsid w:val="00E26318"/>
    <w:rsid w:val="00E26E20"/>
    <w:rsid w:val="00E26EDC"/>
    <w:rsid w:val="00E2713C"/>
    <w:rsid w:val="00E276DB"/>
    <w:rsid w:val="00E30B42"/>
    <w:rsid w:val="00E30EED"/>
    <w:rsid w:val="00E31C49"/>
    <w:rsid w:val="00E3212C"/>
    <w:rsid w:val="00E33091"/>
    <w:rsid w:val="00E33853"/>
    <w:rsid w:val="00E342D7"/>
    <w:rsid w:val="00E3485E"/>
    <w:rsid w:val="00E349B9"/>
    <w:rsid w:val="00E34D1F"/>
    <w:rsid w:val="00E35333"/>
    <w:rsid w:val="00E35C26"/>
    <w:rsid w:val="00E37493"/>
    <w:rsid w:val="00E410EA"/>
    <w:rsid w:val="00E41D5C"/>
    <w:rsid w:val="00E437F7"/>
    <w:rsid w:val="00E452D3"/>
    <w:rsid w:val="00E457B0"/>
    <w:rsid w:val="00E51E24"/>
    <w:rsid w:val="00E5219D"/>
    <w:rsid w:val="00E529F9"/>
    <w:rsid w:val="00E55017"/>
    <w:rsid w:val="00E55416"/>
    <w:rsid w:val="00E557D1"/>
    <w:rsid w:val="00E56282"/>
    <w:rsid w:val="00E569C8"/>
    <w:rsid w:val="00E57AC7"/>
    <w:rsid w:val="00E616BF"/>
    <w:rsid w:val="00E64D80"/>
    <w:rsid w:val="00E655BA"/>
    <w:rsid w:val="00E6576A"/>
    <w:rsid w:val="00E658AA"/>
    <w:rsid w:val="00E6656A"/>
    <w:rsid w:val="00E675E8"/>
    <w:rsid w:val="00E6768C"/>
    <w:rsid w:val="00E70D30"/>
    <w:rsid w:val="00E716BA"/>
    <w:rsid w:val="00E71D67"/>
    <w:rsid w:val="00E72254"/>
    <w:rsid w:val="00E74B66"/>
    <w:rsid w:val="00E74BFF"/>
    <w:rsid w:val="00E74C5F"/>
    <w:rsid w:val="00E75977"/>
    <w:rsid w:val="00E76431"/>
    <w:rsid w:val="00E7686D"/>
    <w:rsid w:val="00E76C1B"/>
    <w:rsid w:val="00E803EB"/>
    <w:rsid w:val="00E80A1E"/>
    <w:rsid w:val="00E81378"/>
    <w:rsid w:val="00E813BA"/>
    <w:rsid w:val="00E81F81"/>
    <w:rsid w:val="00E82364"/>
    <w:rsid w:val="00E83937"/>
    <w:rsid w:val="00E8590C"/>
    <w:rsid w:val="00E85F76"/>
    <w:rsid w:val="00E91019"/>
    <w:rsid w:val="00E9105D"/>
    <w:rsid w:val="00E9147C"/>
    <w:rsid w:val="00E93590"/>
    <w:rsid w:val="00E943D9"/>
    <w:rsid w:val="00E94506"/>
    <w:rsid w:val="00E957E0"/>
    <w:rsid w:val="00E95A7B"/>
    <w:rsid w:val="00E969E9"/>
    <w:rsid w:val="00E97139"/>
    <w:rsid w:val="00EA01A0"/>
    <w:rsid w:val="00EA155A"/>
    <w:rsid w:val="00EA203D"/>
    <w:rsid w:val="00EA24D4"/>
    <w:rsid w:val="00EA2851"/>
    <w:rsid w:val="00EA3515"/>
    <w:rsid w:val="00EA374A"/>
    <w:rsid w:val="00EA55FE"/>
    <w:rsid w:val="00EA678E"/>
    <w:rsid w:val="00EB0B4F"/>
    <w:rsid w:val="00EB1B59"/>
    <w:rsid w:val="00EB4384"/>
    <w:rsid w:val="00EB4E82"/>
    <w:rsid w:val="00EB6065"/>
    <w:rsid w:val="00EB792F"/>
    <w:rsid w:val="00EC0826"/>
    <w:rsid w:val="00EC2C1B"/>
    <w:rsid w:val="00EC32A1"/>
    <w:rsid w:val="00EC414D"/>
    <w:rsid w:val="00EC4D05"/>
    <w:rsid w:val="00EC4E99"/>
    <w:rsid w:val="00EC6916"/>
    <w:rsid w:val="00EC6EFE"/>
    <w:rsid w:val="00EC7E23"/>
    <w:rsid w:val="00ED2B41"/>
    <w:rsid w:val="00ED3A21"/>
    <w:rsid w:val="00ED3F1D"/>
    <w:rsid w:val="00ED5164"/>
    <w:rsid w:val="00ED54F9"/>
    <w:rsid w:val="00ED5E79"/>
    <w:rsid w:val="00ED6982"/>
    <w:rsid w:val="00EE0218"/>
    <w:rsid w:val="00EE0E54"/>
    <w:rsid w:val="00EE1033"/>
    <w:rsid w:val="00EE114E"/>
    <w:rsid w:val="00EE37FF"/>
    <w:rsid w:val="00EE6545"/>
    <w:rsid w:val="00EE6E4B"/>
    <w:rsid w:val="00EF02C3"/>
    <w:rsid w:val="00EF09BC"/>
    <w:rsid w:val="00EF0FEB"/>
    <w:rsid w:val="00EF1228"/>
    <w:rsid w:val="00EF1D2E"/>
    <w:rsid w:val="00EF24BB"/>
    <w:rsid w:val="00EF24E1"/>
    <w:rsid w:val="00EF2901"/>
    <w:rsid w:val="00EF2B90"/>
    <w:rsid w:val="00EF32F6"/>
    <w:rsid w:val="00EF3A0E"/>
    <w:rsid w:val="00EF4114"/>
    <w:rsid w:val="00EF4407"/>
    <w:rsid w:val="00EF448F"/>
    <w:rsid w:val="00EF4634"/>
    <w:rsid w:val="00EF472E"/>
    <w:rsid w:val="00EF4A5A"/>
    <w:rsid w:val="00EF4EC4"/>
    <w:rsid w:val="00EF66A9"/>
    <w:rsid w:val="00EF6DBA"/>
    <w:rsid w:val="00EF74D8"/>
    <w:rsid w:val="00EF7FEB"/>
    <w:rsid w:val="00F015D0"/>
    <w:rsid w:val="00F01898"/>
    <w:rsid w:val="00F01EBD"/>
    <w:rsid w:val="00F05A76"/>
    <w:rsid w:val="00F05EE0"/>
    <w:rsid w:val="00F06713"/>
    <w:rsid w:val="00F06985"/>
    <w:rsid w:val="00F072EC"/>
    <w:rsid w:val="00F07DE8"/>
    <w:rsid w:val="00F07E8B"/>
    <w:rsid w:val="00F115B2"/>
    <w:rsid w:val="00F156B3"/>
    <w:rsid w:val="00F15FD8"/>
    <w:rsid w:val="00F17EF5"/>
    <w:rsid w:val="00F21A1A"/>
    <w:rsid w:val="00F22813"/>
    <w:rsid w:val="00F22903"/>
    <w:rsid w:val="00F22FC8"/>
    <w:rsid w:val="00F24592"/>
    <w:rsid w:val="00F24EAA"/>
    <w:rsid w:val="00F27F36"/>
    <w:rsid w:val="00F30C0A"/>
    <w:rsid w:val="00F3280F"/>
    <w:rsid w:val="00F32B8C"/>
    <w:rsid w:val="00F33383"/>
    <w:rsid w:val="00F33D5B"/>
    <w:rsid w:val="00F34134"/>
    <w:rsid w:val="00F34D56"/>
    <w:rsid w:val="00F35A4F"/>
    <w:rsid w:val="00F3751B"/>
    <w:rsid w:val="00F379E2"/>
    <w:rsid w:val="00F4030B"/>
    <w:rsid w:val="00F4181C"/>
    <w:rsid w:val="00F42106"/>
    <w:rsid w:val="00F42F65"/>
    <w:rsid w:val="00F434C0"/>
    <w:rsid w:val="00F444F5"/>
    <w:rsid w:val="00F45B07"/>
    <w:rsid w:val="00F4602E"/>
    <w:rsid w:val="00F46719"/>
    <w:rsid w:val="00F46BCF"/>
    <w:rsid w:val="00F50479"/>
    <w:rsid w:val="00F515AF"/>
    <w:rsid w:val="00F52C83"/>
    <w:rsid w:val="00F5369D"/>
    <w:rsid w:val="00F53C93"/>
    <w:rsid w:val="00F53E05"/>
    <w:rsid w:val="00F54142"/>
    <w:rsid w:val="00F547C1"/>
    <w:rsid w:val="00F5550A"/>
    <w:rsid w:val="00F55A56"/>
    <w:rsid w:val="00F56088"/>
    <w:rsid w:val="00F571AA"/>
    <w:rsid w:val="00F571AD"/>
    <w:rsid w:val="00F6031D"/>
    <w:rsid w:val="00F61303"/>
    <w:rsid w:val="00F62936"/>
    <w:rsid w:val="00F631FF"/>
    <w:rsid w:val="00F63B4C"/>
    <w:rsid w:val="00F65606"/>
    <w:rsid w:val="00F66614"/>
    <w:rsid w:val="00F66A78"/>
    <w:rsid w:val="00F67764"/>
    <w:rsid w:val="00F70E3C"/>
    <w:rsid w:val="00F71232"/>
    <w:rsid w:val="00F72AFC"/>
    <w:rsid w:val="00F74722"/>
    <w:rsid w:val="00F74A9F"/>
    <w:rsid w:val="00F75F45"/>
    <w:rsid w:val="00F7658F"/>
    <w:rsid w:val="00F77118"/>
    <w:rsid w:val="00F80E4B"/>
    <w:rsid w:val="00F82957"/>
    <w:rsid w:val="00F83A72"/>
    <w:rsid w:val="00F83B84"/>
    <w:rsid w:val="00F83BD2"/>
    <w:rsid w:val="00F843BA"/>
    <w:rsid w:val="00F845AE"/>
    <w:rsid w:val="00F8576D"/>
    <w:rsid w:val="00F857CA"/>
    <w:rsid w:val="00F85A0E"/>
    <w:rsid w:val="00F8762B"/>
    <w:rsid w:val="00F92C2B"/>
    <w:rsid w:val="00F92D60"/>
    <w:rsid w:val="00F939AD"/>
    <w:rsid w:val="00F94241"/>
    <w:rsid w:val="00F945CD"/>
    <w:rsid w:val="00F94872"/>
    <w:rsid w:val="00F95C18"/>
    <w:rsid w:val="00F95ECF"/>
    <w:rsid w:val="00F96D0C"/>
    <w:rsid w:val="00F97765"/>
    <w:rsid w:val="00F9792C"/>
    <w:rsid w:val="00F97AAA"/>
    <w:rsid w:val="00F97C2E"/>
    <w:rsid w:val="00FA2DD3"/>
    <w:rsid w:val="00FA4AD8"/>
    <w:rsid w:val="00FA4C18"/>
    <w:rsid w:val="00FA60BC"/>
    <w:rsid w:val="00FB18EB"/>
    <w:rsid w:val="00FB1A63"/>
    <w:rsid w:val="00FB2818"/>
    <w:rsid w:val="00FB3597"/>
    <w:rsid w:val="00FB53CA"/>
    <w:rsid w:val="00FB6D89"/>
    <w:rsid w:val="00FB75BE"/>
    <w:rsid w:val="00FB7A28"/>
    <w:rsid w:val="00FB7F40"/>
    <w:rsid w:val="00FC3750"/>
    <w:rsid w:val="00FC3AE8"/>
    <w:rsid w:val="00FC3B4C"/>
    <w:rsid w:val="00FC3FCA"/>
    <w:rsid w:val="00FC487C"/>
    <w:rsid w:val="00FC51A5"/>
    <w:rsid w:val="00FD0B36"/>
    <w:rsid w:val="00FD168A"/>
    <w:rsid w:val="00FD269D"/>
    <w:rsid w:val="00FD282D"/>
    <w:rsid w:val="00FD3643"/>
    <w:rsid w:val="00FD4182"/>
    <w:rsid w:val="00FD553C"/>
    <w:rsid w:val="00FD6F5E"/>
    <w:rsid w:val="00FD7546"/>
    <w:rsid w:val="00FE028A"/>
    <w:rsid w:val="00FE087D"/>
    <w:rsid w:val="00FE133D"/>
    <w:rsid w:val="00FE2090"/>
    <w:rsid w:val="00FE31FE"/>
    <w:rsid w:val="00FE359D"/>
    <w:rsid w:val="00FE4655"/>
    <w:rsid w:val="00FE47EA"/>
    <w:rsid w:val="00FE4BC8"/>
    <w:rsid w:val="00FE4D5F"/>
    <w:rsid w:val="00FE705E"/>
    <w:rsid w:val="00FE7BC4"/>
    <w:rsid w:val="00FE7E14"/>
    <w:rsid w:val="00FF29D4"/>
    <w:rsid w:val="00FF3058"/>
    <w:rsid w:val="00FF352D"/>
    <w:rsid w:val="00FF3561"/>
    <w:rsid w:val="00FF388D"/>
    <w:rsid w:val="00FF3DE5"/>
    <w:rsid w:val="5A5401F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457BD59"/>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uiPriority="0" w:unhideWhenUsed="1" w:qFormat="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39"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val="de-DE" w:eastAsia="ja-JP"/>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uiPriority w:val="99"/>
    <w:semiHidden/>
    <w:unhideWhenUsed/>
    <w:qFormat/>
    <w:rPr>
      <w:sz w:val="16"/>
      <w:szCs w:val="16"/>
    </w:rPr>
  </w:style>
  <w:style w:type="character" w:styleId="a4">
    <w:name w:val="Hyperlink"/>
    <w:basedOn w:val="a0"/>
    <w:uiPriority w:val="99"/>
    <w:unhideWhenUsed/>
    <w:qFormat/>
    <w:rPr>
      <w:color w:val="0563C1" w:themeColor="hyperlink"/>
      <w:u w:val="single"/>
    </w:rPr>
  </w:style>
  <w:style w:type="paragraph" w:styleId="a5">
    <w:name w:val="header"/>
    <w:basedOn w:val="a"/>
    <w:link w:val="a6"/>
    <w:qFormat/>
    <w:pPr>
      <w:tabs>
        <w:tab w:val="center" w:pos="4536"/>
        <w:tab w:val="right" w:pos="9072"/>
      </w:tabs>
    </w:pPr>
    <w:rPr>
      <w:lang w:val="zh-CN"/>
    </w:rPr>
  </w:style>
  <w:style w:type="paragraph" w:styleId="a7">
    <w:name w:val="annotation text"/>
    <w:basedOn w:val="a"/>
    <w:link w:val="a8"/>
    <w:unhideWhenUsed/>
    <w:qFormat/>
    <w:rPr>
      <w:sz w:val="20"/>
      <w:szCs w:val="20"/>
      <w:lang w:val="zh-CN"/>
    </w:rPr>
  </w:style>
  <w:style w:type="paragraph" w:styleId="a9">
    <w:name w:val="footnote text"/>
    <w:basedOn w:val="a"/>
    <w:semiHidden/>
    <w:qFormat/>
    <w:pPr>
      <w:keepLines/>
      <w:widowControl w:val="0"/>
      <w:jc w:val="both"/>
    </w:pPr>
    <w:rPr>
      <w:rFonts w:eastAsia="Times New Roman"/>
      <w:sz w:val="20"/>
      <w:szCs w:val="20"/>
      <w:lang w:val="en-GB" w:eastAsia="ro-RO"/>
    </w:rPr>
  </w:style>
  <w:style w:type="paragraph" w:styleId="aa">
    <w:name w:val="footer"/>
    <w:basedOn w:val="a"/>
    <w:link w:val="ab"/>
    <w:uiPriority w:val="99"/>
    <w:qFormat/>
    <w:pPr>
      <w:tabs>
        <w:tab w:val="center" w:pos="4536"/>
        <w:tab w:val="right" w:pos="9072"/>
      </w:tabs>
    </w:pPr>
  </w:style>
  <w:style w:type="paragraph" w:styleId="ac">
    <w:name w:val="annotation subject"/>
    <w:basedOn w:val="a7"/>
    <w:next w:val="a7"/>
    <w:link w:val="ad"/>
    <w:uiPriority w:val="99"/>
    <w:semiHidden/>
    <w:unhideWhenUsed/>
    <w:qFormat/>
    <w:rPr>
      <w:b/>
      <w:bCs/>
    </w:rPr>
  </w:style>
  <w:style w:type="paragraph" w:styleId="ae">
    <w:name w:val="Balloon Text"/>
    <w:basedOn w:val="a"/>
    <w:semiHidden/>
    <w:qFormat/>
    <w:rPr>
      <w:rFonts w:ascii="Tahoma" w:hAnsi="Tahoma" w:cs="Tahoma"/>
      <w:sz w:val="16"/>
      <w:szCs w:val="16"/>
    </w:rPr>
  </w:style>
  <w:style w:type="table" w:styleId="af">
    <w:name w:val="Table Grid"/>
    <w:basedOn w:val="a1"/>
    <w:uiPriority w:val="3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istory">
    <w:name w:val="History"/>
    <w:basedOn w:val="a"/>
    <w:qFormat/>
    <w:pPr>
      <w:spacing w:before="230" w:after="460" w:line="180" w:lineRule="exact"/>
      <w:jc w:val="right"/>
    </w:pPr>
    <w:rPr>
      <w:rFonts w:ascii="Arial" w:hAnsi="Arial"/>
      <w:sz w:val="14"/>
      <w:szCs w:val="16"/>
    </w:rPr>
  </w:style>
  <w:style w:type="paragraph" w:customStyle="1" w:styleId="References">
    <w:name w:val="References"/>
    <w:basedOn w:val="a"/>
    <w:qFormat/>
    <w:pPr>
      <w:spacing w:line="200" w:lineRule="exact"/>
      <w:ind w:left="425" w:hanging="425"/>
      <w:jc w:val="both"/>
    </w:pPr>
    <w:rPr>
      <w:sz w:val="15"/>
      <w:szCs w:val="14"/>
      <w:lang w:val="en-GB"/>
    </w:rPr>
  </w:style>
  <w:style w:type="paragraph" w:customStyle="1" w:styleId="HExperimentalSection">
    <w:name w:val="HExperimental_Section"/>
    <w:basedOn w:val="a"/>
    <w:qFormat/>
    <w:pPr>
      <w:spacing w:before="460" w:after="230" w:line="230" w:lineRule="atLeast"/>
    </w:pPr>
    <w:rPr>
      <w:i/>
      <w:szCs w:val="20"/>
    </w:rPr>
  </w:style>
  <w:style w:type="paragraph" w:customStyle="1" w:styleId="ExperimentalSection">
    <w:name w:val="ExperimentalSection"/>
    <w:basedOn w:val="a"/>
    <w:qFormat/>
    <w:pPr>
      <w:spacing w:after="240" w:line="200" w:lineRule="exact"/>
      <w:ind w:firstLine="170"/>
      <w:jc w:val="both"/>
    </w:pPr>
    <w:rPr>
      <w:sz w:val="16"/>
      <w:szCs w:val="14"/>
      <w:lang w:val="en-GB"/>
    </w:rPr>
  </w:style>
  <w:style w:type="paragraph" w:customStyle="1" w:styleId="FNB">
    <w:name w:val="FNB"/>
    <w:basedOn w:val="a"/>
    <w:link w:val="FNBChar"/>
    <w:qFormat/>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qFormat/>
    <w:rPr>
      <w:rFonts w:ascii="Times" w:hAnsi="Times"/>
      <w:sz w:val="14"/>
      <w:szCs w:val="3276"/>
      <w:lang w:val="en-GB" w:eastAsia="de-DE" w:bidi="ar-SA"/>
    </w:rPr>
  </w:style>
  <w:style w:type="paragraph" w:customStyle="1" w:styleId="Ack">
    <w:name w:val="Ack"/>
    <w:basedOn w:val="a"/>
    <w:qFormat/>
  </w:style>
  <w:style w:type="paragraph" w:customStyle="1" w:styleId="TableCaption">
    <w:name w:val="TableCaption"/>
    <w:basedOn w:val="a"/>
    <w:qFormat/>
    <w:pPr>
      <w:spacing w:after="120" w:line="190" w:lineRule="exact"/>
      <w:jc w:val="both"/>
    </w:pPr>
    <w:rPr>
      <w:rFonts w:ascii="Arial" w:hAnsi="Arial"/>
      <w:sz w:val="16"/>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SchemeCaption">
    <w:name w:val="SchemeCaption"/>
    <w:basedOn w:val="a"/>
    <w:qFormat/>
    <w:pPr>
      <w:spacing w:before="230" w:after="460" w:line="190" w:lineRule="exact"/>
      <w:jc w:val="both"/>
    </w:pPr>
    <w:rPr>
      <w:rFonts w:ascii="Arial" w:hAnsi="Arial"/>
      <w:sz w:val="16"/>
      <w:szCs w:val="14"/>
      <w:lang w:val="en-GB"/>
    </w:rPr>
  </w:style>
  <w:style w:type="paragraph" w:customStyle="1" w:styleId="STOE">
    <w:name w:val="STOE"/>
    <w:basedOn w:val="a"/>
    <w:link w:val="STOEChar1"/>
    <w:qFormat/>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qFormat/>
    <w:rPr>
      <w:rFonts w:ascii="Times" w:hAnsi="Times"/>
      <w:sz w:val="18"/>
      <w:szCs w:val="3276"/>
      <w:lang w:val="en-GB" w:eastAsia="de-DE" w:bidi="ar-SA"/>
    </w:rPr>
  </w:style>
  <w:style w:type="paragraph" w:customStyle="1" w:styleId="Title1">
    <w:name w:val="Title1"/>
    <w:basedOn w:val="a"/>
    <w:qFormat/>
    <w:rPr>
      <w:b/>
      <w:lang w:val="en-US"/>
    </w:rPr>
  </w:style>
  <w:style w:type="paragraph" w:customStyle="1" w:styleId="AuthorsFull">
    <w:name w:val="Authors Full"/>
    <w:basedOn w:val="a"/>
    <w:qFormat/>
    <w:rPr>
      <w:i/>
      <w:lang w:val="en-US"/>
    </w:rPr>
  </w:style>
  <w:style w:type="paragraph" w:customStyle="1" w:styleId="dedication">
    <w:name w:val="dedication"/>
    <w:basedOn w:val="a"/>
    <w:qFormat/>
    <w:rPr>
      <w:i/>
      <w:lang w:val="en-US"/>
    </w:rPr>
  </w:style>
  <w:style w:type="paragraph" w:customStyle="1" w:styleId="Addresses">
    <w:name w:val="Addresses"/>
    <w:basedOn w:val="a"/>
    <w:qFormat/>
    <w:rPr>
      <w:lang w:val="en-US"/>
    </w:rPr>
  </w:style>
  <w:style w:type="paragraph" w:customStyle="1" w:styleId="Acknowledgements">
    <w:name w:val="Acknowledgements"/>
    <w:basedOn w:val="a"/>
    <w:qFormat/>
    <w:rPr>
      <w:lang w:val="en-US"/>
    </w:rPr>
  </w:style>
  <w:style w:type="paragraph" w:customStyle="1" w:styleId="Abstract">
    <w:name w:val="Abstract"/>
    <w:basedOn w:val="a"/>
    <w:autoRedefine/>
    <w:qFormat/>
    <w:pPr>
      <w:spacing w:line="480" w:lineRule="auto"/>
    </w:pPr>
    <w:rPr>
      <w:lang w:val="en-US"/>
    </w:rPr>
  </w:style>
  <w:style w:type="paragraph" w:customStyle="1" w:styleId="Head1">
    <w:name w:val="Head 1"/>
    <w:basedOn w:val="a"/>
    <w:link w:val="Head10"/>
    <w:autoRedefine/>
    <w:qFormat/>
    <w:pPr>
      <w:spacing w:line="360" w:lineRule="auto"/>
    </w:pPr>
    <w:rPr>
      <w:b/>
      <w:lang w:val="en-US"/>
    </w:rPr>
  </w:style>
  <w:style w:type="paragraph" w:customStyle="1" w:styleId="Head2">
    <w:name w:val="Head 2"/>
    <w:basedOn w:val="a"/>
    <w:autoRedefine/>
    <w:qFormat/>
    <w:pPr>
      <w:spacing w:line="360" w:lineRule="auto"/>
    </w:pPr>
    <w:rPr>
      <w:i/>
      <w:lang w:val="en-US"/>
    </w:rPr>
  </w:style>
  <w:style w:type="paragraph" w:customStyle="1" w:styleId="dates">
    <w:name w:val="dates"/>
    <w:basedOn w:val="a"/>
    <w:qFormat/>
    <w:pPr>
      <w:jc w:val="right"/>
    </w:pPr>
    <w:rPr>
      <w:lang w:val="en-US"/>
    </w:rPr>
  </w:style>
  <w:style w:type="paragraph" w:customStyle="1" w:styleId="Literature">
    <w:name w:val="Literature"/>
    <w:basedOn w:val="a"/>
    <w:qFormat/>
    <w:pPr>
      <w:spacing w:line="480" w:lineRule="auto"/>
    </w:pPr>
  </w:style>
  <w:style w:type="paragraph" w:customStyle="1" w:styleId="Legend">
    <w:name w:val="Legend"/>
    <w:basedOn w:val="a"/>
    <w:qFormat/>
    <w:rPr>
      <w:lang w:val="en-US"/>
    </w:rPr>
  </w:style>
  <w:style w:type="paragraph" w:customStyle="1" w:styleId="MainText">
    <w:name w:val="Main Text"/>
    <w:basedOn w:val="a"/>
    <w:link w:val="MainTextChar"/>
    <w:qFormat/>
    <w:pPr>
      <w:spacing w:line="480" w:lineRule="auto"/>
    </w:pPr>
    <w:rPr>
      <w:lang w:val="en-US"/>
    </w:rPr>
  </w:style>
  <w:style w:type="paragraph" w:customStyle="1" w:styleId="Tableofcontents">
    <w:name w:val="Table of contents"/>
    <w:basedOn w:val="a"/>
    <w:autoRedefine/>
    <w:qFormat/>
    <w:rPr>
      <w:lang w:val="en-US"/>
    </w:rPr>
  </w:style>
  <w:style w:type="paragraph" w:customStyle="1" w:styleId="ExperimentalText">
    <w:name w:val="Experimental Text"/>
    <w:basedOn w:val="a"/>
    <w:link w:val="ExperimentalTextChar"/>
    <w:qFormat/>
    <w:pPr>
      <w:spacing w:line="480" w:lineRule="auto"/>
    </w:pPr>
    <w:rPr>
      <w:lang w:val="en-US"/>
    </w:rPr>
  </w:style>
  <w:style w:type="character" w:customStyle="1" w:styleId="ExperimentalTextChar">
    <w:name w:val="Experimental Text Char"/>
    <w:link w:val="ExperimentalText"/>
    <w:qFormat/>
    <w:rPr>
      <w:rFonts w:eastAsia="MS Mincho"/>
      <w:sz w:val="24"/>
      <w:szCs w:val="24"/>
      <w:lang w:val="en-US" w:eastAsia="ja-JP" w:bidi="ar-SA"/>
    </w:rPr>
  </w:style>
  <w:style w:type="character" w:customStyle="1" w:styleId="MainTextChar">
    <w:name w:val="Main Text Char"/>
    <w:link w:val="MainText"/>
    <w:qFormat/>
    <w:rPr>
      <w:rFonts w:eastAsia="MS Mincho"/>
      <w:sz w:val="24"/>
      <w:szCs w:val="24"/>
      <w:lang w:val="en-US" w:eastAsia="ja-JP" w:bidi="ar-SA"/>
    </w:rPr>
  </w:style>
  <w:style w:type="paragraph" w:customStyle="1" w:styleId="Title2">
    <w:name w:val="Title2"/>
    <w:basedOn w:val="a"/>
    <w:qFormat/>
    <w:rPr>
      <w:b/>
      <w:lang w:val="en-US"/>
    </w:rPr>
  </w:style>
  <w:style w:type="paragraph" w:customStyle="1" w:styleId="Dedication0">
    <w:name w:val="Dedication"/>
    <w:basedOn w:val="a"/>
    <w:autoRedefine/>
    <w:qFormat/>
    <w:rPr>
      <w:lang w:val="en-US"/>
    </w:rPr>
  </w:style>
  <w:style w:type="paragraph" w:customStyle="1" w:styleId="Maintext0">
    <w:name w:val="Main text"/>
    <w:basedOn w:val="a"/>
    <w:link w:val="MaintextChar0"/>
    <w:autoRedefine/>
    <w:qFormat/>
    <w:pPr>
      <w:spacing w:line="480" w:lineRule="auto"/>
    </w:pPr>
    <w:rPr>
      <w:lang w:val="en-US"/>
    </w:rPr>
  </w:style>
  <w:style w:type="character" w:customStyle="1" w:styleId="MaintextChar0">
    <w:name w:val="Main text Char"/>
    <w:link w:val="Maintext0"/>
    <w:qFormat/>
    <w:rPr>
      <w:sz w:val="24"/>
      <w:szCs w:val="24"/>
      <w:lang w:val="en-US" w:eastAsia="ja-JP"/>
    </w:rPr>
  </w:style>
  <w:style w:type="paragraph" w:customStyle="1" w:styleId="Biography">
    <w:name w:val="Biography"/>
    <w:basedOn w:val="a"/>
    <w:autoRedefine/>
    <w:qFormat/>
    <w:rPr>
      <w:i/>
      <w:lang w:val="en-US"/>
    </w:rPr>
  </w:style>
  <w:style w:type="character" w:customStyle="1" w:styleId="a6">
    <w:name w:val="页眉 字符"/>
    <w:link w:val="a5"/>
    <w:qFormat/>
    <w:rPr>
      <w:sz w:val="24"/>
      <w:szCs w:val="24"/>
      <w:lang w:eastAsia="ja-JP"/>
    </w:rPr>
  </w:style>
  <w:style w:type="character" w:customStyle="1" w:styleId="a8">
    <w:name w:val="批注文字 字符"/>
    <w:link w:val="a7"/>
    <w:qFormat/>
    <w:rPr>
      <w:lang w:eastAsia="ja-JP"/>
    </w:rPr>
  </w:style>
  <w:style w:type="character" w:customStyle="1" w:styleId="ad">
    <w:name w:val="批注主题 字符"/>
    <w:link w:val="ac"/>
    <w:uiPriority w:val="99"/>
    <w:semiHidden/>
    <w:qFormat/>
    <w:rPr>
      <w:b/>
      <w:bCs/>
      <w:lang w:eastAsia="ja-JP"/>
    </w:rPr>
  </w:style>
  <w:style w:type="character" w:customStyle="1" w:styleId="ab">
    <w:name w:val="页脚 字符"/>
    <w:link w:val="aa"/>
    <w:uiPriority w:val="99"/>
    <w:qFormat/>
    <w:rPr>
      <w:sz w:val="24"/>
      <w:szCs w:val="24"/>
      <w:lang w:eastAsia="ja-JP"/>
    </w:rPr>
  </w:style>
  <w:style w:type="paragraph" w:customStyle="1" w:styleId="SMHeading">
    <w:name w:val="SM Heading"/>
    <w:basedOn w:val="1"/>
    <w:qFormat/>
    <w:pPr>
      <w:keepLines w:val="0"/>
      <w:spacing w:before="240" w:after="60" w:line="240" w:lineRule="auto"/>
    </w:pPr>
    <w:rPr>
      <w:rFonts w:eastAsiaTheme="minorEastAsia"/>
      <w:kern w:val="32"/>
      <w:sz w:val="24"/>
      <w:szCs w:val="24"/>
      <w:lang w:val="en-US" w:eastAsia="en-US"/>
    </w:rPr>
  </w:style>
  <w:style w:type="paragraph" w:customStyle="1" w:styleId="IOPAff">
    <w:name w:val="IOPAff"/>
    <w:basedOn w:val="a"/>
    <w:link w:val="IOPAffChar"/>
    <w:qFormat/>
    <w:pPr>
      <w:spacing w:line="259" w:lineRule="auto"/>
      <w:ind w:right="2552"/>
    </w:pPr>
    <w:rPr>
      <w:rFonts w:eastAsia="宋体"/>
      <w:sz w:val="18"/>
      <w:szCs w:val="18"/>
      <w:lang w:val="en-GB" w:eastAsia="en-US"/>
    </w:rPr>
  </w:style>
  <w:style w:type="character" w:customStyle="1" w:styleId="IOPAffChar">
    <w:name w:val="IOPAff Char"/>
    <w:link w:val="IOPAff"/>
    <w:qFormat/>
    <w:rPr>
      <w:rFonts w:eastAsia="宋体"/>
      <w:sz w:val="18"/>
      <w:szCs w:val="18"/>
      <w:lang w:eastAsia="en-US"/>
    </w:rPr>
  </w:style>
  <w:style w:type="character" w:customStyle="1" w:styleId="10">
    <w:name w:val="标题 1 字符"/>
    <w:basedOn w:val="a0"/>
    <w:link w:val="1"/>
    <w:uiPriority w:val="9"/>
    <w:qFormat/>
    <w:rPr>
      <w:b/>
      <w:bCs/>
      <w:kern w:val="44"/>
      <w:sz w:val="44"/>
      <w:szCs w:val="44"/>
      <w:lang w:val="de-DE" w:eastAsia="ja-JP"/>
    </w:rPr>
  </w:style>
  <w:style w:type="paragraph" w:customStyle="1" w:styleId="EndNoteBibliographyTitle">
    <w:name w:val="EndNote Bibliography Title"/>
    <w:basedOn w:val="a"/>
    <w:link w:val="EndNoteBibliographyTitle0"/>
    <w:qFormat/>
    <w:pPr>
      <w:jc w:val="center"/>
    </w:pPr>
  </w:style>
  <w:style w:type="character" w:customStyle="1" w:styleId="Head10">
    <w:name w:val="Head 1 字符"/>
    <w:basedOn w:val="a0"/>
    <w:link w:val="Head1"/>
    <w:qFormat/>
    <w:rPr>
      <w:b/>
      <w:sz w:val="24"/>
      <w:szCs w:val="24"/>
      <w:lang w:val="en-US" w:eastAsia="ja-JP"/>
    </w:rPr>
  </w:style>
  <w:style w:type="character" w:customStyle="1" w:styleId="EndNoteBibliographyTitle0">
    <w:name w:val="EndNote Bibliography Title 字符"/>
    <w:basedOn w:val="Head10"/>
    <w:link w:val="EndNoteBibliographyTitle"/>
    <w:qFormat/>
    <w:rPr>
      <w:b w:val="0"/>
      <w:sz w:val="24"/>
      <w:szCs w:val="24"/>
      <w:lang w:val="de-DE" w:eastAsia="ja-JP"/>
    </w:rPr>
  </w:style>
  <w:style w:type="paragraph" w:customStyle="1" w:styleId="EndNoteBibliography">
    <w:name w:val="EndNote Bibliography"/>
    <w:basedOn w:val="a"/>
    <w:link w:val="EndNoteBibliography0"/>
    <w:qFormat/>
  </w:style>
  <w:style w:type="character" w:customStyle="1" w:styleId="EndNoteBibliography0">
    <w:name w:val="EndNote Bibliography 字符"/>
    <w:basedOn w:val="Head10"/>
    <w:link w:val="EndNoteBibliography"/>
    <w:qFormat/>
    <w:rPr>
      <w:b w:val="0"/>
      <w:sz w:val="24"/>
      <w:szCs w:val="24"/>
      <w:lang w:val="de-DE" w:eastAsia="ja-JP"/>
    </w:rPr>
  </w:style>
  <w:style w:type="paragraph" w:customStyle="1" w:styleId="11">
    <w:name w:val="修订1"/>
    <w:hidden/>
    <w:uiPriority w:val="99"/>
    <w:semiHidden/>
    <w:qFormat/>
    <w:rPr>
      <w:sz w:val="24"/>
      <w:szCs w:val="24"/>
      <w:lang w:val="de-DE" w:eastAsia="ja-JP"/>
    </w:rPr>
  </w:style>
  <w:style w:type="character" w:styleId="af0">
    <w:name w:val="Placeholder Text"/>
    <w:basedOn w:val="a0"/>
    <w:uiPriority w:val="99"/>
    <w:semiHidden/>
    <w:qFormat/>
    <w:rPr>
      <w:color w:val="666666"/>
    </w:rPr>
  </w:style>
  <w:style w:type="paragraph" w:customStyle="1" w:styleId="Footnote">
    <w:name w:val="Footnote"/>
    <w:basedOn w:val="a"/>
    <w:qFormat/>
    <w:pPr>
      <w:spacing w:before="120"/>
    </w:pPr>
    <w:rPr>
      <w:rFonts w:eastAsia="Times New Roman"/>
      <w:lang w:val="en-US" w:eastAsia="en-US"/>
    </w:rPr>
  </w:style>
  <w:style w:type="paragraph" w:customStyle="1" w:styleId="Paragraph">
    <w:name w:val="Paragraph"/>
    <w:basedOn w:val="a"/>
    <w:qFormat/>
    <w:pPr>
      <w:spacing w:before="120"/>
      <w:ind w:firstLine="720"/>
    </w:pPr>
    <w:rPr>
      <w:rFonts w:eastAsia="Times New Roman"/>
      <w:lang w:val="en-US" w:eastAsia="en-US"/>
    </w:rPr>
  </w:style>
  <w:style w:type="paragraph" w:customStyle="1" w:styleId="Teaser">
    <w:name w:val="Teaser"/>
    <w:basedOn w:val="a"/>
    <w:qFormat/>
    <w:pPr>
      <w:spacing w:before="120"/>
    </w:pPr>
    <w:rPr>
      <w:rFonts w:eastAsia="Times New Roman"/>
      <w:lang w:val="en-US" w:eastAsia="en-US"/>
    </w:rPr>
  </w:style>
  <w:style w:type="paragraph" w:styleId="af1">
    <w:name w:val="List Paragraph"/>
    <w:basedOn w:val="a"/>
    <w:uiPriority w:val="34"/>
    <w:qFormat/>
    <w:pPr>
      <w:ind w:firstLineChars="200" w:firstLine="420"/>
    </w:pPr>
  </w:style>
  <w:style w:type="character" w:customStyle="1" w:styleId="12">
    <w:name w:val="未处理的提及1"/>
    <w:basedOn w:val="a0"/>
    <w:uiPriority w:val="99"/>
    <w:semiHidden/>
    <w:unhideWhenUsed/>
    <w:qFormat/>
    <w:rPr>
      <w:color w:val="605E5C"/>
      <w:shd w:val="clear" w:color="auto" w:fill="E1DFDD"/>
    </w:rPr>
  </w:style>
  <w:style w:type="paragraph" w:customStyle="1" w:styleId="13">
    <w:name w:val="书目1"/>
    <w:basedOn w:val="a"/>
    <w:next w:val="a"/>
    <w:uiPriority w:val="37"/>
    <w:unhideWhenUsed/>
    <w:qFormat/>
    <w:pPr>
      <w:tabs>
        <w:tab w:val="left" w:pos="384"/>
      </w:tabs>
      <w:spacing w:line="480" w:lineRule="auto"/>
      <w:ind w:left="384" w:hanging="384"/>
    </w:pPr>
  </w:style>
  <w:style w:type="paragraph" w:customStyle="1" w:styleId="BATitle">
    <w:name w:val="BA_Title"/>
    <w:basedOn w:val="a"/>
    <w:next w:val="a"/>
    <w:qFormat/>
    <w:pPr>
      <w:spacing w:before="720" w:after="360" w:line="480" w:lineRule="auto"/>
      <w:jc w:val="center"/>
    </w:pPr>
    <w:rPr>
      <w:rFonts w:eastAsia="宋体"/>
      <w:sz w:val="44"/>
      <w:szCs w:val="20"/>
      <w:lang w:val="en-US" w:eastAsia="en-US"/>
    </w:rPr>
  </w:style>
  <w:style w:type="paragraph" w:customStyle="1" w:styleId="BCAuthorAddress">
    <w:name w:val="BC_Author_Address"/>
    <w:basedOn w:val="a"/>
    <w:next w:val="a"/>
    <w:qFormat/>
    <w:pPr>
      <w:spacing w:after="240" w:line="480" w:lineRule="auto"/>
      <w:jc w:val="center"/>
    </w:pPr>
    <w:rPr>
      <w:rFonts w:ascii="Times" w:eastAsia="宋体" w:hAnsi="Times"/>
      <w:szCs w:val="20"/>
      <w:lang w:val="en-US" w:eastAsia="en-US"/>
    </w:rPr>
  </w:style>
  <w:style w:type="paragraph" w:customStyle="1" w:styleId="BIEmailAddress">
    <w:name w:val="BI_Email_Address"/>
    <w:basedOn w:val="a"/>
    <w:next w:val="a"/>
    <w:pPr>
      <w:spacing w:after="200" w:line="480" w:lineRule="auto"/>
      <w:jc w:val="both"/>
    </w:pPr>
    <w:rPr>
      <w:rFonts w:ascii="Times" w:eastAsia="宋体" w:hAnsi="Times"/>
      <w:szCs w:val="20"/>
      <w:lang w:val="en-US" w:eastAsia="en-US"/>
    </w:rPr>
  </w:style>
  <w:style w:type="paragraph" w:styleId="af2">
    <w:name w:val="Normal (Web)"/>
    <w:basedOn w:val="a"/>
    <w:uiPriority w:val="99"/>
    <w:semiHidden/>
    <w:unhideWhenUsed/>
    <w:rsid w:val="00326EE8"/>
  </w:style>
  <w:style w:type="paragraph" w:styleId="af3">
    <w:name w:val="Revision"/>
    <w:hidden/>
    <w:uiPriority w:val="99"/>
    <w:unhideWhenUsed/>
    <w:rsid w:val="002A5744"/>
    <w:rPr>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emf"/><Relationship Id="rId26" Type="http://schemas.openxmlformats.org/officeDocument/2006/relationships/image" Target="media/image14.tif"/><Relationship Id="rId39" Type="http://schemas.openxmlformats.org/officeDocument/2006/relationships/image" Target="media/image27.emf"/><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image" Target="media/image8.tif"/><Relationship Id="rId29" Type="http://schemas.openxmlformats.org/officeDocument/2006/relationships/image" Target="media/image1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qing-wan@ylab.ac.cn" TargetMode="External"/><Relationship Id="rId24" Type="http://schemas.openxmlformats.org/officeDocument/2006/relationships/image" Target="media/image12.ti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tif"/><Relationship Id="rId5" Type="http://schemas.openxmlformats.org/officeDocument/2006/relationships/customXml" Target="../customXml/item5.xml"/><Relationship Id="rId15" Type="http://schemas.openxmlformats.org/officeDocument/2006/relationships/image" Target="media/image4.emf"/><Relationship Id="rId23" Type="http://schemas.openxmlformats.org/officeDocument/2006/relationships/image" Target="media/image11.png"/><Relationship Id="rId28" Type="http://schemas.openxmlformats.org/officeDocument/2006/relationships/image" Target="media/image16.tif"/><Relationship Id="rId36" Type="http://schemas.openxmlformats.org/officeDocument/2006/relationships/image" Target="media/image24.tif"/><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tif"/><Relationship Id="rId27" Type="http://schemas.openxmlformats.org/officeDocument/2006/relationships/image" Target="media/image15.tif"/><Relationship Id="rId30" Type="http://schemas.openxmlformats.org/officeDocument/2006/relationships/image" Target="media/image18.png"/><Relationship Id="rId35" Type="http://schemas.openxmlformats.org/officeDocument/2006/relationships/image" Target="media/image23.tif"/><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tif"/><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tif"/><Relationship Id="rId38"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3.xml><?xml version="1.0" encoding="utf-8"?>
<ds:datastoreItem xmlns:ds="http://schemas.openxmlformats.org/officeDocument/2006/customXml" ds:itemID="{55C81534-A7D9-4540-982F-F9BB574AE6FC}">
  <ds:schemaRefs>
    <ds:schemaRef ds:uri="http://schemas.openxmlformats.org/officeDocument/2006/bibliography"/>
  </ds:schemaRefs>
</ds:datastoreItem>
</file>

<file path=customXml/itemProps4.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6792</Words>
  <Characters>38717</Characters>
  <Application>Microsoft Office Word</Application>
  <DocSecurity>0</DocSecurity>
  <Lines>322</Lines>
  <Paragraphs>90</Paragraphs>
  <ScaleCrop>false</ScaleCrop>
  <LinksUpToDate>false</LinksUpToDate>
  <CharactersWithSpaces>45419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2025-08-19T08:40:00Z</dcterms:created>
  <dcterms:modified xsi:type="dcterms:W3CDTF">2025-08-20T01:24:00Z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GrammarlyDocumentId">
    <vt:lpwstr>e3c1c30941b3f9175b32f95151c462d38ad3abbdbb7e35ff6e6044feac1fba79</vt:lpwstr>
  </property>
  <property fmtid="{D5CDD505-2E9C-101B-9397-08002B2CF9AE}" pid="4" name="ZOTERO_PREF_1">
    <vt:lpwstr>&lt;data data-version="3" zotero-version="7.0.22"&gt;&lt;session id="WADFWXxt"/&gt;&lt;style id="http://www.zotero.org/styles/nature" hasBibliography="1" bibliographyStyleHasBeenSet="1"/&gt;&lt;prefs&gt;&lt;pref name="fieldType" value="Field"/&gt;&lt;/prefs&gt;&lt;/data&gt;</vt:lpwstr>
  </property>
  <property fmtid="{D5CDD505-2E9C-101B-9397-08002B2CF9AE}" pid="5" name="KSOProductBuildVer">
    <vt:lpwstr>3076-12.2.0.21931</vt:lpwstr>
  </property>
  <property fmtid="{D5CDD505-2E9C-101B-9397-08002B2CF9AE}" pid="6" name="ICV">
    <vt:lpwstr>7445432AB100477AB83CA5CED18FF898_12</vt:lpwstr>
  </property>
</Properties>
</file>