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Figure S1. Assessment of FTH1 silencing efficiency. </w:t>
      </w:r>
      <w:r w:rsidDel="00000000" w:rsidR="00000000" w:rsidRPr="00000000">
        <w:rPr>
          <w:rtl w:val="0"/>
        </w:rPr>
      </w:r>
    </w:p>
    <w:p w:rsidR="00000000" w:rsidDel="00000000" w:rsidP="00000000" w:rsidRDefault="00000000" w:rsidRPr="00000000" w14:paraId="00000002">
      <w:pPr>
        <w:spacing w:after="0" w:before="240"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 </w:t>
      </w:r>
      <w:r w:rsidDel="00000000" w:rsidR="00000000" w:rsidRPr="00000000">
        <w:rPr>
          <w:rFonts w:ascii="Times New Roman" w:cs="Times New Roman" w:eastAsia="Times New Roman" w:hAnsi="Times New Roman"/>
          <w:sz w:val="24"/>
          <w:szCs w:val="24"/>
          <w:rtl w:val="0"/>
        </w:rPr>
        <w:t xml:space="preserve">Brighfield images of hESC colonies. </w:t>
      </w:r>
      <w:r w:rsidDel="00000000" w:rsidR="00000000" w:rsidRPr="00000000">
        <w:rPr>
          <w:rFonts w:ascii="Times New Roman" w:cs="Times New Roman" w:eastAsia="Times New Roman" w:hAnsi="Times New Roman"/>
          <w:b w:val="1"/>
          <w:sz w:val="24"/>
          <w:szCs w:val="24"/>
          <w:rtl w:val="0"/>
        </w:rPr>
        <w:t xml:space="preserve">(B)</w:t>
      </w:r>
      <w:r w:rsidDel="00000000" w:rsidR="00000000" w:rsidRPr="00000000">
        <w:rPr>
          <w:rFonts w:ascii="Times New Roman" w:cs="Times New Roman" w:eastAsia="Times New Roman" w:hAnsi="Times New Roman"/>
          <w:sz w:val="24"/>
          <w:szCs w:val="24"/>
          <w:rtl w:val="0"/>
        </w:rPr>
        <w:t xml:space="preserve"> qRT-PCR analysis of </w:t>
      </w:r>
      <w:r w:rsidDel="00000000" w:rsidR="00000000" w:rsidRPr="00000000">
        <w:rPr>
          <w:rFonts w:ascii="Times New Roman" w:cs="Times New Roman" w:eastAsia="Times New Roman" w:hAnsi="Times New Roman"/>
          <w:i w:val="1"/>
          <w:sz w:val="24"/>
          <w:szCs w:val="24"/>
          <w:rtl w:val="0"/>
        </w:rPr>
        <w:t xml:space="preserve">FTH1 </w:t>
      </w:r>
      <w:r w:rsidDel="00000000" w:rsidR="00000000" w:rsidRPr="00000000">
        <w:rPr>
          <w:rFonts w:ascii="Times New Roman" w:cs="Times New Roman" w:eastAsia="Times New Roman" w:hAnsi="Times New Roman"/>
          <w:sz w:val="24"/>
          <w:szCs w:val="24"/>
          <w:rtl w:val="0"/>
        </w:rPr>
        <w:t xml:space="preserve">expression transcript reveals reduced levels in ESCs after infection with shRNA lentiviral targeting </w:t>
      </w:r>
      <w:r w:rsidDel="00000000" w:rsidR="00000000" w:rsidRPr="00000000">
        <w:rPr>
          <w:rFonts w:ascii="Times New Roman" w:cs="Times New Roman" w:eastAsia="Times New Roman" w:hAnsi="Times New Roman"/>
          <w:i w:val="1"/>
          <w:sz w:val="24"/>
          <w:szCs w:val="24"/>
          <w:rtl w:val="0"/>
        </w:rPr>
        <w:t xml:space="preserve">FTH1 </w:t>
      </w:r>
      <w:r w:rsidDel="00000000" w:rsidR="00000000" w:rsidRPr="00000000">
        <w:rPr>
          <w:rFonts w:ascii="Times New Roman" w:cs="Times New Roman" w:eastAsia="Times New Roman" w:hAnsi="Times New Roman"/>
          <w:sz w:val="24"/>
          <w:szCs w:val="24"/>
          <w:rtl w:val="0"/>
        </w:rPr>
        <w:t xml:space="preserve">(sh</w:t>
      </w:r>
      <w:r w:rsidDel="00000000" w:rsidR="00000000" w:rsidRPr="00000000">
        <w:rPr>
          <w:rFonts w:ascii="Times New Roman" w:cs="Times New Roman" w:eastAsia="Times New Roman" w:hAnsi="Times New Roman"/>
          <w:i w:val="1"/>
          <w:sz w:val="24"/>
          <w:szCs w:val="24"/>
          <w:rtl w:val="0"/>
        </w:rPr>
        <w:t xml:space="preserve">FTH1</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***P&lt;0.001 vs.</w:t>
      </w:r>
      <w:r w:rsidDel="00000000" w:rsidR="00000000" w:rsidRPr="00000000">
        <w:rPr>
          <w:rFonts w:ascii="Times New Roman" w:cs="Times New Roman" w:eastAsia="Times New Roman" w:hAnsi="Times New Roman"/>
          <w:sz w:val="24"/>
          <w:szCs w:val="24"/>
          <w:rtl w:val="0"/>
        </w:rPr>
        <w:t xml:space="preserve"> scramble (SCR); </w:t>
      </w:r>
      <w:r w:rsidDel="00000000" w:rsidR="00000000" w:rsidRPr="00000000">
        <w:rPr>
          <w:rFonts w:ascii="Times New Roman" w:cs="Times New Roman" w:eastAsia="Times New Roman" w:hAnsi="Times New Roman"/>
          <w:i w:val="1"/>
          <w:sz w:val="24"/>
          <w:szCs w:val="24"/>
          <w:rtl w:val="0"/>
        </w:rPr>
        <w:t xml:space="preserve">t</w:t>
      </w:r>
      <w:r w:rsidDel="00000000" w:rsidR="00000000" w:rsidRPr="00000000">
        <w:rPr>
          <w:rFonts w:ascii="Times New Roman" w:cs="Times New Roman" w:eastAsia="Times New Roman" w:hAnsi="Times New Roman"/>
          <w:sz w:val="24"/>
          <w:szCs w:val="24"/>
          <w:rtl w:val="0"/>
        </w:rPr>
        <w:t xml:space="preserve">-test. </w:t>
      </w:r>
      <w:r w:rsidDel="00000000" w:rsidR="00000000" w:rsidRPr="00000000">
        <w:rPr>
          <w:rFonts w:ascii="Times New Roman" w:cs="Times New Roman" w:eastAsia="Times New Roman" w:hAnsi="Times New Roman"/>
          <w:b w:val="1"/>
          <w:sz w:val="24"/>
          <w:szCs w:val="24"/>
          <w:rtl w:val="0"/>
        </w:rPr>
        <w:t xml:space="preserve">(C)</w:t>
      </w:r>
      <w:r w:rsidDel="00000000" w:rsidR="00000000" w:rsidRPr="00000000">
        <w:rPr>
          <w:rFonts w:ascii="Times New Roman" w:cs="Times New Roman" w:eastAsia="Times New Roman" w:hAnsi="Times New Roman"/>
          <w:sz w:val="24"/>
          <w:szCs w:val="24"/>
          <w:rtl w:val="0"/>
        </w:rPr>
        <w:t xml:space="preserve"> Western blotting using an antibody directed against Fth1 shows reduced expression of the protein (20 kDa) in total lysates of shFTH1-infected ESCs. Actin is shown as a loading control. </w:t>
      </w:r>
      <w:r w:rsidDel="00000000" w:rsidR="00000000" w:rsidRPr="00000000">
        <w:rPr>
          <w:rFonts w:ascii="Times New Roman" w:cs="Times New Roman" w:eastAsia="Times New Roman" w:hAnsi="Times New Roman"/>
          <w:b w:val="1"/>
          <w:sz w:val="24"/>
          <w:szCs w:val="24"/>
          <w:rtl w:val="0"/>
        </w:rPr>
        <w:t xml:space="preserve">(D)</w:t>
      </w:r>
      <w:r w:rsidDel="00000000" w:rsidR="00000000" w:rsidRPr="00000000">
        <w:rPr>
          <w:rFonts w:ascii="Times New Roman" w:cs="Times New Roman" w:eastAsia="Times New Roman" w:hAnsi="Times New Roman"/>
          <w:sz w:val="24"/>
          <w:szCs w:val="24"/>
          <w:rtl w:val="0"/>
        </w:rPr>
        <w:t xml:space="preserve"> Densitometric readings reveal an almost 80% FTH1 knock-down efficiency in shFTH1-infected cells compared to their SCR control. Values are expressed as the integrals (area x mean density) of each band normalized to Actin and relative to SCR. </w:t>
      </w:r>
      <w:r w:rsidDel="00000000" w:rsidR="00000000" w:rsidRPr="00000000">
        <w:rPr>
          <w:rFonts w:ascii="Times New Roman" w:cs="Times New Roman" w:eastAsia="Times New Roman" w:hAnsi="Times New Roman"/>
          <w:b w:val="1"/>
          <w:sz w:val="24"/>
          <w:szCs w:val="24"/>
          <w:rtl w:val="0"/>
        </w:rPr>
        <w:t xml:space="preserve">(E) </w:t>
      </w:r>
      <w:r w:rsidDel="00000000" w:rsidR="00000000" w:rsidRPr="00000000">
        <w:rPr>
          <w:rFonts w:ascii="Times New Roman" w:cs="Times New Roman" w:eastAsia="Times New Roman" w:hAnsi="Times New Roman"/>
          <w:sz w:val="24"/>
          <w:szCs w:val="24"/>
          <w:rtl w:val="0"/>
        </w:rPr>
        <w:t xml:space="preserve">Uncropped original image of Western Blot analysis of Fth1 knockdown (shown in Fig. S1C). </w:t>
      </w:r>
    </w:p>
    <w:p w:rsidR="00000000" w:rsidDel="00000000" w:rsidP="00000000" w:rsidRDefault="00000000" w:rsidRPr="00000000" w14:paraId="00000003">
      <w:pPr>
        <w:spacing w:after="0" w:before="240" w:line="48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Figure S2. (A)</w:t>
      </w:r>
      <w:r w:rsidDel="00000000" w:rsidR="00000000" w:rsidRPr="00000000">
        <w:rPr>
          <w:rFonts w:ascii="Times New Roman" w:cs="Times New Roman" w:eastAsia="Times New Roman" w:hAnsi="Times New Roman"/>
          <w:sz w:val="24"/>
          <w:szCs w:val="24"/>
          <w:rtl w:val="0"/>
        </w:rPr>
        <w:t xml:space="preserve"> Uncropped original image of Western blot analysis for Figure 1C. </w:t>
      </w:r>
      <w:r w:rsidDel="00000000" w:rsidR="00000000" w:rsidRPr="00000000">
        <w:rPr>
          <w:rFonts w:ascii="Times New Roman" w:cs="Times New Roman" w:eastAsia="Times New Roman" w:hAnsi="Times New Roman"/>
          <w:b w:val="1"/>
          <w:sz w:val="24"/>
          <w:szCs w:val="24"/>
          <w:rtl w:val="0"/>
        </w:rPr>
        <w:t xml:space="preserve">(B)</w:t>
      </w:r>
      <w:r w:rsidDel="00000000" w:rsidR="00000000" w:rsidRPr="00000000">
        <w:rPr>
          <w:rFonts w:ascii="Times New Roman" w:cs="Times New Roman" w:eastAsia="Times New Roman" w:hAnsi="Times New Roman"/>
          <w:sz w:val="24"/>
          <w:szCs w:val="24"/>
          <w:rtl w:val="0"/>
        </w:rPr>
        <w:t xml:space="preserve"> Brightfield images of floating embryoid bodies (EBs), obtained from SCR and shFTH1-hESCs, on day 5 and day 7 of differentiation. </w:t>
      </w:r>
      <w:r w:rsidDel="00000000" w:rsidR="00000000" w:rsidRPr="00000000">
        <w:rPr>
          <w:rtl w:val="0"/>
        </w:rPr>
      </w:r>
    </w:p>
    <w:p w:rsidR="00000000" w:rsidDel="00000000" w:rsidP="00000000" w:rsidRDefault="00000000" w:rsidRPr="00000000" w14:paraId="00000004">
      <w:pPr>
        <w:spacing w:after="0" w:before="240"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Figure S3: (A) </w:t>
      </w:r>
      <w:r w:rsidDel="00000000" w:rsidR="00000000" w:rsidRPr="00000000">
        <w:rPr>
          <w:rFonts w:ascii="Times New Roman" w:cs="Times New Roman" w:eastAsia="Times New Roman" w:hAnsi="Times New Roman"/>
          <w:sz w:val="24"/>
          <w:szCs w:val="24"/>
          <w:rtl w:val="0"/>
        </w:rPr>
        <w:t xml:space="preserve">Forward and side scatter of SCR and shFTH1 hESCs measured by flow cytometry (density plots).</w:t>
      </w:r>
      <w:r w:rsidDel="00000000" w:rsidR="00000000" w:rsidRPr="00000000">
        <w:rPr>
          <w:rFonts w:ascii="Times New Roman" w:cs="Times New Roman" w:eastAsia="Times New Roman" w:hAnsi="Times New Roman"/>
          <w:b w:val="1"/>
          <w:sz w:val="24"/>
          <w:szCs w:val="24"/>
          <w:rtl w:val="0"/>
        </w:rPr>
        <w:t xml:space="preserve"> (B) </w:t>
      </w:r>
      <w:r w:rsidDel="00000000" w:rsidR="00000000" w:rsidRPr="00000000">
        <w:rPr>
          <w:rFonts w:ascii="Times New Roman" w:cs="Times New Roman" w:eastAsia="Times New Roman" w:hAnsi="Times New Roman"/>
          <w:sz w:val="24"/>
          <w:szCs w:val="24"/>
          <w:rtl w:val="0"/>
        </w:rPr>
        <w:t xml:space="preserve">Quantification of total intracytoplasmic ROS and specific mitochondrial superoxide species (using DCF and MitoSox, respectively) and analysis of mitochondrial membrane potential (ΔΨM) (using TMRM) in SCR and shFTH1 hESCs shown in Figure 2.</w:t>
      </w:r>
    </w:p>
    <w:p w:rsidR="00000000" w:rsidDel="00000000" w:rsidP="00000000" w:rsidRDefault="00000000" w:rsidRPr="00000000" w14:paraId="00000005">
      <w:pPr>
        <w:jc w:val="both"/>
        <w:rPr/>
      </w:pPr>
      <w:r w:rsidDel="00000000" w:rsidR="00000000" w:rsidRPr="00000000">
        <w:rPr>
          <w:rtl w:val="0"/>
        </w:rPr>
      </w:r>
    </w:p>
    <w:p w:rsidR="00000000" w:rsidDel="00000000" w:rsidP="00000000" w:rsidRDefault="00000000" w:rsidRPr="00000000" w14:paraId="00000006">
      <w:pPr>
        <w:spacing w:after="0"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Figure S4: (A-E) </w:t>
      </w:r>
      <w:r w:rsidDel="00000000" w:rsidR="00000000" w:rsidRPr="00000000">
        <w:rPr>
          <w:rFonts w:ascii="Times New Roman" w:cs="Times New Roman" w:eastAsia="Times New Roman" w:hAnsi="Times New Roman"/>
          <w:sz w:val="24"/>
          <w:szCs w:val="24"/>
          <w:rtl w:val="0"/>
        </w:rPr>
        <w:t xml:space="preserve">Uncropped original images of Western blot analyses for Figure 3 (</w:t>
      </w:r>
      <w:r w:rsidDel="00000000" w:rsidR="00000000" w:rsidRPr="00000000">
        <w:rPr>
          <w:rFonts w:ascii="Times New Roman" w:cs="Times New Roman" w:eastAsia="Times New Roman" w:hAnsi="Times New Roman"/>
          <w:b w:val="1"/>
          <w:sz w:val="24"/>
          <w:szCs w:val="24"/>
          <w:rtl w:val="0"/>
        </w:rPr>
        <w:t xml:space="preserve">A:</w:t>
      </w:r>
      <w:r w:rsidDel="00000000" w:rsidR="00000000" w:rsidRPr="00000000">
        <w:rPr>
          <w:rFonts w:ascii="Times New Roman" w:cs="Times New Roman" w:eastAsia="Times New Roman" w:hAnsi="Times New Roman"/>
          <w:sz w:val="24"/>
          <w:szCs w:val="24"/>
          <w:rtl w:val="0"/>
        </w:rPr>
        <w:t xml:space="preserve"> Nrf2, </w:t>
      </w:r>
      <w:r w:rsidDel="00000000" w:rsidR="00000000" w:rsidRPr="00000000">
        <w:rPr>
          <w:rFonts w:ascii="Times New Roman" w:cs="Times New Roman" w:eastAsia="Times New Roman" w:hAnsi="Times New Roman"/>
          <w:b w:val="1"/>
          <w:sz w:val="24"/>
          <w:szCs w:val="24"/>
          <w:rtl w:val="0"/>
        </w:rPr>
        <w:t xml:space="preserve">B:</w:t>
      </w:r>
      <w:r w:rsidDel="00000000" w:rsidR="00000000" w:rsidRPr="00000000">
        <w:rPr>
          <w:rFonts w:ascii="Times New Roman" w:cs="Times New Roman" w:eastAsia="Times New Roman" w:hAnsi="Times New Roman"/>
          <w:sz w:val="24"/>
          <w:szCs w:val="24"/>
          <w:rtl w:val="0"/>
        </w:rPr>
        <w:t xml:space="preserve"> Sqstm1, </w:t>
      </w:r>
      <w:r w:rsidDel="00000000" w:rsidR="00000000" w:rsidRPr="00000000">
        <w:rPr>
          <w:rFonts w:ascii="Times New Roman" w:cs="Times New Roman" w:eastAsia="Times New Roman" w:hAnsi="Times New Roman"/>
          <w:b w:val="1"/>
          <w:sz w:val="24"/>
          <w:szCs w:val="24"/>
          <w:rtl w:val="0"/>
        </w:rPr>
        <w:t xml:space="preserve">C:</w:t>
      </w:r>
      <w:r w:rsidDel="00000000" w:rsidR="00000000" w:rsidRPr="00000000">
        <w:rPr>
          <w:rFonts w:ascii="Times New Roman" w:cs="Times New Roman" w:eastAsia="Times New Roman" w:hAnsi="Times New Roman"/>
          <w:sz w:val="24"/>
          <w:szCs w:val="24"/>
          <w:rtl w:val="0"/>
        </w:rPr>
        <w:t xml:space="preserve"> Gpx4, </w:t>
      </w:r>
      <w:r w:rsidDel="00000000" w:rsidR="00000000" w:rsidRPr="00000000">
        <w:rPr>
          <w:rFonts w:ascii="Times New Roman" w:cs="Times New Roman" w:eastAsia="Times New Roman" w:hAnsi="Times New Roman"/>
          <w:b w:val="1"/>
          <w:sz w:val="24"/>
          <w:szCs w:val="24"/>
          <w:rtl w:val="0"/>
        </w:rPr>
        <w:t xml:space="preserve">D:</w:t>
      </w:r>
      <w:r w:rsidDel="00000000" w:rsidR="00000000" w:rsidRPr="00000000">
        <w:rPr>
          <w:rFonts w:ascii="Times New Roman" w:cs="Times New Roman" w:eastAsia="Times New Roman" w:hAnsi="Times New Roman"/>
          <w:sz w:val="24"/>
          <w:szCs w:val="24"/>
          <w:rtl w:val="0"/>
        </w:rPr>
        <w:t xml:space="preserve"> Hif1α, </w:t>
      </w:r>
      <w:r w:rsidDel="00000000" w:rsidR="00000000" w:rsidRPr="00000000">
        <w:rPr>
          <w:rFonts w:ascii="Times New Roman" w:cs="Times New Roman" w:eastAsia="Times New Roman" w:hAnsi="Times New Roman"/>
          <w:b w:val="1"/>
          <w:sz w:val="24"/>
          <w:szCs w:val="24"/>
          <w:rtl w:val="0"/>
        </w:rPr>
        <w:t xml:space="preserve">E:</w:t>
      </w:r>
      <w:r w:rsidDel="00000000" w:rsidR="00000000" w:rsidRPr="00000000">
        <w:rPr>
          <w:rFonts w:ascii="Times New Roman" w:cs="Times New Roman" w:eastAsia="Times New Roman" w:hAnsi="Times New Roman"/>
          <w:sz w:val="24"/>
          <w:szCs w:val="24"/>
          <w:rtl w:val="0"/>
        </w:rPr>
        <w:t xml:space="preserve"> Ftl) and relative densitometric readings (bar plots). </w:t>
      </w:r>
      <w:r w:rsidDel="00000000" w:rsidR="00000000" w:rsidRPr="00000000">
        <w:rPr>
          <w:rFonts w:ascii="Times New Roman" w:cs="Times New Roman" w:eastAsia="Times New Roman" w:hAnsi="Times New Roman"/>
          <w:b w:val="1"/>
          <w:sz w:val="24"/>
          <w:szCs w:val="24"/>
          <w:rtl w:val="0"/>
        </w:rPr>
        <w:t xml:space="preserve">(F)</w:t>
      </w:r>
      <w:r w:rsidDel="00000000" w:rsidR="00000000" w:rsidRPr="00000000">
        <w:rPr>
          <w:rFonts w:ascii="Times New Roman" w:cs="Times New Roman" w:eastAsia="Times New Roman" w:hAnsi="Times New Roman"/>
          <w:sz w:val="24"/>
          <w:szCs w:val="24"/>
          <w:rtl w:val="0"/>
        </w:rPr>
        <w:t xml:space="preserve"> Quantification of fluorescence intensity signal of Nrf2 using Fiji software (immunofluorescence shown in Figure 3C). </w:t>
      </w:r>
    </w:p>
    <w:p w:rsidR="00000000" w:rsidDel="00000000" w:rsidP="00000000" w:rsidRDefault="00000000" w:rsidRPr="00000000" w14:paraId="00000007">
      <w:pPr>
        <w:spacing w:after="0" w:line="48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8">
      <w:pPr>
        <w:spacing w:after="0"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Figure S5: (A-D) </w:t>
      </w:r>
      <w:r w:rsidDel="00000000" w:rsidR="00000000" w:rsidRPr="00000000">
        <w:rPr>
          <w:rFonts w:ascii="Times New Roman" w:cs="Times New Roman" w:eastAsia="Times New Roman" w:hAnsi="Times New Roman"/>
          <w:sz w:val="24"/>
          <w:szCs w:val="24"/>
          <w:rtl w:val="0"/>
        </w:rPr>
        <w:t xml:space="preserve">Uncropped original images of Western blot analyses for Figure 4 (</w:t>
      </w:r>
      <w:r w:rsidDel="00000000" w:rsidR="00000000" w:rsidRPr="00000000">
        <w:rPr>
          <w:rFonts w:ascii="Times New Roman" w:cs="Times New Roman" w:eastAsia="Times New Roman" w:hAnsi="Times New Roman"/>
          <w:b w:val="1"/>
          <w:sz w:val="24"/>
          <w:szCs w:val="24"/>
          <w:rtl w:val="0"/>
        </w:rPr>
        <w:t xml:space="preserve">A:</w:t>
      </w:r>
      <w:r w:rsidDel="00000000" w:rsidR="00000000" w:rsidRPr="00000000">
        <w:rPr>
          <w:rFonts w:ascii="Times New Roman" w:cs="Times New Roman" w:eastAsia="Times New Roman" w:hAnsi="Times New Roman"/>
          <w:sz w:val="24"/>
          <w:szCs w:val="24"/>
          <w:rtl w:val="0"/>
        </w:rPr>
        <w:t xml:space="preserve"> Caspase-3, </w:t>
      </w:r>
      <w:r w:rsidDel="00000000" w:rsidR="00000000" w:rsidRPr="00000000">
        <w:rPr>
          <w:rFonts w:ascii="Times New Roman" w:cs="Times New Roman" w:eastAsia="Times New Roman" w:hAnsi="Times New Roman"/>
          <w:b w:val="1"/>
          <w:sz w:val="24"/>
          <w:szCs w:val="24"/>
          <w:rtl w:val="0"/>
        </w:rPr>
        <w:t xml:space="preserve">B:</w:t>
      </w:r>
      <w:r w:rsidDel="00000000" w:rsidR="00000000" w:rsidRPr="00000000">
        <w:rPr>
          <w:rFonts w:ascii="Times New Roman" w:cs="Times New Roman" w:eastAsia="Times New Roman" w:hAnsi="Times New Roman"/>
          <w:sz w:val="24"/>
          <w:szCs w:val="24"/>
          <w:rtl w:val="0"/>
        </w:rPr>
        <w:t xml:space="preserve"> Akt1, </w:t>
      </w:r>
      <w:r w:rsidDel="00000000" w:rsidR="00000000" w:rsidRPr="00000000">
        <w:rPr>
          <w:rFonts w:ascii="Times New Roman" w:cs="Times New Roman" w:eastAsia="Times New Roman" w:hAnsi="Times New Roman"/>
          <w:b w:val="1"/>
          <w:sz w:val="24"/>
          <w:szCs w:val="24"/>
          <w:rtl w:val="0"/>
        </w:rPr>
        <w:t xml:space="preserve">C:</w:t>
      </w:r>
      <w:r w:rsidDel="00000000" w:rsidR="00000000" w:rsidRPr="00000000">
        <w:rPr>
          <w:rFonts w:ascii="Times New Roman" w:cs="Times New Roman" w:eastAsia="Times New Roman" w:hAnsi="Times New Roman"/>
          <w:sz w:val="24"/>
          <w:szCs w:val="24"/>
          <w:rtl w:val="0"/>
        </w:rPr>
        <w:t xml:space="preserve"> Erk 1/2, </w:t>
      </w:r>
      <w:r w:rsidDel="00000000" w:rsidR="00000000" w:rsidRPr="00000000">
        <w:rPr>
          <w:rFonts w:ascii="Times New Roman" w:cs="Times New Roman" w:eastAsia="Times New Roman" w:hAnsi="Times New Roman"/>
          <w:b w:val="1"/>
          <w:sz w:val="24"/>
          <w:szCs w:val="24"/>
          <w:rtl w:val="0"/>
        </w:rPr>
        <w:t xml:space="preserve">D: </w:t>
      </w:r>
      <w:r w:rsidDel="00000000" w:rsidR="00000000" w:rsidRPr="00000000">
        <w:rPr>
          <w:rFonts w:ascii="Times New Roman" w:cs="Times New Roman" w:eastAsia="Times New Roman" w:hAnsi="Times New Roman"/>
          <w:sz w:val="24"/>
          <w:szCs w:val="24"/>
          <w:rtl w:val="0"/>
        </w:rPr>
        <w:t xml:space="preserve">Parp) and relative densitometric readings (bar plots </w:t>
      </w:r>
      <w:r w:rsidDel="00000000" w:rsidR="00000000" w:rsidRPr="00000000">
        <w:rPr>
          <w:rFonts w:ascii="Times New Roman" w:cs="Times New Roman" w:eastAsia="Times New Roman" w:hAnsi="Times New Roman"/>
          <w:b w:val="1"/>
          <w:sz w:val="24"/>
          <w:szCs w:val="24"/>
          <w:rtl w:val="0"/>
        </w:rPr>
        <w:t xml:space="preserve">E</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H</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9">
      <w:pPr>
        <w:spacing w:after="0" w:line="48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A">
      <w:pPr>
        <w:spacing w:after="240" w:before="240"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Figure S6:</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(A) </w:t>
      </w:r>
      <w:r w:rsidDel="00000000" w:rsidR="00000000" w:rsidRPr="00000000">
        <w:rPr>
          <w:rFonts w:ascii="Times New Roman" w:cs="Times New Roman" w:eastAsia="Times New Roman" w:hAnsi="Times New Roman"/>
          <w:sz w:val="24"/>
          <w:szCs w:val="24"/>
          <w:rtl w:val="0"/>
        </w:rPr>
        <w:t xml:space="preserve">MitoATP and glycoATP production rates evaluated in SCR and shFTH1 hESCs using XF-Real Time ATP Rate Assay. “Kinetic graphs” indicate the oxygen consumption rate (OCR) deriving from the mitochondrial respiration and the extracellular acidification (ECAR), which allows the calculation of total Proton Efflux Rate (PER), before and after the injection of oligomycin and Rotenone + Antimycin A (Rot/AA). “Energy map” for OCR and ECAR shows four relative bioenergetic phenotypes that SCR and shFTH1 hESCs can display. Quiescent indicates that cells don’t use mitochondrial respiration or glycolysis. Energetic is for cells that utilize both metabolic processes. “Energy map (Basal Rates)” indicates mitoATP Production Rate and glycoATP Production Rate. “XF ATP (Rate index)” explains the ratio between the mitoATP Production Rate and the glycoATP Production Rate at a specific time point. Analysis of ATP production rate in SCR and shFTH1 hESCs is shown in Figure 5. </w:t>
      </w:r>
      <w:r w:rsidDel="00000000" w:rsidR="00000000" w:rsidRPr="00000000">
        <w:rPr>
          <w:rFonts w:ascii="Times New Roman" w:cs="Times New Roman" w:eastAsia="Times New Roman" w:hAnsi="Times New Roman"/>
          <w:b w:val="1"/>
          <w:sz w:val="24"/>
          <w:szCs w:val="24"/>
          <w:rtl w:val="0"/>
        </w:rPr>
        <w:t xml:space="preserve">(B) </w:t>
      </w:r>
      <w:r w:rsidDel="00000000" w:rsidR="00000000" w:rsidRPr="00000000">
        <w:rPr>
          <w:rFonts w:ascii="Times New Roman" w:cs="Times New Roman" w:eastAsia="Times New Roman" w:hAnsi="Times New Roman"/>
          <w:sz w:val="24"/>
          <w:szCs w:val="24"/>
          <w:rtl w:val="0"/>
        </w:rPr>
        <w:t xml:space="preserve">Glycolytic Rate Assay for the measurement of glycolysis in SCR and shFTH1 hESCs. Oxygen consumption rate (OCR) and extracellular acidification rate (ECAR) show the production of energy deriving from glycolysis and oxidative phosphorylation. Proton Efflux Rate (PER) is calculated after the inhibition of the mitochondrial respiration with Rot/AA. PER can be subtracted from the total proton efflux, determining the glycolytic proton efflux rate (glycoPER).  “Compensatory glycolysis” shows the glycolytic rate after the injection of Rot/AA. Analysis of glycolytic rate in SCR and shFTH1 hESC is shown in Figure 5. </w:t>
      </w:r>
    </w:p>
    <w:p w:rsidR="00000000" w:rsidDel="00000000" w:rsidP="00000000" w:rsidRDefault="00000000" w:rsidRPr="00000000" w14:paraId="0000000B">
      <w:pPr>
        <w:spacing w:after="0" w:line="480" w:lineRule="auto"/>
        <w:jc w:val="both"/>
        <w:rPr>
          <w:rFonts w:ascii="Times New Roman" w:cs="Times New Roman" w:eastAsia="Times New Roman" w:hAnsi="Times New Roman"/>
          <w:sz w:val="24"/>
          <w:szCs w:val="24"/>
        </w:rPr>
      </w:pPr>
      <w:r w:rsidDel="00000000" w:rsidR="00000000" w:rsidRPr="00000000">
        <w:rPr>
          <w:rtl w:val="0"/>
        </w:rPr>
      </w:r>
    </w:p>
    <w:sectPr>
      <w:pgSz w:h="16838" w:w="11906" w:orient="portrait"/>
      <w:pgMar w:bottom="1134" w:top="1417" w:left="1134" w:right="1134"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e" w:default="1">
    <w:name w:val="Normal"/>
    <w:qFormat w:val="1"/>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taor++zjHqswcxbHvR+Gaadf/IQ==">AMUW2mV8004I2HbIoo/cRoeiNAQXM1PJAcm5ILjt/G3VYmQVZjnHU82qaM7g81b0NKhbMfERssBJlClIYwFXfrzyo63+M5NVcbcM37zhRZVfKdOFA0iP/7Y=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2021-07-15T09:18:00Z</dcterms:created>
  <dc:creator>Valeria Lucchino</dc:creator>
</cp:coreProperties>
</file>