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597B5" w14:textId="20A9F0B1" w:rsidR="00CA3964" w:rsidRPr="00CA3964" w:rsidRDefault="00CA3964">
      <w:pPr>
        <w:widowControl/>
        <w:spacing w:after="160" w:line="278" w:lineRule="auto"/>
        <w:jc w:val="left"/>
        <w:rPr>
          <w:rFonts w:ascii="Times New Roman" w:hAnsi="Times New Roman" w:cs="Times New Roman"/>
          <w:b/>
          <w:bCs/>
          <w:sz w:val="22"/>
        </w:rPr>
      </w:pPr>
      <w:r>
        <w:rPr>
          <w:rFonts w:ascii="Times New Roman" w:hAnsi="Times New Roman" w:cs="Times New Roman" w:hint="eastAsia"/>
          <w:b/>
          <w:bCs/>
          <w:sz w:val="22"/>
        </w:rPr>
        <w:t>Sup-Figure 1.</w:t>
      </w:r>
    </w:p>
    <w:p w14:paraId="536EB901" w14:textId="31EFDF48" w:rsidR="00CA3964" w:rsidRDefault="00CA3964">
      <w:pPr>
        <w:widowControl/>
        <w:spacing w:after="160" w:line="278" w:lineRule="auto"/>
        <w:jc w:val="left"/>
        <w:rPr>
          <w:rFonts w:ascii="Times New Roman" w:hAnsi="Times New Roman" w:cs="Times New Roman"/>
          <w:b/>
          <w:bCs/>
          <w:sz w:val="22"/>
        </w:rPr>
      </w:pPr>
      <w:r>
        <w:rPr>
          <w:rFonts w:hint="eastAsia"/>
          <w:noProof/>
        </w:rPr>
        <w:drawing>
          <wp:inline distT="0" distB="0" distL="114300" distR="114300" wp14:anchorId="03AD89AC" wp14:editId="27D1009D">
            <wp:extent cx="4415741" cy="5577222"/>
            <wp:effectExtent l="0" t="0" r="4445" b="4445"/>
            <wp:docPr id="2" name="图片 2" descr="Frame 2892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rame 28927900"/>
                    <pic:cNvPicPr>
                      <a:picLocks noChangeAspect="1"/>
                    </pic:cNvPicPr>
                  </pic:nvPicPr>
                  <pic:blipFill rotWithShape="1">
                    <a:blip r:embed="rId6"/>
                    <a:srcRect t="9772" b="8631"/>
                    <a:stretch>
                      <a:fillRect/>
                    </a:stretch>
                  </pic:blipFill>
                  <pic:spPr bwMode="auto">
                    <a:xfrm>
                      <a:off x="0" y="0"/>
                      <a:ext cx="4434829" cy="5601330"/>
                    </a:xfrm>
                    <a:prstGeom prst="rect">
                      <a:avLst/>
                    </a:prstGeom>
                    <a:ln>
                      <a:noFill/>
                    </a:ln>
                    <a:extLst>
                      <a:ext uri="{53640926-AAD7-44D8-BBD7-CCE9431645EC}">
                        <a14:shadowObscured xmlns:a14="http://schemas.microsoft.com/office/drawing/2010/main"/>
                      </a:ext>
                    </a:extLst>
                  </pic:spPr>
                </pic:pic>
              </a:graphicData>
            </a:graphic>
          </wp:inline>
        </w:drawing>
      </w:r>
    </w:p>
    <w:p w14:paraId="08412B82" w14:textId="6356DDD1" w:rsidR="0007480B" w:rsidRPr="00A150D6" w:rsidRDefault="0007480B" w:rsidP="00B722E3">
      <w:pPr>
        <w:widowControl/>
        <w:spacing w:line="480" w:lineRule="auto"/>
        <w:jc w:val="left"/>
        <w:rPr>
          <w:rFonts w:ascii="Times New Roman" w:hAnsi="Times New Roman" w:cs="Times New Roman"/>
          <w:sz w:val="22"/>
        </w:rPr>
      </w:pPr>
      <w:r w:rsidRPr="00A150D6">
        <w:rPr>
          <w:rFonts w:ascii="Times New Roman" w:hAnsi="Times New Roman" w:cs="Times New Roman"/>
          <w:sz w:val="22"/>
        </w:rPr>
        <w:t>Measurement methods of intervertebral range of motion (IROM) and sagittal translation (ΔST):</w:t>
      </w:r>
      <w:r w:rsidRPr="00A150D6">
        <w:rPr>
          <w:rFonts w:ascii="Times New Roman" w:hAnsi="Times New Roman" w:cs="Times New Roman" w:hint="eastAsia"/>
          <w:sz w:val="22"/>
        </w:rPr>
        <w:t xml:space="preserve"> </w:t>
      </w:r>
      <w:r w:rsidRPr="00A150D6">
        <w:rPr>
          <w:rFonts w:ascii="Times New Roman" w:hAnsi="Times New Roman" w:cs="Times New Roman"/>
          <w:sz w:val="22"/>
        </w:rPr>
        <w:t>(a) IROM was assessed by measuring the angle between two lines: one along the lower endplate of the upper vertebra and the other along the upper endplate of the lower vertebra. This angle, representing the intervertebral disc angle, was measured during flexion and extension. A ventrally opened wedge was considered positive. IROM was calculated as the extension angle minus the flexion angle.</w:t>
      </w:r>
      <w:r w:rsidRPr="00A150D6">
        <w:rPr>
          <w:rFonts w:ascii="Times New Roman" w:hAnsi="Times New Roman" w:cs="Times New Roman" w:hint="eastAsia"/>
          <w:sz w:val="22"/>
        </w:rPr>
        <w:t xml:space="preserve"> </w:t>
      </w:r>
      <w:r w:rsidRPr="00A150D6">
        <w:rPr>
          <w:rFonts w:ascii="Times New Roman" w:hAnsi="Times New Roman" w:cs="Times New Roman"/>
          <w:sz w:val="22"/>
        </w:rPr>
        <w:t>(b) Sagittal translation was evaluated based on a previously described method</w:t>
      </w:r>
      <w:r w:rsidR="00460B2C" w:rsidRPr="00A150D6">
        <w:rPr>
          <w:rFonts w:ascii="Times New Roman" w:hAnsi="Times New Roman" w:cs="Times New Roman"/>
          <w:sz w:val="22"/>
        </w:rPr>
        <w:fldChar w:fldCharType="begin">
          <w:fldData xml:space="preserve">PEVuZE5vdGU+PENpdGU+PEF1dGhvcj5JZ3VjaGk8L0F1dGhvcj48WWVhcj4yMDA0PC9ZZWFyPjxS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==
</w:fldData>
        </w:fldChar>
      </w:r>
      <w:r w:rsidR="00460B2C" w:rsidRPr="00A150D6">
        <w:rPr>
          <w:rFonts w:ascii="Times New Roman" w:hAnsi="Times New Roman" w:cs="Times New Roman"/>
          <w:sz w:val="22"/>
        </w:rPr>
        <w:instrText xml:space="preserve"> ADDIN EN.CITE </w:instrText>
      </w:r>
      <w:r w:rsidR="00460B2C" w:rsidRPr="00A150D6">
        <w:rPr>
          <w:rFonts w:ascii="Times New Roman" w:hAnsi="Times New Roman" w:cs="Times New Roman"/>
          <w:sz w:val="22"/>
        </w:rPr>
        <w:fldChar w:fldCharType="begin">
          <w:fldData xml:space="preserve">PEVuZE5vdGU+PENpdGU+PEF1dGhvcj5JZ3VjaGk8L0F1dGhvcj48WWVhcj4yMDA0PC9ZZWFyPjxS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==
</w:fldData>
        </w:fldChar>
      </w:r>
      <w:r w:rsidR="00460B2C" w:rsidRPr="00A150D6">
        <w:rPr>
          <w:rFonts w:ascii="Times New Roman" w:hAnsi="Times New Roman" w:cs="Times New Roman"/>
          <w:sz w:val="22"/>
        </w:rPr>
        <w:instrText xml:space="preserve"> ADDIN EN.CITE.DATA </w:instrText>
      </w:r>
      <w:r w:rsidR="00460B2C" w:rsidRPr="00A150D6">
        <w:rPr>
          <w:rFonts w:ascii="Times New Roman" w:hAnsi="Times New Roman" w:cs="Times New Roman"/>
          <w:sz w:val="22"/>
        </w:rPr>
      </w:r>
      <w:r w:rsidR="00460B2C" w:rsidRPr="00A150D6">
        <w:rPr>
          <w:rFonts w:ascii="Times New Roman" w:hAnsi="Times New Roman" w:cs="Times New Roman"/>
          <w:sz w:val="22"/>
        </w:rPr>
        <w:fldChar w:fldCharType="end"/>
      </w:r>
      <w:r w:rsidR="00460B2C" w:rsidRPr="00A150D6">
        <w:rPr>
          <w:rFonts w:ascii="Times New Roman" w:hAnsi="Times New Roman" w:cs="Times New Roman"/>
          <w:sz w:val="22"/>
        </w:rPr>
      </w:r>
      <w:r w:rsidR="00460B2C" w:rsidRPr="00A150D6">
        <w:rPr>
          <w:rFonts w:ascii="Times New Roman" w:hAnsi="Times New Roman" w:cs="Times New Roman"/>
          <w:sz w:val="22"/>
        </w:rPr>
        <w:fldChar w:fldCharType="separate"/>
      </w:r>
      <w:r w:rsidR="00460B2C" w:rsidRPr="00A150D6">
        <w:rPr>
          <w:rFonts w:ascii="Times New Roman" w:hAnsi="Times New Roman" w:cs="Times New Roman"/>
          <w:noProof/>
          <w:sz w:val="22"/>
        </w:rPr>
        <w:t>[1]</w:t>
      </w:r>
      <w:r w:rsidR="00460B2C" w:rsidRPr="00A150D6">
        <w:rPr>
          <w:rFonts w:ascii="Times New Roman" w:hAnsi="Times New Roman" w:cs="Times New Roman"/>
          <w:sz w:val="22"/>
        </w:rPr>
        <w:fldChar w:fldCharType="end"/>
      </w:r>
      <w:r w:rsidRPr="00A150D6">
        <w:rPr>
          <w:rFonts w:ascii="Times New Roman" w:hAnsi="Times New Roman" w:cs="Times New Roman"/>
          <w:sz w:val="22"/>
        </w:rPr>
        <w:t xml:space="preserve">. A reference line (Line A) was drawn along the upper </w:t>
      </w:r>
      <w:r w:rsidRPr="00A150D6">
        <w:rPr>
          <w:rFonts w:ascii="Times New Roman" w:hAnsi="Times New Roman" w:cs="Times New Roman"/>
          <w:sz w:val="22"/>
        </w:rPr>
        <w:lastRenderedPageBreak/>
        <w:t xml:space="preserve">endplate of the lower vertebra. From there, two perpendicular lines were extended: one from the </w:t>
      </w:r>
      <w:proofErr w:type="spellStart"/>
      <w:r w:rsidRPr="00A150D6">
        <w:rPr>
          <w:rFonts w:ascii="Times New Roman" w:hAnsi="Times New Roman" w:cs="Times New Roman"/>
          <w:sz w:val="22"/>
        </w:rPr>
        <w:t>postero</w:t>
      </w:r>
      <w:proofErr w:type="spellEnd"/>
      <w:r w:rsidRPr="00A150D6">
        <w:rPr>
          <w:rFonts w:ascii="Times New Roman" w:hAnsi="Times New Roman" w:cs="Times New Roman"/>
          <w:sz w:val="22"/>
        </w:rPr>
        <w:t xml:space="preserve">-inferior corner of the upper vertebra (Line B) and one from the </w:t>
      </w:r>
      <w:proofErr w:type="spellStart"/>
      <w:r w:rsidRPr="00A150D6">
        <w:rPr>
          <w:rFonts w:ascii="Times New Roman" w:hAnsi="Times New Roman" w:cs="Times New Roman"/>
          <w:sz w:val="22"/>
        </w:rPr>
        <w:t>postero</w:t>
      </w:r>
      <w:proofErr w:type="spellEnd"/>
      <w:r w:rsidRPr="00A150D6">
        <w:rPr>
          <w:rFonts w:ascii="Times New Roman" w:hAnsi="Times New Roman" w:cs="Times New Roman"/>
          <w:sz w:val="22"/>
        </w:rPr>
        <w:t>-superior corner of the lower vertebra (Line C). The distance between these lines defined the sagittal translation, with a positive value indicating anterior displacement of the upper vertebra. ΔST was determined by subtracting the translation value in extension from that in flexion.</w:t>
      </w:r>
    </w:p>
    <w:p w14:paraId="05BB4C52" w14:textId="71709CED" w:rsidR="00CA3964" w:rsidRDefault="00CA3964">
      <w:pPr>
        <w:widowControl/>
        <w:spacing w:after="160" w:line="278" w:lineRule="auto"/>
        <w:jc w:val="left"/>
        <w:rPr>
          <w:rFonts w:ascii="Times New Roman" w:hAnsi="Times New Roman" w:cs="Times New Roman"/>
          <w:b/>
          <w:bCs/>
          <w:sz w:val="22"/>
        </w:rPr>
      </w:pPr>
      <w:r>
        <w:rPr>
          <w:rFonts w:ascii="Times New Roman" w:hAnsi="Times New Roman" w:cs="Times New Roman"/>
          <w:b/>
          <w:bCs/>
          <w:sz w:val="22"/>
        </w:rPr>
        <w:br w:type="page"/>
      </w:r>
    </w:p>
    <w:p w14:paraId="56D6251B" w14:textId="692CF807" w:rsidR="00DD097E" w:rsidRPr="007F24A5" w:rsidRDefault="00DD097E" w:rsidP="00DD097E">
      <w:pPr>
        <w:spacing w:line="480" w:lineRule="auto"/>
        <w:rPr>
          <w:rFonts w:ascii="Times New Roman" w:hAnsi="Times New Roman" w:cs="Times New Roman"/>
          <w:b/>
          <w:bCs/>
          <w:sz w:val="22"/>
        </w:rPr>
      </w:pPr>
      <w:r w:rsidRPr="007F24A5">
        <w:rPr>
          <w:rFonts w:ascii="Times New Roman" w:hAnsi="Times New Roman" w:cs="Times New Roman" w:hint="eastAsia"/>
          <w:b/>
          <w:bCs/>
          <w:sz w:val="22"/>
        </w:rPr>
        <w:lastRenderedPageBreak/>
        <w:t>S</w:t>
      </w:r>
      <w:r w:rsidRPr="007F24A5">
        <w:rPr>
          <w:rFonts w:ascii="Times New Roman" w:hAnsi="Times New Roman" w:cs="Times New Roman"/>
          <w:b/>
          <w:bCs/>
          <w:sz w:val="22"/>
        </w:rPr>
        <w:t xml:space="preserve">up-Table 1. </w:t>
      </w:r>
      <w:r w:rsidRPr="007F24A5">
        <w:rPr>
          <w:rFonts w:ascii="Times New Roman" w:hAnsi="Times New Roman" w:cs="Times New Roman"/>
          <w:sz w:val="22"/>
        </w:rPr>
        <w:t>The hyperparameters for each model</w:t>
      </w:r>
    </w:p>
    <w:tbl>
      <w:tblPr>
        <w:tblW w:w="9047" w:type="dxa"/>
        <w:tblBorders>
          <w:top w:val="single" w:sz="8" w:space="0" w:color="auto"/>
          <w:bottom w:val="single" w:sz="8" w:space="0" w:color="auto"/>
        </w:tblBorders>
        <w:tblLook w:val="04A0" w:firstRow="1" w:lastRow="0" w:firstColumn="1" w:lastColumn="0" w:noHBand="0" w:noVBand="1"/>
      </w:tblPr>
      <w:tblGrid>
        <w:gridCol w:w="1087"/>
        <w:gridCol w:w="865"/>
        <w:gridCol w:w="1404"/>
        <w:gridCol w:w="1223"/>
        <w:gridCol w:w="1270"/>
        <w:gridCol w:w="750"/>
        <w:gridCol w:w="992"/>
        <w:gridCol w:w="688"/>
        <w:gridCol w:w="768"/>
      </w:tblGrid>
      <w:tr w:rsidR="00DD097E" w:rsidRPr="00DD097E" w14:paraId="2FCBB7FE" w14:textId="77777777" w:rsidTr="00F32320">
        <w:trPr>
          <w:trHeight w:val="290"/>
        </w:trPr>
        <w:tc>
          <w:tcPr>
            <w:tcW w:w="1087" w:type="dxa"/>
            <w:tcBorders>
              <w:top w:val="single" w:sz="8" w:space="0" w:color="auto"/>
              <w:bottom w:val="single" w:sz="4" w:space="0" w:color="auto"/>
            </w:tcBorders>
            <w:noWrap/>
            <w:vAlign w:val="center"/>
            <w:hideMark/>
          </w:tcPr>
          <w:p w14:paraId="52ACD860"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Model</w:t>
            </w:r>
          </w:p>
        </w:tc>
        <w:tc>
          <w:tcPr>
            <w:tcW w:w="7960" w:type="dxa"/>
            <w:gridSpan w:val="8"/>
            <w:tcBorders>
              <w:top w:val="single" w:sz="8" w:space="0" w:color="auto"/>
              <w:bottom w:val="single" w:sz="4" w:space="0" w:color="auto"/>
            </w:tcBorders>
            <w:noWrap/>
            <w:vAlign w:val="center"/>
            <w:hideMark/>
          </w:tcPr>
          <w:p w14:paraId="4BF5CD24"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Hyperparameter</w:t>
            </w:r>
          </w:p>
        </w:tc>
      </w:tr>
      <w:tr w:rsidR="00DD097E" w:rsidRPr="00DD097E" w14:paraId="17D2425F" w14:textId="77777777" w:rsidTr="00F32320">
        <w:trPr>
          <w:trHeight w:val="420"/>
        </w:trPr>
        <w:tc>
          <w:tcPr>
            <w:tcW w:w="1087" w:type="dxa"/>
            <w:tcBorders>
              <w:top w:val="single" w:sz="4" w:space="0" w:color="auto"/>
            </w:tcBorders>
            <w:noWrap/>
            <w:vAlign w:val="center"/>
            <w:hideMark/>
          </w:tcPr>
          <w:p w14:paraId="355E63EA"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DenseNet121</w:t>
            </w:r>
          </w:p>
        </w:tc>
        <w:tc>
          <w:tcPr>
            <w:tcW w:w="865" w:type="dxa"/>
            <w:tcBorders>
              <w:top w:val="single" w:sz="4" w:space="0" w:color="auto"/>
            </w:tcBorders>
            <w:vAlign w:val="center"/>
            <w:hideMark/>
          </w:tcPr>
          <w:p w14:paraId="012BDD48"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Batch size</w:t>
            </w:r>
          </w:p>
        </w:tc>
        <w:tc>
          <w:tcPr>
            <w:tcW w:w="1404" w:type="dxa"/>
            <w:tcBorders>
              <w:top w:val="single" w:sz="4" w:space="0" w:color="auto"/>
            </w:tcBorders>
            <w:noWrap/>
            <w:vAlign w:val="center"/>
            <w:hideMark/>
          </w:tcPr>
          <w:p w14:paraId="0AD4BB65"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Initial learning rate</w:t>
            </w:r>
          </w:p>
        </w:tc>
        <w:tc>
          <w:tcPr>
            <w:tcW w:w="1223" w:type="dxa"/>
            <w:tcBorders>
              <w:top w:val="single" w:sz="4" w:space="0" w:color="auto"/>
            </w:tcBorders>
            <w:vAlign w:val="center"/>
            <w:hideMark/>
          </w:tcPr>
          <w:p w14:paraId="1E25D9ED"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Optimizer</w:t>
            </w:r>
          </w:p>
        </w:tc>
        <w:tc>
          <w:tcPr>
            <w:tcW w:w="1270" w:type="dxa"/>
            <w:tcBorders>
              <w:top w:val="single" w:sz="4" w:space="0" w:color="auto"/>
            </w:tcBorders>
            <w:noWrap/>
            <w:vAlign w:val="center"/>
            <w:hideMark/>
          </w:tcPr>
          <w:p w14:paraId="2D261BF9"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L2 regularization</w:t>
            </w:r>
          </w:p>
        </w:tc>
        <w:tc>
          <w:tcPr>
            <w:tcW w:w="750" w:type="dxa"/>
            <w:tcBorders>
              <w:top w:val="single" w:sz="4" w:space="0" w:color="auto"/>
            </w:tcBorders>
            <w:vAlign w:val="center"/>
            <w:hideMark/>
          </w:tcPr>
          <w:p w14:paraId="2A0BEA80"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Dropout rate</w:t>
            </w:r>
          </w:p>
        </w:tc>
        <w:tc>
          <w:tcPr>
            <w:tcW w:w="992" w:type="dxa"/>
            <w:tcBorders>
              <w:top w:val="single" w:sz="4" w:space="0" w:color="auto"/>
            </w:tcBorders>
            <w:noWrap/>
            <w:vAlign w:val="center"/>
            <w:hideMark/>
          </w:tcPr>
          <w:p w14:paraId="262FF3D3"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LR scheduler</w:t>
            </w:r>
          </w:p>
        </w:tc>
        <w:tc>
          <w:tcPr>
            <w:tcW w:w="688" w:type="dxa"/>
            <w:tcBorders>
              <w:top w:val="single" w:sz="4" w:space="0" w:color="auto"/>
            </w:tcBorders>
            <w:vAlign w:val="center"/>
            <w:hideMark/>
          </w:tcPr>
          <w:p w14:paraId="18A9B424"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Epochs</w:t>
            </w:r>
          </w:p>
        </w:tc>
        <w:tc>
          <w:tcPr>
            <w:tcW w:w="768" w:type="dxa"/>
            <w:tcBorders>
              <w:top w:val="single" w:sz="4" w:space="0" w:color="auto"/>
            </w:tcBorders>
            <w:vAlign w:val="center"/>
            <w:hideMark/>
          </w:tcPr>
          <w:p w14:paraId="41709A0A" w14:textId="77777777" w:rsidR="00DD097E" w:rsidRPr="00DD097E" w:rsidRDefault="00DD097E" w:rsidP="00DD097E">
            <w:pPr>
              <w:widowControl/>
              <w:jc w:val="left"/>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Early stopping</w:t>
            </w:r>
          </w:p>
        </w:tc>
      </w:tr>
      <w:tr w:rsidR="00F32320" w:rsidRPr="00DD097E" w14:paraId="61822D33" w14:textId="77777777" w:rsidTr="00F32320">
        <w:trPr>
          <w:trHeight w:val="280"/>
        </w:trPr>
        <w:tc>
          <w:tcPr>
            <w:tcW w:w="1087" w:type="dxa"/>
            <w:noWrap/>
            <w:vAlign w:val="center"/>
            <w:hideMark/>
          </w:tcPr>
          <w:p w14:paraId="7848F24D"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SVM</w:t>
            </w:r>
          </w:p>
        </w:tc>
        <w:tc>
          <w:tcPr>
            <w:tcW w:w="865" w:type="dxa"/>
            <w:noWrap/>
            <w:vAlign w:val="center"/>
            <w:hideMark/>
          </w:tcPr>
          <w:p w14:paraId="2184723B"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Cost</w:t>
            </w:r>
          </w:p>
        </w:tc>
        <w:tc>
          <w:tcPr>
            <w:tcW w:w="1404" w:type="dxa"/>
            <w:noWrap/>
            <w:vAlign w:val="center"/>
            <w:hideMark/>
          </w:tcPr>
          <w:p w14:paraId="711EF774"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Gamma</w:t>
            </w:r>
          </w:p>
        </w:tc>
        <w:tc>
          <w:tcPr>
            <w:tcW w:w="1223" w:type="dxa"/>
            <w:noWrap/>
            <w:vAlign w:val="center"/>
            <w:hideMark/>
          </w:tcPr>
          <w:p w14:paraId="4C081BEB"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Degree</w:t>
            </w:r>
          </w:p>
        </w:tc>
        <w:tc>
          <w:tcPr>
            <w:tcW w:w="1270" w:type="dxa"/>
            <w:noWrap/>
            <w:vAlign w:val="center"/>
            <w:hideMark/>
          </w:tcPr>
          <w:p w14:paraId="6E23ED18"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Kernel</w:t>
            </w:r>
          </w:p>
        </w:tc>
        <w:tc>
          <w:tcPr>
            <w:tcW w:w="750" w:type="dxa"/>
            <w:noWrap/>
            <w:vAlign w:val="center"/>
            <w:hideMark/>
          </w:tcPr>
          <w:p w14:paraId="734BB30B"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p>
        </w:tc>
        <w:tc>
          <w:tcPr>
            <w:tcW w:w="992" w:type="dxa"/>
            <w:noWrap/>
            <w:vAlign w:val="center"/>
            <w:hideMark/>
          </w:tcPr>
          <w:p w14:paraId="3A209A9E" w14:textId="77777777" w:rsidR="00DD097E" w:rsidRPr="00DD097E" w:rsidRDefault="00DD097E" w:rsidP="00DD097E">
            <w:pPr>
              <w:widowControl/>
              <w:jc w:val="left"/>
              <w:rPr>
                <w:rFonts w:ascii="Times New Roman" w:eastAsia="Times New Roman" w:hAnsi="Times New Roman" w:cs="Times New Roman"/>
                <w:kern w:val="0"/>
                <w:sz w:val="20"/>
                <w:szCs w:val="20"/>
                <w14:ligatures w14:val="none"/>
              </w:rPr>
            </w:pPr>
          </w:p>
        </w:tc>
        <w:tc>
          <w:tcPr>
            <w:tcW w:w="688" w:type="dxa"/>
            <w:noWrap/>
            <w:vAlign w:val="center"/>
            <w:hideMark/>
          </w:tcPr>
          <w:p w14:paraId="0FD86F5A" w14:textId="77777777" w:rsidR="00DD097E" w:rsidRPr="00DD097E" w:rsidRDefault="00DD097E" w:rsidP="00DD097E">
            <w:pPr>
              <w:widowControl/>
              <w:jc w:val="left"/>
              <w:rPr>
                <w:rFonts w:ascii="Times New Roman" w:eastAsia="Times New Roman" w:hAnsi="Times New Roman" w:cs="Times New Roman"/>
                <w:kern w:val="0"/>
                <w:sz w:val="20"/>
                <w:szCs w:val="20"/>
                <w14:ligatures w14:val="none"/>
              </w:rPr>
            </w:pPr>
          </w:p>
        </w:tc>
        <w:tc>
          <w:tcPr>
            <w:tcW w:w="768" w:type="dxa"/>
            <w:noWrap/>
            <w:vAlign w:val="center"/>
            <w:hideMark/>
          </w:tcPr>
          <w:p w14:paraId="7D347BE6" w14:textId="77777777" w:rsidR="00DD097E" w:rsidRPr="00DD097E" w:rsidRDefault="00DD097E" w:rsidP="00DD097E">
            <w:pPr>
              <w:widowControl/>
              <w:jc w:val="left"/>
              <w:rPr>
                <w:rFonts w:ascii="Times New Roman" w:eastAsia="Times New Roman" w:hAnsi="Times New Roman" w:cs="Times New Roman"/>
                <w:kern w:val="0"/>
                <w:sz w:val="20"/>
                <w:szCs w:val="20"/>
                <w14:ligatures w14:val="none"/>
              </w:rPr>
            </w:pPr>
          </w:p>
        </w:tc>
      </w:tr>
      <w:tr w:rsidR="00F32320" w:rsidRPr="00DD097E" w14:paraId="76E78F38" w14:textId="77777777" w:rsidTr="00F32320">
        <w:trPr>
          <w:trHeight w:val="280"/>
        </w:trPr>
        <w:tc>
          <w:tcPr>
            <w:tcW w:w="1087" w:type="dxa"/>
            <w:noWrap/>
            <w:vAlign w:val="center"/>
            <w:hideMark/>
          </w:tcPr>
          <w:p w14:paraId="5A0CE71A"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RF</w:t>
            </w:r>
          </w:p>
        </w:tc>
        <w:tc>
          <w:tcPr>
            <w:tcW w:w="865" w:type="dxa"/>
            <w:noWrap/>
            <w:vAlign w:val="center"/>
            <w:hideMark/>
          </w:tcPr>
          <w:p w14:paraId="3C0AA7AA"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proofErr w:type="spellStart"/>
            <w:r w:rsidRPr="00DD097E">
              <w:rPr>
                <w:rFonts w:ascii="Times New Roman" w:eastAsia="等线" w:hAnsi="Times New Roman" w:cs="Times New Roman"/>
                <w:color w:val="000000"/>
                <w:kern w:val="0"/>
                <w:sz w:val="16"/>
                <w:szCs w:val="16"/>
                <w14:ligatures w14:val="none"/>
              </w:rPr>
              <w:t>Maxdepth</w:t>
            </w:r>
            <w:proofErr w:type="spellEnd"/>
          </w:p>
        </w:tc>
        <w:tc>
          <w:tcPr>
            <w:tcW w:w="1404" w:type="dxa"/>
            <w:noWrap/>
            <w:vAlign w:val="center"/>
            <w:hideMark/>
          </w:tcPr>
          <w:p w14:paraId="7FCEE8B7"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proofErr w:type="spellStart"/>
            <w:proofErr w:type="gramStart"/>
            <w:r w:rsidRPr="00DD097E">
              <w:rPr>
                <w:rFonts w:ascii="Times New Roman" w:eastAsia="等线" w:hAnsi="Times New Roman" w:cs="Times New Roman"/>
                <w:color w:val="000000"/>
                <w:kern w:val="0"/>
                <w:sz w:val="16"/>
                <w:szCs w:val="16"/>
                <w14:ligatures w14:val="none"/>
              </w:rPr>
              <w:t>Min.node.size</w:t>
            </w:r>
            <w:proofErr w:type="spellEnd"/>
            <w:proofErr w:type="gramEnd"/>
          </w:p>
        </w:tc>
        <w:tc>
          <w:tcPr>
            <w:tcW w:w="1223" w:type="dxa"/>
            <w:noWrap/>
            <w:vAlign w:val="center"/>
            <w:hideMark/>
          </w:tcPr>
          <w:p w14:paraId="3FC2AB04"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r w:rsidRPr="00DD097E">
              <w:rPr>
                <w:rFonts w:ascii="Times New Roman" w:eastAsia="等线" w:hAnsi="Times New Roman" w:cs="Times New Roman"/>
                <w:color w:val="000000"/>
                <w:kern w:val="0"/>
                <w:sz w:val="16"/>
                <w:szCs w:val="16"/>
                <w14:ligatures w14:val="none"/>
              </w:rPr>
              <w:t>Number of trees</w:t>
            </w:r>
          </w:p>
        </w:tc>
        <w:tc>
          <w:tcPr>
            <w:tcW w:w="1270" w:type="dxa"/>
            <w:noWrap/>
            <w:vAlign w:val="center"/>
            <w:hideMark/>
          </w:tcPr>
          <w:p w14:paraId="2A27A015" w14:textId="77777777" w:rsidR="00DD097E" w:rsidRPr="00DD097E" w:rsidRDefault="00DD097E" w:rsidP="00DD097E">
            <w:pPr>
              <w:widowControl/>
              <w:jc w:val="center"/>
              <w:rPr>
                <w:rFonts w:ascii="Times New Roman" w:eastAsia="等线" w:hAnsi="Times New Roman" w:cs="Times New Roman"/>
                <w:color w:val="000000"/>
                <w:kern w:val="0"/>
                <w:sz w:val="16"/>
                <w:szCs w:val="16"/>
                <w14:ligatures w14:val="none"/>
              </w:rPr>
            </w:pPr>
          </w:p>
        </w:tc>
        <w:tc>
          <w:tcPr>
            <w:tcW w:w="750" w:type="dxa"/>
            <w:vAlign w:val="center"/>
            <w:hideMark/>
          </w:tcPr>
          <w:p w14:paraId="4D35011F" w14:textId="77777777" w:rsidR="00DD097E" w:rsidRPr="00DD097E" w:rsidRDefault="00DD097E" w:rsidP="00DD097E">
            <w:pPr>
              <w:widowControl/>
              <w:jc w:val="left"/>
              <w:rPr>
                <w:rFonts w:ascii="Times New Roman" w:eastAsia="Times New Roman" w:hAnsi="Times New Roman" w:cs="Times New Roman"/>
                <w:kern w:val="0"/>
                <w:sz w:val="20"/>
                <w:szCs w:val="20"/>
                <w14:ligatures w14:val="none"/>
              </w:rPr>
            </w:pPr>
          </w:p>
        </w:tc>
        <w:tc>
          <w:tcPr>
            <w:tcW w:w="992" w:type="dxa"/>
            <w:noWrap/>
            <w:vAlign w:val="center"/>
            <w:hideMark/>
          </w:tcPr>
          <w:p w14:paraId="0578E4A5" w14:textId="77777777" w:rsidR="00DD097E" w:rsidRPr="00DD097E" w:rsidRDefault="00DD097E" w:rsidP="00DD097E">
            <w:pPr>
              <w:widowControl/>
              <w:jc w:val="center"/>
              <w:rPr>
                <w:rFonts w:ascii="Times New Roman" w:eastAsia="Times New Roman" w:hAnsi="Times New Roman" w:cs="Times New Roman"/>
                <w:kern w:val="0"/>
                <w:sz w:val="20"/>
                <w:szCs w:val="20"/>
                <w14:ligatures w14:val="none"/>
              </w:rPr>
            </w:pPr>
          </w:p>
        </w:tc>
        <w:tc>
          <w:tcPr>
            <w:tcW w:w="688" w:type="dxa"/>
            <w:noWrap/>
            <w:vAlign w:val="center"/>
            <w:hideMark/>
          </w:tcPr>
          <w:p w14:paraId="09E85461" w14:textId="77777777" w:rsidR="00DD097E" w:rsidRPr="00DD097E" w:rsidRDefault="00DD097E" w:rsidP="00DD097E">
            <w:pPr>
              <w:widowControl/>
              <w:jc w:val="left"/>
              <w:rPr>
                <w:rFonts w:ascii="Times New Roman" w:eastAsia="Times New Roman" w:hAnsi="Times New Roman" w:cs="Times New Roman"/>
                <w:kern w:val="0"/>
                <w:sz w:val="20"/>
                <w:szCs w:val="20"/>
                <w14:ligatures w14:val="none"/>
              </w:rPr>
            </w:pPr>
          </w:p>
        </w:tc>
        <w:tc>
          <w:tcPr>
            <w:tcW w:w="768" w:type="dxa"/>
            <w:noWrap/>
            <w:vAlign w:val="center"/>
            <w:hideMark/>
          </w:tcPr>
          <w:p w14:paraId="30F9B6D3" w14:textId="77777777" w:rsidR="00DD097E" w:rsidRPr="00DD097E" w:rsidRDefault="00DD097E" w:rsidP="00DD097E">
            <w:pPr>
              <w:widowControl/>
              <w:jc w:val="left"/>
              <w:rPr>
                <w:rFonts w:ascii="Times New Roman" w:eastAsia="Times New Roman" w:hAnsi="Times New Roman" w:cs="Times New Roman"/>
                <w:kern w:val="0"/>
                <w:sz w:val="20"/>
                <w:szCs w:val="20"/>
                <w14:ligatures w14:val="none"/>
              </w:rPr>
            </w:pPr>
          </w:p>
        </w:tc>
      </w:tr>
    </w:tbl>
    <w:p w14:paraId="3D133207" w14:textId="559798A6" w:rsidR="00460B2C" w:rsidRPr="00A150D6" w:rsidRDefault="00F32320" w:rsidP="00460B2C">
      <w:pPr>
        <w:spacing w:line="480" w:lineRule="auto"/>
        <w:ind w:firstLine="420"/>
        <w:rPr>
          <w:rFonts w:ascii="Times New Roman" w:hAnsi="Times New Roman" w:cs="Times New Roman"/>
          <w:sz w:val="22"/>
        </w:rPr>
      </w:pPr>
      <w:r w:rsidRPr="00A150D6">
        <w:rPr>
          <w:rFonts w:ascii="Times New Roman" w:hAnsi="Times New Roman" w:cs="Times New Roman" w:hint="eastAsia"/>
          <w:sz w:val="22"/>
        </w:rPr>
        <w:t>In this study, hyperparameter tuning was conducted in two stages using a grid search strategy. In the first stage, DenseNet121 was fine-tuned as a feature extractor with the following hyperparameter space:</w:t>
      </w:r>
      <w:r w:rsidR="008F57BE" w:rsidRPr="00A150D6">
        <w:rPr>
          <w:rFonts w:hint="eastAsia"/>
          <w:sz w:val="22"/>
        </w:rPr>
        <w:t xml:space="preserve"> </w:t>
      </w:r>
      <w:r w:rsidR="008F57BE" w:rsidRPr="00A150D6">
        <w:rPr>
          <w:rFonts w:ascii="Times New Roman" w:hAnsi="Times New Roman" w:cs="Times New Roman" w:hint="eastAsia"/>
          <w:sz w:val="22"/>
        </w:rPr>
        <w:t>batch sizes (randomly selected between 16 and 128), initial learning rates (uniformly distributed between 1</w:t>
      </w:r>
      <w:r w:rsidR="008F57BE" w:rsidRPr="00A150D6">
        <w:rPr>
          <w:rFonts w:ascii="Times New Roman" w:hAnsi="Times New Roman" w:cs="Times New Roman" w:hint="eastAsia"/>
          <w:sz w:val="22"/>
        </w:rPr>
        <w:t>×</w:t>
      </w:r>
      <w:r w:rsidR="008F57BE" w:rsidRPr="00A150D6">
        <w:rPr>
          <w:rFonts w:ascii="Times New Roman" w:hAnsi="Times New Roman" w:cs="Times New Roman" w:hint="eastAsia"/>
          <w:sz w:val="22"/>
        </w:rPr>
        <w:t>10^(-5) and 1</w:t>
      </w:r>
      <w:r w:rsidR="008F57BE" w:rsidRPr="00A150D6">
        <w:rPr>
          <w:rFonts w:ascii="Times New Roman" w:hAnsi="Times New Roman" w:cs="Times New Roman" w:hint="eastAsia"/>
          <w:sz w:val="22"/>
        </w:rPr>
        <w:t>×</w:t>
      </w:r>
      <w:r w:rsidR="008F57BE" w:rsidRPr="00A150D6">
        <w:rPr>
          <w:rFonts w:ascii="Times New Roman" w:hAnsi="Times New Roman" w:cs="Times New Roman" w:hint="eastAsia"/>
          <w:sz w:val="22"/>
        </w:rPr>
        <w:t xml:space="preserve">10^ (-2), optimizers (Adam, </w:t>
      </w:r>
      <w:proofErr w:type="spellStart"/>
      <w:r w:rsidR="008F57BE" w:rsidRPr="00A150D6">
        <w:rPr>
          <w:rFonts w:ascii="Times New Roman" w:hAnsi="Times New Roman" w:cs="Times New Roman" w:hint="eastAsia"/>
          <w:sz w:val="22"/>
        </w:rPr>
        <w:t>AdamW</w:t>
      </w:r>
      <w:proofErr w:type="spellEnd"/>
      <w:r w:rsidR="008F57BE" w:rsidRPr="00A150D6">
        <w:rPr>
          <w:rFonts w:ascii="Times New Roman" w:hAnsi="Times New Roman" w:cs="Times New Roman" w:hint="eastAsia"/>
          <w:sz w:val="22"/>
        </w:rPr>
        <w:t>, SGD), L2 regularization (uniformly distributed between 1</w:t>
      </w:r>
      <w:r w:rsidR="008F57BE" w:rsidRPr="00A150D6">
        <w:rPr>
          <w:rFonts w:ascii="Times New Roman" w:hAnsi="Times New Roman" w:cs="Times New Roman" w:hint="eastAsia"/>
          <w:sz w:val="22"/>
        </w:rPr>
        <w:t>×</w:t>
      </w:r>
      <w:r w:rsidR="008F57BE" w:rsidRPr="00A150D6">
        <w:rPr>
          <w:rFonts w:ascii="Times New Roman" w:hAnsi="Times New Roman" w:cs="Times New Roman" w:hint="eastAsia"/>
          <w:sz w:val="22"/>
        </w:rPr>
        <w:t>10^(-6) and 1</w:t>
      </w:r>
      <w:r w:rsidR="008F57BE" w:rsidRPr="00A150D6">
        <w:rPr>
          <w:rFonts w:ascii="Times New Roman" w:hAnsi="Times New Roman" w:cs="Times New Roman" w:hint="eastAsia"/>
          <w:sz w:val="22"/>
        </w:rPr>
        <w:t>×</w:t>
      </w:r>
      <w:r w:rsidR="008F57BE" w:rsidRPr="00A150D6">
        <w:rPr>
          <w:rFonts w:ascii="Times New Roman" w:hAnsi="Times New Roman" w:cs="Times New Roman" w:hint="eastAsia"/>
          <w:sz w:val="22"/>
        </w:rPr>
        <w:t>10^ (-2), dropout rates (uniformly distributed between 0.1 and 0.7), learning rate schedulers (</w:t>
      </w:r>
      <w:proofErr w:type="spellStart"/>
      <w:r w:rsidR="008F57BE" w:rsidRPr="00A150D6">
        <w:rPr>
          <w:rFonts w:ascii="Times New Roman" w:hAnsi="Times New Roman" w:cs="Times New Roman" w:hint="eastAsia"/>
          <w:sz w:val="22"/>
        </w:rPr>
        <w:t>StepLR</w:t>
      </w:r>
      <w:proofErr w:type="spellEnd"/>
      <w:r w:rsidR="008F57BE" w:rsidRPr="00A150D6">
        <w:rPr>
          <w:rFonts w:ascii="Times New Roman" w:hAnsi="Times New Roman" w:cs="Times New Roman" w:hint="eastAsia"/>
          <w:sz w:val="22"/>
        </w:rPr>
        <w:t>,</w:t>
      </w:r>
      <w:r w:rsidR="008F57BE" w:rsidRPr="00A150D6">
        <w:rPr>
          <w:rFonts w:hint="eastAsia"/>
          <w:sz w:val="22"/>
        </w:rPr>
        <w:t xml:space="preserve"> </w:t>
      </w:r>
      <w:proofErr w:type="spellStart"/>
      <w:r w:rsidR="008F57BE" w:rsidRPr="00A150D6">
        <w:rPr>
          <w:rFonts w:ascii="Times New Roman" w:hAnsi="Times New Roman" w:cs="Times New Roman" w:hint="eastAsia"/>
          <w:sz w:val="22"/>
        </w:rPr>
        <w:t>CosineAnnealingLR</w:t>
      </w:r>
      <w:proofErr w:type="spellEnd"/>
      <w:r w:rsidR="008F57BE" w:rsidRPr="00A150D6">
        <w:rPr>
          <w:rFonts w:ascii="Times New Roman" w:hAnsi="Times New Roman" w:cs="Times New Roman" w:hint="eastAsia"/>
          <w:sz w:val="22"/>
        </w:rPr>
        <w:t>). For each hyperparameter combination, we employed 10-fold cross-validation to ensure robust performance evaluation. The training dataset was divided into 10 folds, with the model trained and validated on each fold over 40 epochs. This approach enabled us to average performance metrics across folds, providing a reliable estimate of each combination</w:t>
      </w:r>
      <w:proofErr w:type="gramStart"/>
      <w:r w:rsidR="008F57BE" w:rsidRPr="00A150D6">
        <w:rPr>
          <w:rFonts w:ascii="Times New Roman" w:hAnsi="Times New Roman" w:cs="Times New Roman"/>
          <w:sz w:val="22"/>
        </w:rPr>
        <w:t>’</w:t>
      </w:r>
      <w:proofErr w:type="gramEnd"/>
      <w:r w:rsidR="008F57BE" w:rsidRPr="00A150D6">
        <w:rPr>
          <w:rFonts w:ascii="Times New Roman" w:hAnsi="Times New Roman" w:cs="Times New Roman" w:hint="eastAsia"/>
          <w:sz w:val="22"/>
        </w:rPr>
        <w:t>s effectiveness on unseen data. We then selected the hyperparameter combination with the highest average performance and retrained the model using the entire training dataset. Finally, the optimized model was tested on the test set to assess its generalization capability. Early stopping was employed to prevent overfitting and gradient explosion. The performance of each model was primarily evaluated using the AUC.</w:t>
      </w:r>
      <w:r w:rsidRPr="00A150D6">
        <w:rPr>
          <w:rFonts w:hint="eastAsia"/>
          <w:sz w:val="22"/>
        </w:rPr>
        <w:t xml:space="preserve"> </w:t>
      </w:r>
      <w:r w:rsidRPr="00A150D6">
        <w:rPr>
          <w:rFonts w:ascii="Times New Roman" w:hAnsi="Times New Roman" w:cs="Times New Roman"/>
          <w:sz w:val="22"/>
        </w:rPr>
        <w:t xml:space="preserve">In the second stage, deep features extracted from the optimized DenseNet121 model were used as inputs for training three types of classifiers: Support Vector Machine (SVM), Random Forest (RF), and </w:t>
      </w:r>
      <w:proofErr w:type="spellStart"/>
      <w:r w:rsidRPr="00A150D6">
        <w:rPr>
          <w:rFonts w:ascii="Times New Roman" w:hAnsi="Times New Roman" w:cs="Times New Roman"/>
          <w:sz w:val="22"/>
        </w:rPr>
        <w:t>Softmax</w:t>
      </w:r>
      <w:proofErr w:type="spellEnd"/>
      <w:r w:rsidRPr="00A150D6">
        <w:rPr>
          <w:rFonts w:ascii="Times New Roman" w:hAnsi="Times New Roman" w:cs="Times New Roman"/>
          <w:sz w:val="22"/>
        </w:rPr>
        <w:t xml:space="preserve">. Each classifier was independently optimized using grid search. The hyperparameter space for SVM </w:t>
      </w:r>
      <w:r w:rsidRPr="00A150D6">
        <w:rPr>
          <w:rFonts w:ascii="Times New Roman" w:hAnsi="Times New Roman" w:cs="Times New Roman"/>
          <w:sz w:val="22"/>
        </w:rPr>
        <w:lastRenderedPageBreak/>
        <w:t xml:space="preserve">included kernel type (linear, RBF, polynomial), cost parameter , gamma, and degree (for polynomial kernels); for RF, the number of trees, maximum tree depth, and minimum node size were tuned. The </w:t>
      </w:r>
      <w:proofErr w:type="spellStart"/>
      <w:r w:rsidRPr="00A150D6">
        <w:rPr>
          <w:rFonts w:ascii="Times New Roman" w:hAnsi="Times New Roman" w:cs="Times New Roman"/>
          <w:sz w:val="22"/>
        </w:rPr>
        <w:t>Softmax</w:t>
      </w:r>
      <w:proofErr w:type="spellEnd"/>
      <w:r w:rsidRPr="00A150D6">
        <w:rPr>
          <w:rFonts w:ascii="Times New Roman" w:hAnsi="Times New Roman" w:cs="Times New Roman"/>
          <w:sz w:val="22"/>
        </w:rPr>
        <w:t xml:space="preserve"> classifier served as a baseline and did not require additional hyperparameter tuning.</w:t>
      </w:r>
      <w:r w:rsidRPr="00A150D6">
        <w:rPr>
          <w:rFonts w:hint="eastAsia"/>
          <w:sz w:val="22"/>
        </w:rPr>
        <w:t xml:space="preserve"> </w:t>
      </w:r>
      <w:r w:rsidRPr="00A150D6">
        <w:rPr>
          <w:rFonts w:ascii="Times New Roman" w:hAnsi="Times New Roman" w:cs="Times New Roman"/>
          <w:sz w:val="22"/>
        </w:rPr>
        <w:t>The performance of each model was primarily evaluated using the AUC.</w:t>
      </w:r>
    </w:p>
    <w:p w14:paraId="18E08445" w14:textId="77777777" w:rsidR="00460B2C" w:rsidRPr="00A150D6" w:rsidRDefault="00460B2C" w:rsidP="00A150D6">
      <w:pPr>
        <w:spacing w:line="480" w:lineRule="auto"/>
        <w:ind w:firstLine="420"/>
        <w:rPr>
          <w:rFonts w:hint="eastAsia"/>
          <w:sz w:val="22"/>
        </w:rPr>
      </w:pPr>
    </w:p>
    <w:p w14:paraId="10EC55BF" w14:textId="58E7A529" w:rsidR="00460B2C" w:rsidRPr="00A150D6" w:rsidRDefault="00460B2C" w:rsidP="00A150D6">
      <w:pPr>
        <w:pStyle w:val="EndNoteBibliography"/>
        <w:spacing w:line="480" w:lineRule="auto"/>
        <w:rPr>
          <w:rFonts w:ascii="Times New Roman" w:hAnsi="Times New Roman" w:cs="Times New Roman"/>
          <w:sz w:val="22"/>
        </w:rPr>
      </w:pPr>
      <w:r w:rsidRPr="00A150D6">
        <w:rPr>
          <w:rFonts w:ascii="Times New Roman" w:hAnsi="Times New Roman" w:cs="Times New Roman"/>
          <w:sz w:val="22"/>
        </w:rPr>
        <w:fldChar w:fldCharType="begin"/>
      </w:r>
      <w:r w:rsidRPr="00A150D6">
        <w:rPr>
          <w:rFonts w:ascii="Times New Roman" w:hAnsi="Times New Roman" w:cs="Times New Roman"/>
          <w:sz w:val="22"/>
        </w:rPr>
        <w:instrText xml:space="preserve"> ADDIN EN.REFLIST </w:instrText>
      </w:r>
      <w:r w:rsidRPr="00A150D6">
        <w:rPr>
          <w:rFonts w:ascii="Times New Roman" w:hAnsi="Times New Roman" w:cs="Times New Roman"/>
          <w:sz w:val="22"/>
        </w:rPr>
        <w:fldChar w:fldCharType="separate"/>
      </w:r>
      <w:r w:rsidRPr="00A150D6">
        <w:rPr>
          <w:rFonts w:ascii="Times New Roman" w:hAnsi="Times New Roman" w:cs="Times New Roman"/>
          <w:sz w:val="22"/>
        </w:rPr>
        <w:t>1.</w:t>
      </w:r>
      <w:r w:rsidRPr="00A150D6">
        <w:rPr>
          <w:rFonts w:ascii="Times New Roman" w:hAnsi="Times New Roman" w:cs="Times New Roman"/>
          <w:sz w:val="22"/>
        </w:rPr>
        <w:tab/>
        <w:t>Iguchi T, Kanemura A, Kasahara K, et al. Lumbar instability and clinical symptoms: which is the more critical factor for symptoms: sagittal translation or segment angulation? Journal of spinal disorders &amp; techniques. 2004;17(4):284-90.</w:t>
      </w:r>
      <w:hyperlink r:id="rId7" w:history="1">
        <w:r w:rsidRPr="00A150D6">
          <w:rPr>
            <w:rStyle w:val="af3"/>
            <w:rFonts w:ascii="Times New Roman" w:hAnsi="Times New Roman" w:cs="Times New Roman"/>
            <w:sz w:val="22"/>
          </w:rPr>
          <w:t>http://dx.doi.org/10.1097/01.bsd.0000102473.95064.9d</w:t>
        </w:r>
      </w:hyperlink>
      <w:r w:rsidRPr="00A150D6">
        <w:rPr>
          <w:rFonts w:ascii="Times New Roman" w:hAnsi="Times New Roman" w:cs="Times New Roman"/>
          <w:sz w:val="22"/>
        </w:rPr>
        <w:t>.</w:t>
      </w:r>
    </w:p>
    <w:p w14:paraId="1893134E" w14:textId="73E41AFD" w:rsidR="000C216D" w:rsidRPr="001F4FC0" w:rsidRDefault="00460B2C" w:rsidP="00A150D6">
      <w:pPr>
        <w:spacing w:afterLines="100" w:after="312" w:line="480" w:lineRule="auto"/>
        <w:ind w:firstLine="420"/>
        <w:rPr>
          <w:rFonts w:ascii="Times New Roman" w:hAnsi="Times New Roman" w:cs="Times New Roman"/>
          <w:sz w:val="20"/>
          <w:szCs w:val="20"/>
        </w:rPr>
      </w:pPr>
      <w:r w:rsidRPr="00A150D6">
        <w:rPr>
          <w:rFonts w:ascii="Times New Roman" w:hAnsi="Times New Roman" w:cs="Times New Roman"/>
          <w:sz w:val="22"/>
        </w:rPr>
        <w:fldChar w:fldCharType="end"/>
      </w:r>
    </w:p>
    <w:sectPr w:rsidR="000C216D" w:rsidRPr="001F4F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5555D" w14:textId="77777777" w:rsidR="00AE0EC3" w:rsidRDefault="00AE0EC3" w:rsidP="00CA3964">
      <w:pPr>
        <w:rPr>
          <w:rFonts w:hint="eastAsia"/>
        </w:rPr>
      </w:pPr>
      <w:r>
        <w:separator/>
      </w:r>
    </w:p>
  </w:endnote>
  <w:endnote w:type="continuationSeparator" w:id="0">
    <w:p w14:paraId="47C2FC96" w14:textId="77777777" w:rsidR="00AE0EC3" w:rsidRDefault="00AE0EC3" w:rsidP="00CA396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61F8A" w14:textId="77777777" w:rsidR="00AE0EC3" w:rsidRDefault="00AE0EC3" w:rsidP="00CA3964">
      <w:pPr>
        <w:rPr>
          <w:rFonts w:hint="eastAsia"/>
        </w:rPr>
      </w:pPr>
      <w:r>
        <w:separator/>
      </w:r>
    </w:p>
  </w:footnote>
  <w:footnote w:type="continuationSeparator" w:id="0">
    <w:p w14:paraId="00EC8B8B" w14:textId="77777777" w:rsidR="00AE0EC3" w:rsidRDefault="00AE0EC3" w:rsidP="00CA396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ine Journal1&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wtfwzf3dwx2nez9v25vr9qapff2dw2fps5&quot;&gt;My EndNote Library（lumbar）&lt;record-ids&gt;&lt;item&gt;76&lt;/item&gt;&lt;/record-ids&gt;&lt;/item&gt;&lt;/Libraries&gt;"/>
  </w:docVars>
  <w:rsids>
    <w:rsidRoot w:val="008F57BE"/>
    <w:rsid w:val="0007480B"/>
    <w:rsid w:val="00084D51"/>
    <w:rsid w:val="000C216D"/>
    <w:rsid w:val="00154B22"/>
    <w:rsid w:val="001F4FC0"/>
    <w:rsid w:val="0038589A"/>
    <w:rsid w:val="00460B2C"/>
    <w:rsid w:val="004614C8"/>
    <w:rsid w:val="0046219A"/>
    <w:rsid w:val="00492DA5"/>
    <w:rsid w:val="00534109"/>
    <w:rsid w:val="00606C92"/>
    <w:rsid w:val="008A4E2C"/>
    <w:rsid w:val="008F57BE"/>
    <w:rsid w:val="00983631"/>
    <w:rsid w:val="00A150D6"/>
    <w:rsid w:val="00A50BC2"/>
    <w:rsid w:val="00AE0EC3"/>
    <w:rsid w:val="00B722E3"/>
    <w:rsid w:val="00CA3964"/>
    <w:rsid w:val="00DD097E"/>
    <w:rsid w:val="00E06A65"/>
    <w:rsid w:val="00E57C51"/>
    <w:rsid w:val="00F32320"/>
    <w:rsid w:val="00FA2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75A1B"/>
  <w14:defaultImageDpi w14:val="32767"/>
  <w15:chartTrackingRefBased/>
  <w15:docId w15:val="{F4544707-A1C3-4B1D-8F1C-015643AB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7BE"/>
    <w:pPr>
      <w:widowControl w:val="0"/>
      <w:spacing w:after="0" w:line="240" w:lineRule="auto"/>
      <w:jc w:val="both"/>
    </w:pPr>
    <w:rPr>
      <w:sz w:val="21"/>
      <w:szCs w:val="22"/>
    </w:rPr>
  </w:style>
  <w:style w:type="paragraph" w:styleId="1">
    <w:name w:val="heading 1"/>
    <w:basedOn w:val="a"/>
    <w:next w:val="a"/>
    <w:link w:val="10"/>
    <w:uiPriority w:val="9"/>
    <w:qFormat/>
    <w:rsid w:val="008F57B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8F57B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8F57B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8F57B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8F57BE"/>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8F57BE"/>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8F57B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F57B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F57B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F57B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8F57B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8F57B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8F57BE"/>
    <w:rPr>
      <w:rFonts w:cstheme="majorBidi"/>
      <w:color w:val="2F5496" w:themeColor="accent1" w:themeShade="BF"/>
      <w:sz w:val="28"/>
      <w:szCs w:val="28"/>
    </w:rPr>
  </w:style>
  <w:style w:type="character" w:customStyle="1" w:styleId="50">
    <w:name w:val="标题 5 字符"/>
    <w:basedOn w:val="a0"/>
    <w:link w:val="5"/>
    <w:uiPriority w:val="9"/>
    <w:semiHidden/>
    <w:rsid w:val="008F57BE"/>
    <w:rPr>
      <w:rFonts w:cstheme="majorBidi"/>
      <w:color w:val="2F5496" w:themeColor="accent1" w:themeShade="BF"/>
      <w:sz w:val="24"/>
    </w:rPr>
  </w:style>
  <w:style w:type="character" w:customStyle="1" w:styleId="60">
    <w:name w:val="标题 6 字符"/>
    <w:basedOn w:val="a0"/>
    <w:link w:val="6"/>
    <w:uiPriority w:val="9"/>
    <w:semiHidden/>
    <w:rsid w:val="008F57BE"/>
    <w:rPr>
      <w:rFonts w:cstheme="majorBidi"/>
      <w:b/>
      <w:bCs/>
      <w:color w:val="2F5496" w:themeColor="accent1" w:themeShade="BF"/>
    </w:rPr>
  </w:style>
  <w:style w:type="character" w:customStyle="1" w:styleId="70">
    <w:name w:val="标题 7 字符"/>
    <w:basedOn w:val="a0"/>
    <w:link w:val="7"/>
    <w:uiPriority w:val="9"/>
    <w:semiHidden/>
    <w:rsid w:val="008F57BE"/>
    <w:rPr>
      <w:rFonts w:cstheme="majorBidi"/>
      <w:b/>
      <w:bCs/>
      <w:color w:val="595959" w:themeColor="text1" w:themeTint="A6"/>
    </w:rPr>
  </w:style>
  <w:style w:type="character" w:customStyle="1" w:styleId="80">
    <w:name w:val="标题 8 字符"/>
    <w:basedOn w:val="a0"/>
    <w:link w:val="8"/>
    <w:uiPriority w:val="9"/>
    <w:semiHidden/>
    <w:rsid w:val="008F57BE"/>
    <w:rPr>
      <w:rFonts w:cstheme="majorBidi"/>
      <w:color w:val="595959" w:themeColor="text1" w:themeTint="A6"/>
    </w:rPr>
  </w:style>
  <w:style w:type="character" w:customStyle="1" w:styleId="90">
    <w:name w:val="标题 9 字符"/>
    <w:basedOn w:val="a0"/>
    <w:link w:val="9"/>
    <w:uiPriority w:val="9"/>
    <w:semiHidden/>
    <w:rsid w:val="008F57BE"/>
    <w:rPr>
      <w:rFonts w:eastAsiaTheme="majorEastAsia" w:cstheme="majorBidi"/>
      <w:color w:val="595959" w:themeColor="text1" w:themeTint="A6"/>
    </w:rPr>
  </w:style>
  <w:style w:type="paragraph" w:styleId="a3">
    <w:name w:val="Title"/>
    <w:basedOn w:val="a"/>
    <w:next w:val="a"/>
    <w:link w:val="a4"/>
    <w:uiPriority w:val="10"/>
    <w:qFormat/>
    <w:rsid w:val="008F57B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F57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F57B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F57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F57BE"/>
    <w:pPr>
      <w:spacing w:before="160"/>
      <w:jc w:val="center"/>
    </w:pPr>
    <w:rPr>
      <w:i/>
      <w:iCs/>
      <w:color w:val="404040" w:themeColor="text1" w:themeTint="BF"/>
    </w:rPr>
  </w:style>
  <w:style w:type="character" w:customStyle="1" w:styleId="a8">
    <w:name w:val="引用 字符"/>
    <w:basedOn w:val="a0"/>
    <w:link w:val="a7"/>
    <w:uiPriority w:val="29"/>
    <w:rsid w:val="008F57BE"/>
    <w:rPr>
      <w:i/>
      <w:iCs/>
      <w:color w:val="404040" w:themeColor="text1" w:themeTint="BF"/>
    </w:rPr>
  </w:style>
  <w:style w:type="paragraph" w:styleId="a9">
    <w:name w:val="List Paragraph"/>
    <w:basedOn w:val="a"/>
    <w:uiPriority w:val="34"/>
    <w:qFormat/>
    <w:rsid w:val="008F57BE"/>
    <w:pPr>
      <w:ind w:left="720"/>
      <w:contextualSpacing/>
    </w:pPr>
  </w:style>
  <w:style w:type="character" w:styleId="aa">
    <w:name w:val="Intense Emphasis"/>
    <w:basedOn w:val="a0"/>
    <w:uiPriority w:val="21"/>
    <w:qFormat/>
    <w:rsid w:val="008F57BE"/>
    <w:rPr>
      <w:i/>
      <w:iCs/>
      <w:color w:val="2F5496" w:themeColor="accent1" w:themeShade="BF"/>
    </w:rPr>
  </w:style>
  <w:style w:type="paragraph" w:styleId="ab">
    <w:name w:val="Intense Quote"/>
    <w:basedOn w:val="a"/>
    <w:next w:val="a"/>
    <w:link w:val="ac"/>
    <w:uiPriority w:val="30"/>
    <w:qFormat/>
    <w:rsid w:val="008F57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8F57BE"/>
    <w:rPr>
      <w:i/>
      <w:iCs/>
      <w:color w:val="2F5496" w:themeColor="accent1" w:themeShade="BF"/>
    </w:rPr>
  </w:style>
  <w:style w:type="character" w:styleId="ad">
    <w:name w:val="Intense Reference"/>
    <w:basedOn w:val="a0"/>
    <w:uiPriority w:val="32"/>
    <w:qFormat/>
    <w:rsid w:val="008F57BE"/>
    <w:rPr>
      <w:b/>
      <w:bCs/>
      <w:smallCaps/>
      <w:color w:val="2F5496" w:themeColor="accent1" w:themeShade="BF"/>
      <w:spacing w:val="5"/>
    </w:rPr>
  </w:style>
  <w:style w:type="paragraph" w:styleId="ae">
    <w:name w:val="Normal (Web)"/>
    <w:basedOn w:val="a"/>
    <w:uiPriority w:val="99"/>
    <w:semiHidden/>
    <w:unhideWhenUsed/>
    <w:rsid w:val="00F32320"/>
    <w:rPr>
      <w:rFonts w:ascii="Times New Roman" w:hAnsi="Times New Roman" w:cs="Times New Roman"/>
      <w:sz w:val="24"/>
      <w:szCs w:val="24"/>
    </w:rPr>
  </w:style>
  <w:style w:type="paragraph" w:styleId="af">
    <w:name w:val="header"/>
    <w:basedOn w:val="a"/>
    <w:link w:val="af0"/>
    <w:uiPriority w:val="99"/>
    <w:unhideWhenUsed/>
    <w:rsid w:val="00CA3964"/>
    <w:pPr>
      <w:tabs>
        <w:tab w:val="center" w:pos="4153"/>
        <w:tab w:val="right" w:pos="8306"/>
      </w:tabs>
      <w:snapToGrid w:val="0"/>
      <w:jc w:val="center"/>
    </w:pPr>
    <w:rPr>
      <w:sz w:val="18"/>
      <w:szCs w:val="18"/>
    </w:rPr>
  </w:style>
  <w:style w:type="character" w:customStyle="1" w:styleId="af0">
    <w:name w:val="页眉 字符"/>
    <w:basedOn w:val="a0"/>
    <w:link w:val="af"/>
    <w:uiPriority w:val="99"/>
    <w:rsid w:val="00CA3964"/>
    <w:rPr>
      <w:sz w:val="18"/>
      <w:szCs w:val="18"/>
    </w:rPr>
  </w:style>
  <w:style w:type="paragraph" w:styleId="af1">
    <w:name w:val="footer"/>
    <w:basedOn w:val="a"/>
    <w:link w:val="af2"/>
    <w:uiPriority w:val="99"/>
    <w:unhideWhenUsed/>
    <w:rsid w:val="00CA3964"/>
    <w:pPr>
      <w:tabs>
        <w:tab w:val="center" w:pos="4153"/>
        <w:tab w:val="right" w:pos="8306"/>
      </w:tabs>
      <w:snapToGrid w:val="0"/>
      <w:jc w:val="left"/>
    </w:pPr>
    <w:rPr>
      <w:sz w:val="18"/>
      <w:szCs w:val="18"/>
    </w:rPr>
  </w:style>
  <w:style w:type="character" w:customStyle="1" w:styleId="af2">
    <w:name w:val="页脚 字符"/>
    <w:basedOn w:val="a0"/>
    <w:link w:val="af1"/>
    <w:uiPriority w:val="99"/>
    <w:rsid w:val="00CA3964"/>
    <w:rPr>
      <w:sz w:val="18"/>
      <w:szCs w:val="18"/>
    </w:rPr>
  </w:style>
  <w:style w:type="paragraph" w:customStyle="1" w:styleId="EndNoteBibliographyTitle">
    <w:name w:val="EndNote Bibliography Title"/>
    <w:basedOn w:val="a"/>
    <w:link w:val="EndNoteBibliographyTitle0"/>
    <w:rsid w:val="00460B2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60B2C"/>
    <w:rPr>
      <w:rFonts w:ascii="等线" w:eastAsia="等线" w:hAnsi="等线"/>
      <w:noProof/>
      <w:sz w:val="20"/>
      <w:szCs w:val="22"/>
    </w:rPr>
  </w:style>
  <w:style w:type="paragraph" w:customStyle="1" w:styleId="EndNoteBibliography">
    <w:name w:val="EndNote Bibliography"/>
    <w:basedOn w:val="a"/>
    <w:link w:val="EndNoteBibliography0"/>
    <w:rsid w:val="00460B2C"/>
    <w:rPr>
      <w:rFonts w:ascii="等线" w:eastAsia="等线" w:hAnsi="等线"/>
      <w:noProof/>
      <w:sz w:val="20"/>
    </w:rPr>
  </w:style>
  <w:style w:type="character" w:customStyle="1" w:styleId="EndNoteBibliography0">
    <w:name w:val="EndNote Bibliography 字符"/>
    <w:basedOn w:val="a0"/>
    <w:link w:val="EndNoteBibliography"/>
    <w:rsid w:val="00460B2C"/>
    <w:rPr>
      <w:rFonts w:ascii="等线" w:eastAsia="等线" w:hAnsi="等线"/>
      <w:noProof/>
      <w:sz w:val="20"/>
      <w:szCs w:val="22"/>
    </w:rPr>
  </w:style>
  <w:style w:type="character" w:styleId="af3">
    <w:name w:val="Hyperlink"/>
    <w:basedOn w:val="a0"/>
    <w:uiPriority w:val="99"/>
    <w:unhideWhenUsed/>
    <w:rsid w:val="00460B2C"/>
    <w:rPr>
      <w:color w:val="0563C1" w:themeColor="hyperlink"/>
      <w:u w:val="single"/>
    </w:rPr>
  </w:style>
  <w:style w:type="character" w:styleId="af4">
    <w:name w:val="Unresolved Mention"/>
    <w:basedOn w:val="a0"/>
    <w:uiPriority w:val="99"/>
    <w:semiHidden/>
    <w:unhideWhenUsed/>
    <w:rsid w:val="00460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771276">
      <w:bodyDiv w:val="1"/>
      <w:marLeft w:val="0"/>
      <w:marRight w:val="0"/>
      <w:marTop w:val="0"/>
      <w:marBottom w:val="0"/>
      <w:divBdr>
        <w:top w:val="none" w:sz="0" w:space="0" w:color="auto"/>
        <w:left w:val="none" w:sz="0" w:space="0" w:color="auto"/>
        <w:bottom w:val="none" w:sz="0" w:space="0" w:color="auto"/>
        <w:right w:val="none" w:sz="0" w:space="0" w:color="auto"/>
      </w:divBdr>
    </w:div>
    <w:div w:id="402992009">
      <w:bodyDiv w:val="1"/>
      <w:marLeft w:val="0"/>
      <w:marRight w:val="0"/>
      <w:marTop w:val="0"/>
      <w:marBottom w:val="0"/>
      <w:divBdr>
        <w:top w:val="none" w:sz="0" w:space="0" w:color="auto"/>
        <w:left w:val="none" w:sz="0" w:space="0" w:color="auto"/>
        <w:bottom w:val="none" w:sz="0" w:space="0" w:color="auto"/>
        <w:right w:val="none" w:sz="0" w:space="0" w:color="auto"/>
      </w:divBdr>
    </w:div>
    <w:div w:id="495922322">
      <w:bodyDiv w:val="1"/>
      <w:marLeft w:val="0"/>
      <w:marRight w:val="0"/>
      <w:marTop w:val="0"/>
      <w:marBottom w:val="0"/>
      <w:divBdr>
        <w:top w:val="none" w:sz="0" w:space="0" w:color="auto"/>
        <w:left w:val="none" w:sz="0" w:space="0" w:color="auto"/>
        <w:bottom w:val="none" w:sz="0" w:space="0" w:color="auto"/>
        <w:right w:val="none" w:sz="0" w:space="0" w:color="auto"/>
      </w:divBdr>
    </w:div>
    <w:div w:id="912861320">
      <w:bodyDiv w:val="1"/>
      <w:marLeft w:val="0"/>
      <w:marRight w:val="0"/>
      <w:marTop w:val="0"/>
      <w:marBottom w:val="0"/>
      <w:divBdr>
        <w:top w:val="none" w:sz="0" w:space="0" w:color="auto"/>
        <w:left w:val="none" w:sz="0" w:space="0" w:color="auto"/>
        <w:bottom w:val="none" w:sz="0" w:space="0" w:color="auto"/>
        <w:right w:val="none" w:sz="0" w:space="0" w:color="auto"/>
      </w:divBdr>
    </w:div>
    <w:div w:id="1148135204">
      <w:bodyDiv w:val="1"/>
      <w:marLeft w:val="0"/>
      <w:marRight w:val="0"/>
      <w:marTop w:val="0"/>
      <w:marBottom w:val="0"/>
      <w:divBdr>
        <w:top w:val="none" w:sz="0" w:space="0" w:color="auto"/>
        <w:left w:val="none" w:sz="0" w:space="0" w:color="auto"/>
        <w:bottom w:val="none" w:sz="0" w:space="0" w:color="auto"/>
        <w:right w:val="none" w:sz="0" w:space="0" w:color="auto"/>
      </w:divBdr>
    </w:div>
    <w:div w:id="1230071960">
      <w:bodyDiv w:val="1"/>
      <w:marLeft w:val="0"/>
      <w:marRight w:val="0"/>
      <w:marTop w:val="0"/>
      <w:marBottom w:val="0"/>
      <w:divBdr>
        <w:top w:val="none" w:sz="0" w:space="0" w:color="auto"/>
        <w:left w:val="none" w:sz="0" w:space="0" w:color="auto"/>
        <w:bottom w:val="none" w:sz="0" w:space="0" w:color="auto"/>
        <w:right w:val="none" w:sz="0" w:space="0" w:color="auto"/>
      </w:divBdr>
    </w:div>
    <w:div w:id="1672105843">
      <w:bodyDiv w:val="1"/>
      <w:marLeft w:val="0"/>
      <w:marRight w:val="0"/>
      <w:marTop w:val="0"/>
      <w:marBottom w:val="0"/>
      <w:divBdr>
        <w:top w:val="none" w:sz="0" w:space="0" w:color="auto"/>
        <w:left w:val="none" w:sz="0" w:space="0" w:color="auto"/>
        <w:bottom w:val="none" w:sz="0" w:space="0" w:color="auto"/>
        <w:right w:val="none" w:sz="0" w:space="0" w:color="auto"/>
      </w:divBdr>
    </w:div>
    <w:div w:id="1689403826">
      <w:bodyDiv w:val="1"/>
      <w:marLeft w:val="0"/>
      <w:marRight w:val="0"/>
      <w:marTop w:val="0"/>
      <w:marBottom w:val="0"/>
      <w:divBdr>
        <w:top w:val="none" w:sz="0" w:space="0" w:color="auto"/>
        <w:left w:val="none" w:sz="0" w:space="0" w:color="auto"/>
        <w:bottom w:val="none" w:sz="0" w:space="0" w:color="auto"/>
        <w:right w:val="none" w:sz="0" w:space="0" w:color="auto"/>
      </w:divBdr>
    </w:div>
    <w:div w:id="1762219962">
      <w:bodyDiv w:val="1"/>
      <w:marLeft w:val="0"/>
      <w:marRight w:val="0"/>
      <w:marTop w:val="0"/>
      <w:marBottom w:val="0"/>
      <w:divBdr>
        <w:top w:val="none" w:sz="0" w:space="0" w:color="auto"/>
        <w:left w:val="none" w:sz="0" w:space="0" w:color="auto"/>
        <w:bottom w:val="none" w:sz="0" w:space="0" w:color="auto"/>
        <w:right w:val="none" w:sz="0" w:space="0" w:color="auto"/>
      </w:divBdr>
    </w:div>
    <w:div w:id="1797597414">
      <w:bodyDiv w:val="1"/>
      <w:marLeft w:val="0"/>
      <w:marRight w:val="0"/>
      <w:marTop w:val="0"/>
      <w:marBottom w:val="0"/>
      <w:divBdr>
        <w:top w:val="none" w:sz="0" w:space="0" w:color="auto"/>
        <w:left w:val="none" w:sz="0" w:space="0" w:color="auto"/>
        <w:bottom w:val="none" w:sz="0" w:space="0" w:color="auto"/>
        <w:right w:val="none" w:sz="0" w:space="0" w:color="auto"/>
      </w:divBdr>
    </w:div>
    <w:div w:id="1937397721">
      <w:bodyDiv w:val="1"/>
      <w:marLeft w:val="0"/>
      <w:marRight w:val="0"/>
      <w:marTop w:val="0"/>
      <w:marBottom w:val="0"/>
      <w:divBdr>
        <w:top w:val="none" w:sz="0" w:space="0" w:color="auto"/>
        <w:left w:val="none" w:sz="0" w:space="0" w:color="auto"/>
        <w:bottom w:val="none" w:sz="0" w:space="0" w:color="auto"/>
        <w:right w:val="none" w:sz="0" w:space="0" w:color="auto"/>
      </w:divBdr>
    </w:div>
    <w:div w:id="207068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dx.doi.org/10.1097/01.bsd.0000102473.95064.9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548</Words>
  <Characters>3234</Characters>
  <Application>Microsoft Office Word</Application>
  <DocSecurity>0</DocSecurity>
  <Lines>85</Lines>
  <Paragraphs>30</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嘉骏 宋</dc:creator>
  <cp:keywords/>
  <dc:description/>
  <cp:lastModifiedBy>嘉骏 宋</cp:lastModifiedBy>
  <cp:revision>2</cp:revision>
  <dcterms:created xsi:type="dcterms:W3CDTF">2025-08-19T15:41:00Z</dcterms:created>
  <dcterms:modified xsi:type="dcterms:W3CDTF">2025-08-19T15:41:00Z</dcterms:modified>
</cp:coreProperties>
</file>