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6871A" w14:textId="455E1806" w:rsidR="006635B7" w:rsidRPr="006635B7" w:rsidRDefault="006635B7" w:rsidP="006635B7">
      <w:pPr>
        <w:jc w:val="center"/>
        <w:rPr>
          <w:rFonts w:ascii="Times New Roman" w:hAnsi="Times New Roman" w:cs="Times New Roman"/>
          <w:b/>
          <w:bCs/>
          <w:sz w:val="32"/>
          <w:szCs w:val="32"/>
        </w:rPr>
      </w:pPr>
      <w:r w:rsidRPr="006635B7">
        <w:rPr>
          <w:rFonts w:ascii="Times New Roman" w:hAnsi="Times New Roman" w:cs="Times New Roman"/>
          <w:b/>
          <w:bCs/>
          <w:sz w:val="32"/>
          <w:szCs w:val="32"/>
        </w:rPr>
        <w:t>Supplementary</w:t>
      </w:r>
      <w:r w:rsidRPr="006635B7">
        <w:rPr>
          <w:rFonts w:ascii="Times New Roman" w:hAnsi="Times New Roman" w:cs="Times New Roman"/>
          <w:b/>
          <w:bCs/>
          <w:sz w:val="32"/>
          <w:szCs w:val="32"/>
        </w:rPr>
        <w:t xml:space="preserve"> File</w:t>
      </w:r>
    </w:p>
    <w:p w14:paraId="52612FC0" w14:textId="77777777" w:rsidR="006635B7" w:rsidRDefault="006635B7" w:rsidP="006635B7">
      <w:pPr>
        <w:jc w:val="both"/>
        <w:rPr>
          <w:rFonts w:ascii="Times New Roman" w:hAnsi="Times New Roman" w:cs="Times New Roman"/>
          <w:b/>
          <w:bCs/>
        </w:rPr>
      </w:pPr>
    </w:p>
    <w:p w14:paraId="0623B845" w14:textId="45CC86EE" w:rsidR="006635B7" w:rsidRPr="006635B7" w:rsidRDefault="006635B7" w:rsidP="006635B7">
      <w:pPr>
        <w:jc w:val="both"/>
        <w:rPr>
          <w:rFonts w:ascii="Times New Roman" w:hAnsi="Times New Roman" w:cs="Times New Roman"/>
          <w:b/>
          <w:bCs/>
        </w:rPr>
      </w:pPr>
      <w:r w:rsidRPr="006635B7">
        <w:rPr>
          <w:rFonts w:ascii="Times New Roman" w:hAnsi="Times New Roman" w:cs="Times New Roman"/>
          <w:b/>
          <w:bCs/>
        </w:rPr>
        <w:t>Supplementary Data 1. Computational Workflow</w:t>
      </w:r>
    </w:p>
    <w:p w14:paraId="2360F101" w14:textId="77777777" w:rsidR="006635B7" w:rsidRPr="006635B7" w:rsidRDefault="006635B7" w:rsidP="006635B7">
      <w:pPr>
        <w:jc w:val="both"/>
        <w:rPr>
          <w:rFonts w:ascii="Times New Roman" w:hAnsi="Times New Roman" w:cs="Times New Roman"/>
        </w:rPr>
      </w:pPr>
      <w:r w:rsidRPr="006635B7">
        <w:rPr>
          <w:rFonts w:ascii="Times New Roman" w:hAnsi="Times New Roman" w:cs="Times New Roman"/>
        </w:rPr>
        <w:t>The computational workflow implemented in this study was designed to ensure reproducibility and reliability of the results. Molecular structures of chelators were prepared using geometry optimization at the DFT level, followed by frequency calculations to confirm the absence of imaginary modes. Solvent effects were modeled through a polarizable continuum model, simulating aqueous conditions that approximate biological environments. For dynamic evaluations, molecular dynamics simulations were conducted in explicit solvent boxes with periodic boundary conditions, ensuring realistic behavior of the metal–chelator complexes. Energy minimization and equilibration phases were executed prior to production runs, minimizing steric clashes and stabilizing the system. This workflow allows accurate comparison of chelator–metal binding characteristics and provides insights into conformational flexibility, solvation dynamics, and thermodynamic stability.</w:t>
      </w:r>
    </w:p>
    <w:p w14:paraId="590A8735" w14:textId="55BB4CD6" w:rsidR="006635B7" w:rsidRPr="006635B7" w:rsidRDefault="006635B7" w:rsidP="006635B7">
      <w:pPr>
        <w:jc w:val="both"/>
        <w:rPr>
          <w:rFonts w:ascii="Times New Roman" w:hAnsi="Times New Roman" w:cs="Times New Roman"/>
        </w:rPr>
      </w:pPr>
    </w:p>
    <w:p w14:paraId="03F1DFEA" w14:textId="77777777" w:rsidR="006635B7" w:rsidRPr="006635B7" w:rsidRDefault="006635B7" w:rsidP="006635B7">
      <w:pPr>
        <w:jc w:val="both"/>
        <w:rPr>
          <w:rFonts w:ascii="Times New Roman" w:hAnsi="Times New Roman" w:cs="Times New Roman"/>
          <w:b/>
          <w:bCs/>
        </w:rPr>
      </w:pPr>
      <w:r w:rsidRPr="006635B7">
        <w:rPr>
          <w:rFonts w:ascii="Times New Roman" w:hAnsi="Times New Roman" w:cs="Times New Roman"/>
          <w:b/>
          <w:bCs/>
        </w:rPr>
        <w:t>Supplementary Data 2. Theoretical Considerations in Chelator Design</w:t>
      </w:r>
    </w:p>
    <w:p w14:paraId="7127B772" w14:textId="77777777" w:rsidR="006635B7" w:rsidRPr="006635B7" w:rsidRDefault="006635B7" w:rsidP="006635B7">
      <w:pPr>
        <w:jc w:val="both"/>
        <w:rPr>
          <w:rFonts w:ascii="Times New Roman" w:hAnsi="Times New Roman" w:cs="Times New Roman"/>
        </w:rPr>
      </w:pPr>
      <w:r w:rsidRPr="006635B7">
        <w:rPr>
          <w:rFonts w:ascii="Times New Roman" w:hAnsi="Times New Roman" w:cs="Times New Roman"/>
        </w:rPr>
        <w:t xml:space="preserve">Chelator design for radiopharmaceutical applications requires balancing thermodynamic stability with kinetic inertness. Zirconium-89, as a tetravalent cation, exhibits strong </w:t>
      </w:r>
      <w:proofErr w:type="spellStart"/>
      <w:r w:rsidRPr="006635B7">
        <w:rPr>
          <w:rFonts w:ascii="Times New Roman" w:hAnsi="Times New Roman" w:cs="Times New Roman"/>
        </w:rPr>
        <w:t>oxophilicity</w:t>
      </w:r>
      <w:proofErr w:type="spellEnd"/>
      <w:r w:rsidRPr="006635B7">
        <w:rPr>
          <w:rFonts w:ascii="Times New Roman" w:hAnsi="Times New Roman" w:cs="Times New Roman"/>
        </w:rPr>
        <w:t xml:space="preserve"> and preferentially coordinates with oxygen donors such as hydroxamate groups. Actinium-225, on the other hand, is a trivalent ion with a larger ionic radius, necessitating a coordination environment that provides both high denticity and adaptability to its coordination preferences. Macrocyclic backbones offer structural rigidity, while functionalization with hydroxamate arms increases the chelation efficiency by enhancing electron donation and coordination geometry. The theoretical framework adopted in this study integrates quantum chemical calculations to predict electronic structures and molecular dynamics simulations to explore long-term stability, thereby guiding rational design of chelators suitable for clinical translation.</w:t>
      </w:r>
    </w:p>
    <w:p w14:paraId="1BB58D66" w14:textId="0D7F9213" w:rsidR="006635B7" w:rsidRPr="006635B7" w:rsidRDefault="006635B7" w:rsidP="006635B7">
      <w:pPr>
        <w:jc w:val="both"/>
        <w:rPr>
          <w:rFonts w:ascii="Times New Roman" w:hAnsi="Times New Roman" w:cs="Times New Roman"/>
        </w:rPr>
      </w:pPr>
    </w:p>
    <w:p w14:paraId="1EFE34A2" w14:textId="77777777" w:rsidR="006635B7" w:rsidRPr="006635B7" w:rsidRDefault="006635B7" w:rsidP="006635B7">
      <w:pPr>
        <w:jc w:val="both"/>
        <w:rPr>
          <w:rFonts w:ascii="Times New Roman" w:hAnsi="Times New Roman" w:cs="Times New Roman"/>
          <w:b/>
          <w:bCs/>
        </w:rPr>
      </w:pPr>
      <w:r w:rsidRPr="006635B7">
        <w:rPr>
          <w:rFonts w:ascii="Times New Roman" w:hAnsi="Times New Roman" w:cs="Times New Roman"/>
          <w:b/>
          <w:bCs/>
        </w:rPr>
        <w:t>Supplementary Data 3. Stability Analysis under Biological Conditions</w:t>
      </w:r>
    </w:p>
    <w:p w14:paraId="1935F5A2" w14:textId="77777777" w:rsidR="006635B7" w:rsidRPr="006635B7" w:rsidRDefault="006635B7" w:rsidP="006635B7">
      <w:pPr>
        <w:jc w:val="both"/>
        <w:rPr>
          <w:rFonts w:ascii="Times New Roman" w:hAnsi="Times New Roman" w:cs="Times New Roman"/>
        </w:rPr>
      </w:pPr>
      <w:r w:rsidRPr="006635B7">
        <w:rPr>
          <w:rFonts w:ascii="Times New Roman" w:hAnsi="Times New Roman" w:cs="Times New Roman"/>
        </w:rPr>
        <w:t xml:space="preserve">An important consideration in radiopharmaceutical chemistry is the stability of metal–chelator complexes under physiological conditions. Computational models were used to mimic pH fluctuations, competing ion interactions, and temperature variations that occur in vivo. Results from simulation runs suggested that hydroxamate-containing macrocyclic chelators display enhanced resistance to protonation-induced dissociation when compared to conventional </w:t>
      </w:r>
      <w:proofErr w:type="spellStart"/>
      <w:r w:rsidRPr="006635B7">
        <w:rPr>
          <w:rFonts w:ascii="Times New Roman" w:hAnsi="Times New Roman" w:cs="Times New Roman"/>
        </w:rPr>
        <w:t>desferrioxamine</w:t>
      </w:r>
      <w:proofErr w:type="spellEnd"/>
      <w:r w:rsidRPr="006635B7">
        <w:rPr>
          <w:rFonts w:ascii="Times New Roman" w:hAnsi="Times New Roman" w:cs="Times New Roman"/>
        </w:rPr>
        <w:t xml:space="preserve"> analogs. Additionally, the macrocyclic architecture provides entropic advantages by pre-organizing donor atoms in a favorable conformation, reducing the likelihood of </w:t>
      </w:r>
      <w:proofErr w:type="spellStart"/>
      <w:r w:rsidRPr="006635B7">
        <w:rPr>
          <w:rFonts w:ascii="Times New Roman" w:hAnsi="Times New Roman" w:cs="Times New Roman"/>
        </w:rPr>
        <w:lastRenderedPageBreak/>
        <w:t>transchelation</w:t>
      </w:r>
      <w:proofErr w:type="spellEnd"/>
      <w:r w:rsidRPr="006635B7">
        <w:rPr>
          <w:rFonts w:ascii="Times New Roman" w:hAnsi="Times New Roman" w:cs="Times New Roman"/>
        </w:rPr>
        <w:t xml:space="preserve"> in serum. These findings support the hypothesis that the chelators designed in this study can maintain radiometal retention during circulation, thereby improving imaging contrast and therapeutic efficacy.</w:t>
      </w:r>
    </w:p>
    <w:p w14:paraId="461D05F8" w14:textId="72139EB1" w:rsidR="006635B7" w:rsidRPr="006635B7" w:rsidRDefault="006635B7" w:rsidP="006635B7">
      <w:pPr>
        <w:jc w:val="both"/>
        <w:rPr>
          <w:rFonts w:ascii="Times New Roman" w:hAnsi="Times New Roman" w:cs="Times New Roman"/>
        </w:rPr>
      </w:pPr>
    </w:p>
    <w:p w14:paraId="627AC4D2" w14:textId="77777777" w:rsidR="006635B7" w:rsidRPr="006635B7" w:rsidRDefault="006635B7" w:rsidP="006635B7">
      <w:pPr>
        <w:jc w:val="both"/>
        <w:rPr>
          <w:rFonts w:ascii="Times New Roman" w:hAnsi="Times New Roman" w:cs="Times New Roman"/>
          <w:b/>
          <w:bCs/>
        </w:rPr>
      </w:pPr>
      <w:r w:rsidRPr="006635B7">
        <w:rPr>
          <w:rFonts w:ascii="Times New Roman" w:hAnsi="Times New Roman" w:cs="Times New Roman"/>
          <w:b/>
          <w:bCs/>
        </w:rPr>
        <w:t>Supplementary Data 4. Comparative Evaluation with Conventional Chelators</w:t>
      </w:r>
    </w:p>
    <w:p w14:paraId="1ADDA24E" w14:textId="77777777" w:rsidR="006635B7" w:rsidRPr="006635B7" w:rsidRDefault="006635B7" w:rsidP="006635B7">
      <w:pPr>
        <w:jc w:val="both"/>
        <w:rPr>
          <w:rFonts w:ascii="Times New Roman" w:hAnsi="Times New Roman" w:cs="Times New Roman"/>
        </w:rPr>
      </w:pPr>
      <w:r w:rsidRPr="006635B7">
        <w:rPr>
          <w:rFonts w:ascii="Times New Roman" w:hAnsi="Times New Roman" w:cs="Times New Roman"/>
        </w:rPr>
        <w:t>The performance of the proposed chelators was compared against established systems such as DFO (for ⁸⁹Zr) and DOTA derivatives (for ²²⁵Ac). Density functional theory revealed that hydroxamate–macrocyclic hybrids offer stronger binding energies for zirconium, with shorter bond lengths indicative of tighter coordination. In the case of actinium, the macrocyclic backbone proved advantageous in accommodating its larger coordination sphere while preventing premature dissociation. Molecular dynamics trajectories demonstrated reduced fluctuations at the coordination interface, suggesting superior kinetic inertness. These results highlight the potential of the newly designed chelators to outperform conventional systems in clinical applications.</w:t>
      </w:r>
    </w:p>
    <w:p w14:paraId="43A84109" w14:textId="75BBEA8D" w:rsidR="006635B7" w:rsidRPr="006635B7" w:rsidRDefault="006635B7" w:rsidP="006635B7">
      <w:pPr>
        <w:jc w:val="both"/>
        <w:rPr>
          <w:rFonts w:ascii="Times New Roman" w:hAnsi="Times New Roman" w:cs="Times New Roman"/>
        </w:rPr>
      </w:pPr>
    </w:p>
    <w:p w14:paraId="28D3C0AD" w14:textId="77777777" w:rsidR="006635B7" w:rsidRPr="006635B7" w:rsidRDefault="006635B7" w:rsidP="006635B7">
      <w:pPr>
        <w:jc w:val="both"/>
        <w:rPr>
          <w:rFonts w:ascii="Times New Roman" w:hAnsi="Times New Roman" w:cs="Times New Roman"/>
          <w:b/>
          <w:bCs/>
        </w:rPr>
      </w:pPr>
      <w:r w:rsidRPr="006635B7">
        <w:rPr>
          <w:rFonts w:ascii="Times New Roman" w:hAnsi="Times New Roman" w:cs="Times New Roman"/>
          <w:b/>
          <w:bCs/>
        </w:rPr>
        <w:t>Supplementary Data 5. Future Implications</w:t>
      </w:r>
    </w:p>
    <w:p w14:paraId="5E936E7C" w14:textId="77777777" w:rsidR="006635B7" w:rsidRPr="006635B7" w:rsidRDefault="006635B7" w:rsidP="006635B7">
      <w:pPr>
        <w:jc w:val="both"/>
        <w:rPr>
          <w:rFonts w:ascii="Times New Roman" w:hAnsi="Times New Roman" w:cs="Times New Roman"/>
        </w:rPr>
      </w:pPr>
      <w:r w:rsidRPr="006635B7">
        <w:rPr>
          <w:rFonts w:ascii="Times New Roman" w:hAnsi="Times New Roman" w:cs="Times New Roman"/>
        </w:rPr>
        <w:t>The computational results not only validate the structural design but also provide a framework for guiding experimental synthesis. The methodologies described here can be extended to other radiometals of clinical interest, including therapeutic isotopes such as lutetium-177 and diagnostic isotopes like gallium-68. Moreover, the combination of DFT and MD approaches establishes a predictive pipeline for screening new chelators prior to costly experimental evaluation. In the long term, integration of computational chemistry with experimental radiopharmaceutical development can accelerate the translation of novel chelators from theoretical models to clinical practice.</w:t>
      </w:r>
    </w:p>
    <w:p w14:paraId="59035315" w14:textId="77777777" w:rsidR="006635B7" w:rsidRPr="006635B7" w:rsidRDefault="006635B7" w:rsidP="006635B7">
      <w:pPr>
        <w:jc w:val="both"/>
        <w:rPr>
          <w:rFonts w:ascii="Times New Roman" w:hAnsi="Times New Roman" w:cs="Times New Roman"/>
        </w:rPr>
      </w:pPr>
    </w:p>
    <w:sectPr w:rsidR="006635B7" w:rsidRPr="006635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5B7"/>
    <w:rsid w:val="002C3AD5"/>
    <w:rsid w:val="006635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9E25B"/>
  <w15:chartTrackingRefBased/>
  <w15:docId w15:val="{DD9DB809-BAEA-4CA8-B865-DAF63DD9D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35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35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35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35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35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35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35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35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35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5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35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35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35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35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35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35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35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35B7"/>
    <w:rPr>
      <w:rFonts w:eastAsiaTheme="majorEastAsia" w:cstheme="majorBidi"/>
      <w:color w:val="272727" w:themeColor="text1" w:themeTint="D8"/>
    </w:rPr>
  </w:style>
  <w:style w:type="paragraph" w:styleId="Title">
    <w:name w:val="Title"/>
    <w:basedOn w:val="Normal"/>
    <w:next w:val="Normal"/>
    <w:link w:val="TitleChar"/>
    <w:uiPriority w:val="10"/>
    <w:qFormat/>
    <w:rsid w:val="006635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35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35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35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35B7"/>
    <w:pPr>
      <w:spacing w:before="160"/>
      <w:jc w:val="center"/>
    </w:pPr>
    <w:rPr>
      <w:i/>
      <w:iCs/>
      <w:color w:val="404040" w:themeColor="text1" w:themeTint="BF"/>
    </w:rPr>
  </w:style>
  <w:style w:type="character" w:customStyle="1" w:styleId="QuoteChar">
    <w:name w:val="Quote Char"/>
    <w:basedOn w:val="DefaultParagraphFont"/>
    <w:link w:val="Quote"/>
    <w:uiPriority w:val="29"/>
    <w:rsid w:val="006635B7"/>
    <w:rPr>
      <w:i/>
      <w:iCs/>
      <w:color w:val="404040" w:themeColor="text1" w:themeTint="BF"/>
    </w:rPr>
  </w:style>
  <w:style w:type="paragraph" w:styleId="ListParagraph">
    <w:name w:val="List Paragraph"/>
    <w:basedOn w:val="Normal"/>
    <w:uiPriority w:val="34"/>
    <w:qFormat/>
    <w:rsid w:val="006635B7"/>
    <w:pPr>
      <w:ind w:left="720"/>
      <w:contextualSpacing/>
    </w:pPr>
  </w:style>
  <w:style w:type="character" w:styleId="IntenseEmphasis">
    <w:name w:val="Intense Emphasis"/>
    <w:basedOn w:val="DefaultParagraphFont"/>
    <w:uiPriority w:val="21"/>
    <w:qFormat/>
    <w:rsid w:val="006635B7"/>
    <w:rPr>
      <w:i/>
      <w:iCs/>
      <w:color w:val="0F4761" w:themeColor="accent1" w:themeShade="BF"/>
    </w:rPr>
  </w:style>
  <w:style w:type="paragraph" w:styleId="IntenseQuote">
    <w:name w:val="Intense Quote"/>
    <w:basedOn w:val="Normal"/>
    <w:next w:val="Normal"/>
    <w:link w:val="IntenseQuoteChar"/>
    <w:uiPriority w:val="30"/>
    <w:qFormat/>
    <w:rsid w:val="006635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35B7"/>
    <w:rPr>
      <w:i/>
      <w:iCs/>
      <w:color w:val="0F4761" w:themeColor="accent1" w:themeShade="BF"/>
    </w:rPr>
  </w:style>
  <w:style w:type="character" w:styleId="IntenseReference">
    <w:name w:val="Intense Reference"/>
    <w:basedOn w:val="DefaultParagraphFont"/>
    <w:uiPriority w:val="32"/>
    <w:qFormat/>
    <w:rsid w:val="006635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668</Words>
  <Characters>3812</Characters>
  <Application>Microsoft Office Word</Application>
  <DocSecurity>0</DocSecurity>
  <Lines>31</Lines>
  <Paragraphs>8</Paragraphs>
  <ScaleCrop>false</ScaleCrop>
  <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Abdulrehman Riaz</dc:creator>
  <cp:keywords/>
  <dc:description/>
  <cp:lastModifiedBy>Abdulrehman Riaz</cp:lastModifiedBy>
  <cp:revision>1</cp:revision>
  <dcterms:created xsi:type="dcterms:W3CDTF">2025-08-19T10:59:00Z</dcterms:created>
  <dcterms:modified xsi:type="dcterms:W3CDTF">2025-08-19T11:02:00Z</dcterms:modified>
</cp:coreProperties>
</file>