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1865" w:rsidRPr="00C5726F" w:rsidRDefault="00B31865" w:rsidP="00B31865">
      <w:pPr>
        <w:ind w:left="2832" w:firstLine="708"/>
        <w:rPr>
          <w:rFonts w:cstheme="minorHAnsi"/>
          <w:b/>
          <w:bCs/>
          <w:lang w:val="en-US"/>
        </w:rPr>
      </w:pPr>
      <w:r>
        <w:rPr>
          <w:b/>
          <w:bCs/>
          <w:sz w:val="28"/>
          <w:szCs w:val="28"/>
          <w:lang w:val="en-US"/>
        </w:rPr>
        <w:t>Supplementary</w:t>
      </w:r>
    </w:p>
    <w:p w:rsidR="00B31865" w:rsidRDefault="00B31865" w:rsidP="00B31865">
      <w:pPr>
        <w:jc w:val="center"/>
        <w:rPr>
          <w:bCs/>
          <w:sz w:val="24"/>
          <w:szCs w:val="24"/>
          <w:lang w:val="en-US"/>
        </w:rPr>
      </w:pPr>
      <w:r>
        <w:rPr>
          <w:bCs/>
          <w:sz w:val="24"/>
          <w:szCs w:val="24"/>
          <w:lang w:val="en-US"/>
        </w:rPr>
        <w:t>(Methods for comparisons)</w:t>
      </w:r>
    </w:p>
    <w:p w:rsidR="00B31865" w:rsidRDefault="00B31865" w:rsidP="00B31865">
      <w:pPr>
        <w:jc w:val="center"/>
        <w:rPr>
          <w:bCs/>
          <w:sz w:val="24"/>
          <w:szCs w:val="24"/>
          <w:lang w:val="en-US"/>
        </w:rPr>
      </w:pPr>
    </w:p>
    <w:p w:rsidR="00B31865" w:rsidRDefault="00B31865" w:rsidP="00B31865">
      <w:pPr>
        <w:rPr>
          <w:sz w:val="24"/>
          <w:szCs w:val="24"/>
          <w:lang w:val="en-US"/>
        </w:rPr>
      </w:pPr>
      <w:r>
        <w:rPr>
          <w:sz w:val="24"/>
          <w:szCs w:val="24"/>
          <w:lang w:val="en-US"/>
        </w:rPr>
        <w:t xml:space="preserve"> All reference data used was obtained from </w:t>
      </w:r>
      <w:proofErr w:type="spellStart"/>
      <w:r>
        <w:rPr>
          <w:sz w:val="24"/>
          <w:szCs w:val="24"/>
          <w:lang w:val="en-US"/>
        </w:rPr>
        <w:t>Statistik</w:t>
      </w:r>
      <w:proofErr w:type="spellEnd"/>
      <w:r>
        <w:rPr>
          <w:sz w:val="24"/>
          <w:szCs w:val="24"/>
          <w:lang w:val="en-US"/>
        </w:rPr>
        <w:t xml:space="preserve"> Austria [1] and originates from either the quarterly population statistics for 2014 [2][3], the </w:t>
      </w:r>
      <w:proofErr w:type="spellStart"/>
      <w:r>
        <w:rPr>
          <w:sz w:val="24"/>
          <w:szCs w:val="24"/>
          <w:lang w:val="en-US"/>
        </w:rPr>
        <w:t>Microcensus</w:t>
      </w:r>
      <w:proofErr w:type="spellEnd"/>
      <w:r>
        <w:rPr>
          <w:sz w:val="24"/>
          <w:szCs w:val="24"/>
          <w:lang w:val="en-US"/>
        </w:rPr>
        <w:t xml:space="preserve"> 2014 [4][5] or the Austrian Health Interview Survey (ATHIS) 2014 [6][7]. Q</w:t>
      </w:r>
      <w:r w:rsidRPr="009B2273">
        <w:rPr>
          <w:sz w:val="24"/>
          <w:szCs w:val="24"/>
          <w:lang w:val="en-US"/>
        </w:rPr>
        <w:t xml:space="preserve">uarterly population statistics </w:t>
      </w:r>
      <w:r>
        <w:rPr>
          <w:sz w:val="24"/>
          <w:szCs w:val="24"/>
          <w:lang w:val="en-US"/>
        </w:rPr>
        <w:t xml:space="preserve">and </w:t>
      </w:r>
      <w:proofErr w:type="spellStart"/>
      <w:r>
        <w:rPr>
          <w:sz w:val="24"/>
          <w:szCs w:val="24"/>
          <w:lang w:val="en-US"/>
        </w:rPr>
        <w:t>Microcensus</w:t>
      </w:r>
      <w:proofErr w:type="spellEnd"/>
      <w:r>
        <w:rPr>
          <w:sz w:val="24"/>
          <w:szCs w:val="24"/>
          <w:lang w:val="en-US"/>
        </w:rPr>
        <w:t xml:space="preserve"> data were obtained via the statistical database </w:t>
      </w:r>
      <w:proofErr w:type="spellStart"/>
      <w:r>
        <w:rPr>
          <w:sz w:val="24"/>
          <w:szCs w:val="24"/>
          <w:lang w:val="en-US"/>
        </w:rPr>
        <w:t>StatCube</w:t>
      </w:r>
      <w:proofErr w:type="spellEnd"/>
      <w:r>
        <w:rPr>
          <w:sz w:val="24"/>
          <w:szCs w:val="24"/>
          <w:lang w:val="en-US"/>
        </w:rPr>
        <w:t xml:space="preserve"> [8]. For the ATHIS data we requested the original dataset. </w:t>
      </w:r>
      <w:r w:rsidRPr="00815D80">
        <w:rPr>
          <w:sz w:val="24"/>
          <w:szCs w:val="24"/>
          <w:lang w:val="en-US"/>
        </w:rPr>
        <w:t>If not otherwise indicated</w:t>
      </w:r>
      <w:r w:rsidRPr="00B551D0">
        <w:rPr>
          <w:sz w:val="24"/>
          <w:szCs w:val="24"/>
          <w:lang w:val="en-US"/>
        </w:rPr>
        <w:t>,</w:t>
      </w:r>
      <w:r w:rsidRPr="00815D80">
        <w:rPr>
          <w:sz w:val="24"/>
          <w:szCs w:val="24"/>
          <w:lang w:val="en-US"/>
        </w:rPr>
        <w:t xml:space="preserve"> we merged data of the nine Austrian provinces to the Austrian population and accumulated all age groups to one group of 40- 69 years.</w:t>
      </w:r>
      <w:r>
        <w:rPr>
          <w:sz w:val="24"/>
          <w:szCs w:val="24"/>
          <w:lang w:val="en-US"/>
        </w:rPr>
        <w:t xml:space="preserve"> In our study data set, we included only data of participants who were 40 to 69 years of age and excluded the few participants that were not from the province of Salzburg. Classification into different degrees of urbanization was conducted via the degree of urbanization (DEGURBA) criteria by Eurostat [9].</w:t>
      </w:r>
    </w:p>
    <w:p w:rsidR="00B31865" w:rsidRDefault="00B31865" w:rsidP="00B31865">
      <w:pPr>
        <w:rPr>
          <w:sz w:val="24"/>
          <w:szCs w:val="24"/>
          <w:lang w:val="en-US"/>
        </w:rPr>
      </w:pPr>
      <w:r w:rsidRPr="00EB6D6A">
        <w:rPr>
          <w:sz w:val="24"/>
          <w:szCs w:val="24"/>
          <w:lang w:val="en-US"/>
        </w:rPr>
        <w:t>Regarding the ATHIS</w:t>
      </w:r>
      <w:r w:rsidRPr="00B551D0">
        <w:rPr>
          <w:sz w:val="24"/>
          <w:szCs w:val="24"/>
          <w:lang w:val="en-US"/>
        </w:rPr>
        <w:t>,</w:t>
      </w:r>
      <w:r w:rsidRPr="00EB6D6A">
        <w:rPr>
          <w:sz w:val="24"/>
          <w:szCs w:val="24"/>
          <w:lang w:val="en-US"/>
        </w:rPr>
        <w:t xml:space="preserve"> </w:t>
      </w:r>
      <w:r w:rsidRPr="00EB6D6A">
        <w:rPr>
          <w:color w:val="000000" w:themeColor="text1"/>
          <w:sz w:val="24"/>
          <w:szCs w:val="24"/>
          <w:lang w:val="en-US"/>
        </w:rPr>
        <w:t xml:space="preserve">we adopted </w:t>
      </w:r>
      <w:r w:rsidRPr="00EB6D6A">
        <w:rPr>
          <w:sz w:val="24"/>
          <w:szCs w:val="24"/>
          <w:lang w:val="en-US"/>
        </w:rPr>
        <w:t>the weights provided in the dataset to extrapolate to the Salzburgian and Austrian populations respectively.</w:t>
      </w:r>
      <w:r>
        <w:rPr>
          <w:sz w:val="24"/>
          <w:szCs w:val="24"/>
          <w:lang w:val="en-US"/>
        </w:rPr>
        <w:t xml:space="preserve"> </w:t>
      </w:r>
      <w:proofErr w:type="spellStart"/>
      <w:r>
        <w:rPr>
          <w:sz w:val="24"/>
          <w:szCs w:val="24"/>
          <w:lang w:val="en-US"/>
        </w:rPr>
        <w:t>Microcensus</w:t>
      </w:r>
      <w:proofErr w:type="spellEnd"/>
      <w:r>
        <w:rPr>
          <w:sz w:val="24"/>
          <w:szCs w:val="24"/>
          <w:lang w:val="en-US"/>
        </w:rPr>
        <w:t xml:space="preserve"> data are already extrapolated and while this makes weighting unnecessary, we did not know the exact size of the relevant subgroups of the original sample. As an approximation, we multiplied the extrapolated values with 0.006, since the </w:t>
      </w:r>
      <w:proofErr w:type="spellStart"/>
      <w:r>
        <w:rPr>
          <w:sz w:val="24"/>
          <w:szCs w:val="24"/>
          <w:lang w:val="en-US"/>
        </w:rPr>
        <w:t>Microcensus</w:t>
      </w:r>
      <w:proofErr w:type="spellEnd"/>
      <w:r>
        <w:rPr>
          <w:sz w:val="24"/>
          <w:szCs w:val="24"/>
          <w:lang w:val="en-US"/>
        </w:rPr>
        <w:t xml:space="preserve"> included about 0.6% of the whole population as sample. This might slightly under or overestimate the sample size and thereby the width of the confidence interval, but we consider it a sufficient approximation for the purpose of the work presented here.</w:t>
      </w:r>
    </w:p>
    <w:p w:rsidR="00B31865" w:rsidRDefault="00B31865" w:rsidP="00B31865">
      <w:pPr>
        <w:rPr>
          <w:sz w:val="24"/>
          <w:szCs w:val="24"/>
          <w:lang w:val="en-US"/>
        </w:rPr>
      </w:pPr>
      <w:r>
        <w:rPr>
          <w:sz w:val="24"/>
          <w:szCs w:val="24"/>
          <w:lang w:val="en-US"/>
        </w:rPr>
        <w:t xml:space="preserve">For categorical variables, confidence intervals in the figures are 95% </w:t>
      </w:r>
      <w:proofErr w:type="spellStart"/>
      <w:r>
        <w:rPr>
          <w:sz w:val="24"/>
          <w:szCs w:val="24"/>
          <w:lang w:val="en-US"/>
        </w:rPr>
        <w:t>Agresti-Coull</w:t>
      </w:r>
      <w:proofErr w:type="spellEnd"/>
      <w:r>
        <w:rPr>
          <w:sz w:val="24"/>
          <w:szCs w:val="24"/>
          <w:lang w:val="en-US"/>
        </w:rPr>
        <w:t xml:space="preserve"> confidence intervals for a binomial proportion. For continuous variables (only </w:t>
      </w:r>
      <w:r w:rsidRPr="00A60350">
        <w:rPr>
          <w:i/>
          <w:sz w:val="24"/>
          <w:szCs w:val="24"/>
          <w:lang w:val="en-US"/>
        </w:rPr>
        <w:t>mean minutes of exercise per week</w:t>
      </w:r>
      <w:r>
        <w:rPr>
          <w:sz w:val="24"/>
          <w:szCs w:val="24"/>
          <w:lang w:val="en-US"/>
        </w:rPr>
        <w:t>) they are calculated as the mean +- 1.96 times the standard error.</w:t>
      </w:r>
    </w:p>
    <w:p w:rsidR="00B31865" w:rsidRDefault="00B31865" w:rsidP="00B31865">
      <w:pPr>
        <w:rPr>
          <w:sz w:val="24"/>
          <w:szCs w:val="24"/>
          <w:lang w:val="en-US"/>
        </w:rPr>
      </w:pPr>
      <w:r>
        <w:rPr>
          <w:sz w:val="24"/>
          <w:szCs w:val="24"/>
          <w:lang w:val="en-US"/>
        </w:rPr>
        <w:t xml:space="preserve">For all statistical calculations and creation of figures the statistical software R (Version 4.0.2) [10] was used, in particular the package </w:t>
      </w:r>
      <w:proofErr w:type="spellStart"/>
      <w:r w:rsidRPr="00A60350">
        <w:rPr>
          <w:i/>
          <w:sz w:val="24"/>
          <w:szCs w:val="24"/>
          <w:lang w:val="en-US"/>
        </w:rPr>
        <w:t>tidyverse</w:t>
      </w:r>
      <w:proofErr w:type="spellEnd"/>
      <w:r>
        <w:rPr>
          <w:sz w:val="24"/>
          <w:szCs w:val="24"/>
          <w:lang w:val="en-US"/>
        </w:rPr>
        <w:t xml:space="preserve"> [11].</w:t>
      </w:r>
    </w:p>
    <w:p w:rsidR="00B31865" w:rsidRDefault="00B31865" w:rsidP="00B31865">
      <w:pPr>
        <w:rPr>
          <w:sz w:val="24"/>
          <w:szCs w:val="24"/>
          <w:lang w:val="en-US"/>
        </w:rPr>
      </w:pPr>
    </w:p>
    <w:p w:rsidR="00B31865" w:rsidRDefault="00B31865" w:rsidP="00B31865">
      <w:pPr>
        <w:pStyle w:val="ListParagraph"/>
        <w:numPr>
          <w:ilvl w:val="0"/>
          <w:numId w:val="1"/>
        </w:numPr>
        <w:spacing w:line="256" w:lineRule="auto"/>
        <w:rPr>
          <w:sz w:val="24"/>
          <w:szCs w:val="24"/>
          <w:u w:val="single"/>
          <w:lang w:val="en-US"/>
        </w:rPr>
      </w:pPr>
      <w:r>
        <w:rPr>
          <w:sz w:val="24"/>
          <w:szCs w:val="24"/>
          <w:u w:val="single"/>
          <w:lang w:val="en-US"/>
        </w:rPr>
        <w:t>Age</w:t>
      </w:r>
    </w:p>
    <w:p w:rsidR="00B31865" w:rsidRDefault="00B31865" w:rsidP="00B31865">
      <w:pPr>
        <w:jc w:val="both"/>
        <w:rPr>
          <w:sz w:val="24"/>
          <w:szCs w:val="24"/>
          <w:lang w:val="en-US"/>
        </w:rPr>
      </w:pPr>
      <w:r>
        <w:rPr>
          <w:sz w:val="24"/>
          <w:szCs w:val="24"/>
          <w:lang w:val="en-US"/>
        </w:rPr>
        <w:t xml:space="preserve">We compared </w:t>
      </w:r>
      <w:r w:rsidRPr="000703A9">
        <w:rPr>
          <w:sz w:val="24"/>
          <w:szCs w:val="24"/>
          <w:lang w:val="en-US"/>
        </w:rPr>
        <w:t xml:space="preserve">the ratio of </w:t>
      </w:r>
      <w:r>
        <w:rPr>
          <w:sz w:val="24"/>
          <w:szCs w:val="24"/>
          <w:lang w:val="en-US"/>
        </w:rPr>
        <w:t xml:space="preserve">women and </w:t>
      </w:r>
      <w:r w:rsidRPr="000703A9">
        <w:rPr>
          <w:sz w:val="24"/>
          <w:szCs w:val="24"/>
          <w:lang w:val="en-US"/>
        </w:rPr>
        <w:t>man</w:t>
      </w:r>
      <w:r>
        <w:rPr>
          <w:sz w:val="24"/>
          <w:szCs w:val="24"/>
          <w:lang w:val="en-US"/>
        </w:rPr>
        <w:t xml:space="preserve"> within the 40 to 69 </w:t>
      </w:r>
      <w:proofErr w:type="gramStart"/>
      <w:r>
        <w:rPr>
          <w:sz w:val="24"/>
          <w:szCs w:val="24"/>
          <w:lang w:val="en-US"/>
        </w:rPr>
        <w:t>years</w:t>
      </w:r>
      <w:proofErr w:type="gramEnd"/>
      <w:r>
        <w:rPr>
          <w:sz w:val="24"/>
          <w:szCs w:val="24"/>
          <w:lang w:val="en-US"/>
        </w:rPr>
        <w:t xml:space="preserve"> age group of our cohort with the Austrian population and the population of the province of Salzburg.  </w:t>
      </w:r>
      <w:r w:rsidRPr="00C7751B">
        <w:rPr>
          <w:sz w:val="24"/>
          <w:szCs w:val="24"/>
          <w:lang w:val="en-US"/>
        </w:rPr>
        <w:t>Quarterly population</w:t>
      </w:r>
      <w:r>
        <w:rPr>
          <w:sz w:val="24"/>
          <w:szCs w:val="24"/>
          <w:lang w:val="en-US"/>
        </w:rPr>
        <w:t xml:space="preserve"> statistics were used for comparison. </w:t>
      </w:r>
    </w:p>
    <w:p w:rsidR="00B31865" w:rsidRPr="006D07DE" w:rsidRDefault="00B31865" w:rsidP="00B31865">
      <w:pPr>
        <w:jc w:val="both"/>
        <w:rPr>
          <w:sz w:val="24"/>
          <w:szCs w:val="24"/>
          <w:u w:val="single"/>
          <w:lang w:val="en-US"/>
        </w:rPr>
      </w:pPr>
    </w:p>
    <w:p w:rsidR="00B31865" w:rsidRPr="006D07DE" w:rsidRDefault="00B31865" w:rsidP="00B31865">
      <w:pPr>
        <w:pStyle w:val="ListParagraph"/>
        <w:numPr>
          <w:ilvl w:val="0"/>
          <w:numId w:val="1"/>
        </w:numPr>
        <w:jc w:val="both"/>
        <w:rPr>
          <w:sz w:val="24"/>
          <w:szCs w:val="24"/>
          <w:u w:val="single"/>
          <w:lang w:val="en-US"/>
        </w:rPr>
      </w:pPr>
      <w:r w:rsidRPr="006D07DE">
        <w:rPr>
          <w:sz w:val="24"/>
          <w:szCs w:val="24"/>
          <w:u w:val="single"/>
          <w:lang w:val="en-US"/>
        </w:rPr>
        <w:t xml:space="preserve">Degree of </w:t>
      </w:r>
      <w:proofErr w:type="spellStart"/>
      <w:r w:rsidRPr="006D07DE">
        <w:rPr>
          <w:sz w:val="24"/>
          <w:szCs w:val="24"/>
          <w:u w:val="single"/>
          <w:lang w:val="en-US"/>
        </w:rPr>
        <w:t>Urbanisation</w:t>
      </w:r>
      <w:proofErr w:type="spellEnd"/>
    </w:p>
    <w:p w:rsidR="00B31865" w:rsidRDefault="00B31865" w:rsidP="00B31865">
      <w:pPr>
        <w:jc w:val="both"/>
        <w:rPr>
          <w:sz w:val="24"/>
          <w:szCs w:val="24"/>
          <w:lang w:val="en-US"/>
        </w:rPr>
      </w:pPr>
      <w:r w:rsidRPr="006D07DE">
        <w:rPr>
          <w:sz w:val="24"/>
          <w:szCs w:val="24"/>
          <w:lang w:val="en-US"/>
        </w:rPr>
        <w:t xml:space="preserve">Reference data was taken from </w:t>
      </w:r>
      <w:r>
        <w:rPr>
          <w:sz w:val="24"/>
          <w:szCs w:val="24"/>
          <w:lang w:val="en-US"/>
        </w:rPr>
        <w:t xml:space="preserve">the </w:t>
      </w:r>
      <w:proofErr w:type="spellStart"/>
      <w:r>
        <w:rPr>
          <w:sz w:val="24"/>
          <w:szCs w:val="24"/>
          <w:lang w:val="en-US"/>
        </w:rPr>
        <w:t>Microcensus</w:t>
      </w:r>
      <w:proofErr w:type="spellEnd"/>
      <w:r>
        <w:rPr>
          <w:sz w:val="24"/>
          <w:szCs w:val="24"/>
          <w:lang w:val="en-US"/>
        </w:rPr>
        <w:t xml:space="preserve"> </w:t>
      </w:r>
      <w:r w:rsidRPr="006D07DE">
        <w:rPr>
          <w:sz w:val="24"/>
          <w:szCs w:val="24"/>
          <w:lang w:val="en-US"/>
        </w:rPr>
        <w:t xml:space="preserve">while we chose the </w:t>
      </w:r>
      <w:r>
        <w:rPr>
          <w:sz w:val="24"/>
          <w:szCs w:val="24"/>
          <w:lang w:val="en-US"/>
        </w:rPr>
        <w:t>DEGURBA criteria of</w:t>
      </w:r>
      <w:r w:rsidRPr="006D07DE">
        <w:rPr>
          <w:sz w:val="24"/>
          <w:szCs w:val="24"/>
          <w:lang w:val="en-US"/>
        </w:rPr>
        <w:t xml:space="preserve"> Eurostat to classify settlement density</w:t>
      </w:r>
      <w:r>
        <w:rPr>
          <w:sz w:val="24"/>
          <w:szCs w:val="24"/>
          <w:lang w:val="en-US"/>
        </w:rPr>
        <w:t>.</w:t>
      </w:r>
    </w:p>
    <w:p w:rsidR="00B31865" w:rsidRDefault="00B31865" w:rsidP="00B31865">
      <w:pPr>
        <w:jc w:val="both"/>
        <w:rPr>
          <w:sz w:val="24"/>
          <w:szCs w:val="24"/>
          <w:lang w:val="en-US"/>
        </w:rPr>
      </w:pPr>
    </w:p>
    <w:p w:rsidR="00B31865" w:rsidRDefault="00B31865" w:rsidP="00B31865">
      <w:pPr>
        <w:pStyle w:val="ListParagraph"/>
        <w:numPr>
          <w:ilvl w:val="0"/>
          <w:numId w:val="1"/>
        </w:numPr>
        <w:spacing w:line="256" w:lineRule="auto"/>
        <w:jc w:val="both"/>
        <w:rPr>
          <w:sz w:val="24"/>
          <w:szCs w:val="24"/>
          <w:u w:val="single"/>
          <w:lang w:val="en-US"/>
        </w:rPr>
      </w:pPr>
      <w:r>
        <w:rPr>
          <w:sz w:val="24"/>
          <w:szCs w:val="24"/>
          <w:u w:val="single"/>
          <w:lang w:val="en-US"/>
        </w:rPr>
        <w:t>Migratory Background</w:t>
      </w:r>
    </w:p>
    <w:p w:rsidR="00B31865" w:rsidRDefault="00B31865" w:rsidP="00B31865">
      <w:pPr>
        <w:rPr>
          <w:sz w:val="24"/>
          <w:szCs w:val="24"/>
          <w:lang w:val="en-US"/>
        </w:rPr>
      </w:pPr>
      <w:r>
        <w:rPr>
          <w:sz w:val="24"/>
          <w:szCs w:val="24"/>
          <w:lang w:val="en-US"/>
        </w:rPr>
        <w:lastRenderedPageBreak/>
        <w:t xml:space="preserve">We used reference data from the </w:t>
      </w:r>
      <w:proofErr w:type="spellStart"/>
      <w:r>
        <w:rPr>
          <w:sz w:val="24"/>
          <w:szCs w:val="24"/>
          <w:lang w:val="en-US"/>
        </w:rPr>
        <w:t>Microcensus</w:t>
      </w:r>
      <w:proofErr w:type="spellEnd"/>
      <w:r>
        <w:rPr>
          <w:sz w:val="24"/>
          <w:szCs w:val="24"/>
          <w:lang w:val="en-US"/>
        </w:rPr>
        <w:t xml:space="preserve"> while the definitions of migratory background were set according to the United Nations Economics Commission for Europe (UNECE) </w:t>
      </w:r>
      <w:r>
        <w:rPr>
          <w:sz w:val="24"/>
          <w:szCs w:val="24"/>
          <w:lang w:val="en-US"/>
        </w:rPr>
        <w:fldChar w:fldCharType="begin"/>
      </w:r>
      <w:r>
        <w:rPr>
          <w:sz w:val="24"/>
          <w:szCs w:val="24"/>
          <w:lang w:val="en-US"/>
        </w:rPr>
        <w:instrText xml:space="preserve"> ADDIN EN.CITE &lt;EndNote&gt;&lt;Cite&gt;&lt;Author&gt;UNECE&lt;/Author&gt;&lt;Year&gt;2020&lt;/Year&gt;&lt;RecNum&gt;69&lt;/RecNum&gt;&lt;DisplayText&gt;[3]&lt;/DisplayText&gt;&lt;record&gt;&lt;rec-number&gt;69&lt;/rec-number&gt;&lt;foreign-keys&gt;&lt;key app="EN" db-id="azxfp9x5xw9z5wez2tj5tssva0s259995xt5" timestamp="1608297749"&gt;69&lt;/key&gt;&lt;/foreign-keys&gt;&lt;ref-type name="Government Document"&gt;46&lt;/ref-type&gt;&lt;contributors&gt;&lt;authors&gt;&lt;author&gt;UNECE&lt;/author&gt;&lt;/authors&gt;&lt;/contributors&gt;&lt;titles&gt;&lt;title&gt;Conference of European Statisticians. Recommendations for the 2020 Censuses of Population and Housing.&lt;/title&gt;&lt;/titles&gt;&lt;dates&gt;&lt;year&gt;2020&lt;/year&gt;&lt;/dates&gt;&lt;publisher&gt;United Nations Economic Commission for Europe. Palais des Nations. CH - 1211 Geneva 10, Switzerland.&lt;/publisher&gt;&lt;urls&gt;&lt;related-urls&gt;&lt;url&gt;https://unece.org/fileadmin/DAM/stats/publications/2015/ECECES41_EN.pdf&lt;/url&gt;&lt;/related-urls&gt;&lt;/urls&gt;&lt;/record&gt;&lt;/Cite&gt;&lt;/EndNote&gt;</w:instrText>
      </w:r>
      <w:r>
        <w:rPr>
          <w:sz w:val="24"/>
          <w:szCs w:val="24"/>
          <w:lang w:val="en-US"/>
        </w:rPr>
        <w:fldChar w:fldCharType="separate"/>
      </w:r>
      <w:r>
        <w:rPr>
          <w:noProof/>
          <w:sz w:val="24"/>
          <w:szCs w:val="24"/>
          <w:lang w:val="en-US"/>
        </w:rPr>
        <w:t>[12]</w:t>
      </w:r>
      <w:r>
        <w:rPr>
          <w:sz w:val="24"/>
          <w:szCs w:val="24"/>
          <w:lang w:val="en-US"/>
        </w:rPr>
        <w:fldChar w:fldCharType="end"/>
      </w:r>
      <w:r>
        <w:rPr>
          <w:sz w:val="24"/>
          <w:szCs w:val="24"/>
          <w:lang w:val="en-US"/>
        </w:rPr>
        <w:t>.</w:t>
      </w:r>
    </w:p>
    <w:p w:rsidR="00B31865" w:rsidRDefault="00B31865" w:rsidP="00B31865">
      <w:pPr>
        <w:rPr>
          <w:sz w:val="18"/>
          <w:szCs w:val="18"/>
          <w:lang w:val="en-US"/>
        </w:rPr>
      </w:pPr>
      <w:r w:rsidRPr="00DC166E">
        <w:rPr>
          <w:noProof/>
          <w:sz w:val="18"/>
          <w:szCs w:val="18"/>
          <w:lang w:val="en-US"/>
        </w:rPr>
        <w:drawing>
          <wp:inline distT="0" distB="0" distL="0" distR="0" wp14:anchorId="233D3738" wp14:editId="7E7C2972">
            <wp:extent cx="3755273" cy="2657475"/>
            <wp:effectExtent l="0" t="0" r="0" b="0"/>
            <wp:docPr id="4" name="Grafik 4" descr="C:\Users\vafrey01\AppData\Local\Microsoft\Windows\INetCache\Content.Outlook\M32OFPTJ\Migration_Urbanisier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afrey01\AppData\Local\Microsoft\Windows\INetCache\Content.Outlook\M32OFPTJ\Migration_Urbanisierung.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60194" cy="2660957"/>
                    </a:xfrm>
                    <a:prstGeom prst="rect">
                      <a:avLst/>
                    </a:prstGeom>
                    <a:noFill/>
                    <a:ln>
                      <a:noFill/>
                    </a:ln>
                  </pic:spPr>
                </pic:pic>
              </a:graphicData>
            </a:graphic>
          </wp:inline>
        </w:drawing>
      </w:r>
    </w:p>
    <w:p w:rsidR="00B31865" w:rsidRDefault="00B31865" w:rsidP="00B31865">
      <w:pPr>
        <w:rPr>
          <w:sz w:val="18"/>
          <w:szCs w:val="18"/>
          <w:lang w:val="en-US"/>
        </w:rPr>
      </w:pPr>
      <w:r>
        <w:rPr>
          <w:sz w:val="18"/>
          <w:szCs w:val="18"/>
          <w:lang w:val="en-US"/>
        </w:rPr>
        <w:t>Figure S1</w:t>
      </w:r>
      <w:r w:rsidRPr="0012674F">
        <w:rPr>
          <w:sz w:val="18"/>
          <w:szCs w:val="18"/>
          <w:lang w:val="en-US"/>
        </w:rPr>
        <w:t>: Distribution of the Paracelsus 10,000 cohort (P10), Salzburg population and Austrian population regarding migration background and degree of urbanization.</w:t>
      </w:r>
    </w:p>
    <w:p w:rsidR="00B31865" w:rsidRPr="00AD5A13" w:rsidRDefault="00B31865" w:rsidP="00B31865">
      <w:pPr>
        <w:rPr>
          <w:sz w:val="18"/>
          <w:szCs w:val="18"/>
          <w:lang w:val="en-US"/>
        </w:rPr>
      </w:pPr>
    </w:p>
    <w:p w:rsidR="00B31865" w:rsidRDefault="00B31865" w:rsidP="00B31865">
      <w:pPr>
        <w:pStyle w:val="ListParagraph"/>
        <w:numPr>
          <w:ilvl w:val="0"/>
          <w:numId w:val="1"/>
        </w:numPr>
        <w:spacing w:line="256" w:lineRule="auto"/>
        <w:rPr>
          <w:sz w:val="24"/>
          <w:szCs w:val="24"/>
          <w:u w:val="single"/>
          <w:lang w:val="en-US"/>
        </w:rPr>
      </w:pPr>
      <w:r>
        <w:rPr>
          <w:sz w:val="24"/>
          <w:szCs w:val="24"/>
          <w:u w:val="single"/>
          <w:lang w:val="en-US"/>
        </w:rPr>
        <w:t>Attained Education</w:t>
      </w:r>
    </w:p>
    <w:p w:rsidR="00B31865" w:rsidRDefault="00B31865" w:rsidP="00B31865">
      <w:pPr>
        <w:rPr>
          <w:sz w:val="24"/>
          <w:szCs w:val="24"/>
          <w:lang w:val="en-US"/>
        </w:rPr>
      </w:pPr>
      <w:r>
        <w:rPr>
          <w:sz w:val="24"/>
          <w:szCs w:val="24"/>
          <w:lang w:val="en-US"/>
        </w:rPr>
        <w:t xml:space="preserve">We used reference data from the </w:t>
      </w:r>
      <w:proofErr w:type="spellStart"/>
      <w:r>
        <w:rPr>
          <w:sz w:val="24"/>
          <w:szCs w:val="24"/>
          <w:lang w:val="en-US"/>
        </w:rPr>
        <w:t>Microcensus</w:t>
      </w:r>
      <w:proofErr w:type="spellEnd"/>
      <w:r>
        <w:rPr>
          <w:sz w:val="24"/>
          <w:szCs w:val="24"/>
          <w:lang w:val="en-US"/>
        </w:rPr>
        <w:t xml:space="preserve"> and the International Standard Classification of Education (ISCED) </w:t>
      </w:r>
      <w:r>
        <w:rPr>
          <w:sz w:val="24"/>
          <w:szCs w:val="24"/>
          <w:lang w:val="en-US"/>
        </w:rPr>
        <w:fldChar w:fldCharType="begin"/>
      </w:r>
      <w:r>
        <w:rPr>
          <w:sz w:val="24"/>
          <w:szCs w:val="24"/>
          <w:lang w:val="en-US"/>
        </w:rPr>
        <w:instrText xml:space="preserve"> ADDIN EN.CITE &lt;EndNote&gt;&lt;Cite&gt;&lt;Author&gt;UNESCO&lt;/Author&gt;&lt;Year&gt;2011&lt;/Year&gt;&lt;RecNum&gt;70&lt;/RecNum&gt;&lt;DisplayText&gt;[6]&lt;/DisplayText&gt;&lt;record&gt;&lt;rec-number&gt;70&lt;/rec-number&gt;&lt;foreign-keys&gt;&lt;key app="EN" db-id="azxfp9x5xw9z5wez2tj5tssva0s259995xt5" timestamp="1608297947"&gt;70&lt;/key&gt;&lt;/foreign-keys&gt;&lt;ref-type name="Journal Article"&gt;17&lt;/ref-type&gt;&lt;contributors&gt;&lt;authors&gt;&lt;author&gt;UNESCO&lt;/author&gt;&lt;/authors&gt;&lt;/contributors&gt;&lt;titles&gt;&lt;title&gt;International Standard Classification of Education (ISCED)&lt;/title&gt;&lt;/titles&gt;&lt;dates&gt;&lt;year&gt;2011&lt;/year&gt;&lt;/dates&gt;&lt;urls&gt;&lt;/urls&gt;&lt;/record&gt;&lt;/Cite&gt;&lt;/EndNote&gt;</w:instrText>
      </w:r>
      <w:r>
        <w:rPr>
          <w:sz w:val="24"/>
          <w:szCs w:val="24"/>
          <w:lang w:val="en-US"/>
        </w:rPr>
        <w:fldChar w:fldCharType="separate"/>
      </w:r>
      <w:r>
        <w:rPr>
          <w:noProof/>
          <w:sz w:val="24"/>
          <w:szCs w:val="24"/>
          <w:lang w:val="en-US"/>
        </w:rPr>
        <w:t>[13]</w:t>
      </w:r>
      <w:r>
        <w:rPr>
          <w:sz w:val="24"/>
          <w:szCs w:val="24"/>
          <w:lang w:val="en-US"/>
        </w:rPr>
        <w:fldChar w:fldCharType="end"/>
      </w:r>
      <w:r>
        <w:rPr>
          <w:sz w:val="24"/>
          <w:szCs w:val="24"/>
          <w:lang w:val="en-US"/>
        </w:rPr>
        <w:t xml:space="preserve">. Criteria were chosen as metric for degree of education to which the Austrian education attainments were adjusted (Table 1). </w:t>
      </w:r>
    </w:p>
    <w:p w:rsidR="00B31865" w:rsidRDefault="00B31865" w:rsidP="00B31865">
      <w:pPr>
        <w:rPr>
          <w:bCs/>
          <w:iCs/>
          <w:sz w:val="24"/>
          <w:szCs w:val="24"/>
          <w:lang w:val="en-US"/>
        </w:rPr>
      </w:pPr>
      <w:r>
        <w:rPr>
          <w:bCs/>
          <w:iCs/>
          <w:sz w:val="24"/>
          <w:szCs w:val="24"/>
          <w:lang w:val="en-US"/>
        </w:rPr>
        <w:t>Table 1. Assignment of possible answers in the P10 questionnaire to ISCED Level.</w:t>
      </w:r>
    </w:p>
    <w:tbl>
      <w:tblPr>
        <w:tblStyle w:val="TableGrid"/>
        <w:tblW w:w="0" w:type="auto"/>
        <w:tblLook w:val="04A0" w:firstRow="1" w:lastRow="0" w:firstColumn="1" w:lastColumn="0" w:noHBand="0" w:noVBand="1"/>
      </w:tblPr>
      <w:tblGrid>
        <w:gridCol w:w="5807"/>
        <w:gridCol w:w="3255"/>
      </w:tblGrid>
      <w:tr w:rsidR="00B31865" w:rsidRPr="00542A23" w:rsidTr="00A72457">
        <w:tc>
          <w:tcPr>
            <w:tcW w:w="5807"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b/>
                <w:sz w:val="24"/>
                <w:szCs w:val="24"/>
                <w:lang w:val="en-US"/>
              </w:rPr>
            </w:pPr>
            <w:r>
              <w:rPr>
                <w:b/>
                <w:sz w:val="24"/>
                <w:szCs w:val="24"/>
                <w:lang w:val="en-US"/>
              </w:rPr>
              <w:t>P10 Categories</w:t>
            </w:r>
          </w:p>
        </w:tc>
        <w:tc>
          <w:tcPr>
            <w:tcW w:w="3255"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b/>
                <w:sz w:val="24"/>
                <w:szCs w:val="24"/>
                <w:lang w:val="en-US"/>
              </w:rPr>
            </w:pPr>
            <w:r>
              <w:rPr>
                <w:b/>
                <w:sz w:val="24"/>
                <w:szCs w:val="24"/>
                <w:lang w:val="en-US"/>
              </w:rPr>
              <w:t>ISCED Level</w:t>
            </w:r>
          </w:p>
        </w:tc>
      </w:tr>
      <w:tr w:rsidR="00B31865" w:rsidTr="00A72457">
        <w:tc>
          <w:tcPr>
            <w:tcW w:w="5807"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sz w:val="24"/>
                <w:szCs w:val="24"/>
                <w:lang w:val="en-US"/>
              </w:rPr>
            </w:pPr>
            <w:r>
              <w:rPr>
                <w:sz w:val="24"/>
                <w:szCs w:val="24"/>
                <w:lang w:val="en-US"/>
              </w:rPr>
              <w:t>No finished education, compulsory education</w:t>
            </w:r>
          </w:p>
        </w:tc>
        <w:tc>
          <w:tcPr>
            <w:tcW w:w="3255"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sz w:val="24"/>
                <w:szCs w:val="24"/>
                <w:lang w:val="en-US"/>
              </w:rPr>
            </w:pPr>
            <w:r>
              <w:rPr>
                <w:sz w:val="24"/>
                <w:szCs w:val="24"/>
                <w:lang w:val="en-US"/>
              </w:rPr>
              <w:t>ISCED 0-2</w:t>
            </w:r>
          </w:p>
        </w:tc>
      </w:tr>
      <w:tr w:rsidR="00B31865" w:rsidTr="00A72457">
        <w:tc>
          <w:tcPr>
            <w:tcW w:w="5807"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sz w:val="24"/>
                <w:szCs w:val="24"/>
                <w:lang w:val="en-US"/>
              </w:rPr>
            </w:pPr>
            <w:r>
              <w:rPr>
                <w:sz w:val="24"/>
                <w:szCs w:val="24"/>
                <w:lang w:val="en-US"/>
              </w:rPr>
              <w:t>Apprenticeship, master of a trade, secondary school with- and without qualification for university entrance</w:t>
            </w:r>
          </w:p>
        </w:tc>
        <w:tc>
          <w:tcPr>
            <w:tcW w:w="3255"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sz w:val="24"/>
                <w:szCs w:val="24"/>
                <w:lang w:val="en-US"/>
              </w:rPr>
            </w:pPr>
            <w:r>
              <w:rPr>
                <w:sz w:val="24"/>
                <w:szCs w:val="24"/>
                <w:lang w:val="en-US"/>
              </w:rPr>
              <w:t>ISCED 3-5</w:t>
            </w:r>
          </w:p>
        </w:tc>
      </w:tr>
      <w:tr w:rsidR="00B31865" w:rsidTr="00A72457">
        <w:tc>
          <w:tcPr>
            <w:tcW w:w="5807"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sz w:val="24"/>
                <w:szCs w:val="24"/>
                <w:lang w:val="en-US"/>
              </w:rPr>
            </w:pPr>
            <w:r>
              <w:rPr>
                <w:sz w:val="24"/>
                <w:szCs w:val="24"/>
                <w:lang w:val="en-US"/>
              </w:rPr>
              <w:t>University, technical college</w:t>
            </w:r>
          </w:p>
        </w:tc>
        <w:tc>
          <w:tcPr>
            <w:tcW w:w="3255" w:type="dxa"/>
            <w:tcBorders>
              <w:top w:val="single" w:sz="4" w:space="0" w:color="auto"/>
              <w:left w:val="single" w:sz="4" w:space="0" w:color="auto"/>
              <w:bottom w:val="single" w:sz="4" w:space="0" w:color="auto"/>
              <w:right w:val="single" w:sz="4" w:space="0" w:color="auto"/>
            </w:tcBorders>
            <w:hideMark/>
          </w:tcPr>
          <w:p w:rsidR="00B31865" w:rsidRDefault="00B31865" w:rsidP="00A72457">
            <w:pPr>
              <w:rPr>
                <w:sz w:val="24"/>
                <w:szCs w:val="24"/>
                <w:lang w:val="en-US"/>
              </w:rPr>
            </w:pPr>
            <w:r>
              <w:rPr>
                <w:sz w:val="24"/>
                <w:szCs w:val="24"/>
                <w:lang w:val="en-US"/>
              </w:rPr>
              <w:t>ISCED 6-8</w:t>
            </w:r>
          </w:p>
        </w:tc>
      </w:tr>
    </w:tbl>
    <w:p w:rsidR="00B31865" w:rsidRDefault="00B31865" w:rsidP="00B31865">
      <w:pPr>
        <w:rPr>
          <w:sz w:val="24"/>
          <w:szCs w:val="24"/>
          <w:u w:val="single"/>
          <w:lang w:val="en-US"/>
        </w:rPr>
      </w:pPr>
    </w:p>
    <w:p w:rsidR="00B31865" w:rsidRPr="00FB267B" w:rsidRDefault="00B31865" w:rsidP="00B31865">
      <w:pPr>
        <w:rPr>
          <w:sz w:val="24"/>
          <w:szCs w:val="24"/>
          <w:lang w:val="en-US"/>
        </w:rPr>
      </w:pPr>
      <w:r w:rsidRPr="00DC166E">
        <w:rPr>
          <w:noProof/>
          <w:sz w:val="24"/>
          <w:szCs w:val="24"/>
          <w:lang w:val="en-US"/>
        </w:rPr>
        <w:lastRenderedPageBreak/>
        <w:drawing>
          <wp:inline distT="0" distB="0" distL="0" distR="0" wp14:anchorId="7C4EECE7" wp14:editId="7AE348BC">
            <wp:extent cx="4191000" cy="2965823"/>
            <wp:effectExtent l="0" t="0" r="0" b="6350"/>
            <wp:docPr id="5" name="Grafik 5" descr="C:\Users\vafrey01\AppData\Local\Microsoft\Windows\INetCache\Content.Outlook\M32OFPTJ\Bildung_ISCED_Urbanisier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afrey01\AppData\Local\Microsoft\Windows\INetCache\Content.Outlook\M32OFPTJ\Bildung_ISCED_Urbanisierung.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97372" cy="2970333"/>
                    </a:xfrm>
                    <a:prstGeom prst="rect">
                      <a:avLst/>
                    </a:prstGeom>
                    <a:noFill/>
                    <a:ln>
                      <a:noFill/>
                    </a:ln>
                  </pic:spPr>
                </pic:pic>
              </a:graphicData>
            </a:graphic>
          </wp:inline>
        </w:drawing>
      </w:r>
    </w:p>
    <w:p w:rsidR="00B31865" w:rsidRPr="00FB267B" w:rsidRDefault="00B31865" w:rsidP="00B31865">
      <w:pPr>
        <w:rPr>
          <w:sz w:val="18"/>
          <w:szCs w:val="18"/>
          <w:lang w:val="en-US"/>
        </w:rPr>
      </w:pPr>
      <w:r>
        <w:rPr>
          <w:sz w:val="18"/>
          <w:szCs w:val="18"/>
          <w:lang w:val="en-US"/>
        </w:rPr>
        <w:t>Fig.S2</w:t>
      </w:r>
      <w:r w:rsidRPr="00FB267B">
        <w:rPr>
          <w:sz w:val="18"/>
          <w:szCs w:val="18"/>
          <w:lang w:val="en-US"/>
        </w:rPr>
        <w:t>:</w:t>
      </w:r>
      <w:r w:rsidRPr="00FB267B">
        <w:rPr>
          <w:sz w:val="24"/>
          <w:szCs w:val="24"/>
          <w:lang w:val="en-US"/>
        </w:rPr>
        <w:t xml:space="preserve"> </w:t>
      </w:r>
      <w:r>
        <w:rPr>
          <w:sz w:val="18"/>
          <w:szCs w:val="18"/>
          <w:lang w:val="en-US"/>
        </w:rPr>
        <w:t xml:space="preserve">Distribution of education in the Paracelsus 10,000 cohort (P10), the Salzburg population and the Austrian population. ISCED= International Standard Classification of Education. Data is split up in urbanization degrees. </w:t>
      </w:r>
    </w:p>
    <w:p w:rsidR="00B31865" w:rsidRDefault="00B31865" w:rsidP="00B31865">
      <w:pPr>
        <w:rPr>
          <w:sz w:val="24"/>
          <w:szCs w:val="24"/>
          <w:u w:val="single"/>
          <w:lang w:val="en-US"/>
        </w:rPr>
      </w:pPr>
    </w:p>
    <w:p w:rsidR="00B31865" w:rsidRDefault="00B31865" w:rsidP="00B31865">
      <w:pPr>
        <w:pStyle w:val="ListParagraph"/>
        <w:numPr>
          <w:ilvl w:val="0"/>
          <w:numId w:val="1"/>
        </w:numPr>
        <w:spacing w:line="256" w:lineRule="auto"/>
        <w:rPr>
          <w:sz w:val="24"/>
          <w:szCs w:val="24"/>
          <w:u w:val="single"/>
          <w:lang w:val="en-US"/>
        </w:rPr>
      </w:pPr>
      <w:r>
        <w:rPr>
          <w:sz w:val="24"/>
          <w:szCs w:val="24"/>
          <w:u w:val="single"/>
          <w:lang w:val="en-US"/>
        </w:rPr>
        <w:t>Type of Employment</w:t>
      </w:r>
    </w:p>
    <w:p w:rsidR="00B31865" w:rsidRDefault="00B31865" w:rsidP="00B31865">
      <w:pPr>
        <w:rPr>
          <w:sz w:val="24"/>
          <w:szCs w:val="24"/>
          <w:lang w:val="en-US"/>
        </w:rPr>
      </w:pPr>
      <w:r>
        <w:rPr>
          <w:sz w:val="24"/>
          <w:szCs w:val="24"/>
          <w:lang w:val="en-US"/>
        </w:rPr>
        <w:t xml:space="preserve">We used reference data from the </w:t>
      </w:r>
      <w:proofErr w:type="spellStart"/>
      <w:r>
        <w:rPr>
          <w:sz w:val="24"/>
          <w:szCs w:val="24"/>
          <w:lang w:val="en-US"/>
        </w:rPr>
        <w:t>Microcensus</w:t>
      </w:r>
      <w:proofErr w:type="spellEnd"/>
      <w:r>
        <w:rPr>
          <w:sz w:val="24"/>
          <w:szCs w:val="24"/>
          <w:lang w:val="en-US"/>
        </w:rPr>
        <w:t xml:space="preserve"> while only the displayed types of employment were included. Family workers, unemployed and retired participants were excluded from the reference data to provide a valid comparison. The P10 cohort however was asked for the type of employment of the last engagement, including unemployed or retired participants. </w:t>
      </w:r>
    </w:p>
    <w:p w:rsidR="00B31865" w:rsidRDefault="00B31865" w:rsidP="00B31865">
      <w:pPr>
        <w:rPr>
          <w:sz w:val="24"/>
          <w:szCs w:val="24"/>
          <w:lang w:val="en-US"/>
        </w:rPr>
      </w:pPr>
      <w:r w:rsidRPr="00DC166E">
        <w:rPr>
          <w:noProof/>
          <w:sz w:val="24"/>
          <w:szCs w:val="24"/>
          <w:lang w:val="en-US"/>
        </w:rPr>
        <w:drawing>
          <wp:inline distT="0" distB="0" distL="0" distR="0" wp14:anchorId="7C6A4702" wp14:editId="14331B87">
            <wp:extent cx="4305300" cy="3046709"/>
            <wp:effectExtent l="0" t="0" r="0" b="1905"/>
            <wp:docPr id="8" name="Grafik 8" descr="C:\Users\vafrey01\AppData\Local\Microsoft\Windows\INetCache\Content.Outlook\M32OFPTJ\Arbeit_Urbanisieru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afrey01\AppData\Local\Microsoft\Windows\INetCache\Content.Outlook\M32OFPTJ\Arbeit_Urbanisierung.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09103" cy="3049401"/>
                    </a:xfrm>
                    <a:prstGeom prst="rect">
                      <a:avLst/>
                    </a:prstGeom>
                    <a:noFill/>
                    <a:ln>
                      <a:noFill/>
                    </a:ln>
                  </pic:spPr>
                </pic:pic>
              </a:graphicData>
            </a:graphic>
          </wp:inline>
        </w:drawing>
      </w:r>
    </w:p>
    <w:p w:rsidR="00B31865" w:rsidRDefault="00B31865" w:rsidP="00B31865">
      <w:pPr>
        <w:rPr>
          <w:sz w:val="18"/>
          <w:szCs w:val="18"/>
          <w:lang w:val="en-US"/>
        </w:rPr>
      </w:pPr>
      <w:r>
        <w:rPr>
          <w:sz w:val="18"/>
          <w:szCs w:val="18"/>
          <w:lang w:val="en-US"/>
        </w:rPr>
        <w:t>Fig.S3</w:t>
      </w:r>
      <w:r w:rsidRPr="0053486B">
        <w:rPr>
          <w:sz w:val="18"/>
          <w:szCs w:val="18"/>
          <w:lang w:val="en-US"/>
        </w:rPr>
        <w:t>:</w:t>
      </w:r>
      <w:r>
        <w:rPr>
          <w:sz w:val="24"/>
          <w:szCs w:val="24"/>
          <w:lang w:val="en-US"/>
        </w:rPr>
        <w:t xml:space="preserve"> </w:t>
      </w:r>
      <w:r>
        <w:rPr>
          <w:sz w:val="18"/>
          <w:szCs w:val="18"/>
          <w:lang w:val="en-US"/>
        </w:rPr>
        <w:t xml:space="preserve"> Distribution of employment in the Paracelsus 10,000 cohort (P10), the Salzburg population and the Austrian population split up in different urbanization degrees. </w:t>
      </w:r>
    </w:p>
    <w:p w:rsidR="00B31865" w:rsidRDefault="00B31865" w:rsidP="00B31865">
      <w:pPr>
        <w:rPr>
          <w:sz w:val="24"/>
          <w:szCs w:val="24"/>
          <w:lang w:val="en-US"/>
        </w:rPr>
      </w:pPr>
    </w:p>
    <w:p w:rsidR="00B31865" w:rsidRPr="00B8284F" w:rsidRDefault="00B31865" w:rsidP="00B31865">
      <w:pPr>
        <w:pStyle w:val="ListParagraph"/>
        <w:numPr>
          <w:ilvl w:val="0"/>
          <w:numId w:val="1"/>
        </w:numPr>
        <w:rPr>
          <w:sz w:val="24"/>
          <w:szCs w:val="24"/>
          <w:lang w:val="en-US"/>
        </w:rPr>
      </w:pPr>
      <w:r w:rsidRPr="00B8284F">
        <w:rPr>
          <w:sz w:val="24"/>
          <w:szCs w:val="24"/>
          <w:u w:val="single"/>
          <w:lang w:val="en-US"/>
        </w:rPr>
        <w:lastRenderedPageBreak/>
        <w:t>Smoking</w:t>
      </w:r>
    </w:p>
    <w:p w:rsidR="00B31865" w:rsidRDefault="00B31865" w:rsidP="00B31865">
      <w:pPr>
        <w:jc w:val="both"/>
        <w:rPr>
          <w:bCs/>
          <w:sz w:val="24"/>
          <w:szCs w:val="24"/>
          <w:lang w:val="en-US"/>
        </w:rPr>
      </w:pPr>
      <w:r>
        <w:rPr>
          <w:sz w:val="24"/>
          <w:szCs w:val="24"/>
          <w:lang w:val="en-US"/>
        </w:rPr>
        <w:t>Reference data was taken from the ATHIS, while we considered people as smokers if they reported current cigarette use, irrespective of the amount and regularity. Ex- Smokers are people who used to smoke cigarettes on a regular basis in the past but do not currently smoke at all. Never smokers are people who never regularly smoked cigarettes.</w:t>
      </w:r>
    </w:p>
    <w:p w:rsidR="00B31865" w:rsidRDefault="00B31865" w:rsidP="00B31865">
      <w:pPr>
        <w:jc w:val="both"/>
        <w:rPr>
          <w:sz w:val="24"/>
          <w:szCs w:val="24"/>
          <w:lang w:val="en-US"/>
        </w:rPr>
      </w:pPr>
    </w:p>
    <w:p w:rsidR="00B31865" w:rsidRPr="00B8284F" w:rsidRDefault="00B31865" w:rsidP="00B31865">
      <w:pPr>
        <w:pStyle w:val="ListParagraph"/>
        <w:numPr>
          <w:ilvl w:val="0"/>
          <w:numId w:val="1"/>
        </w:numPr>
        <w:spacing w:line="256" w:lineRule="auto"/>
        <w:rPr>
          <w:sz w:val="24"/>
          <w:szCs w:val="24"/>
          <w:u w:val="single"/>
          <w:lang w:val="en-US"/>
        </w:rPr>
      </w:pPr>
      <w:r w:rsidRPr="00B8284F">
        <w:rPr>
          <w:sz w:val="24"/>
          <w:szCs w:val="24"/>
          <w:u w:val="single"/>
          <w:lang w:val="en-US"/>
        </w:rPr>
        <w:t>Physical Activity</w:t>
      </w:r>
    </w:p>
    <w:p w:rsidR="00B31865" w:rsidRDefault="00B31865" w:rsidP="00B31865">
      <w:pPr>
        <w:jc w:val="both"/>
        <w:rPr>
          <w:sz w:val="24"/>
          <w:szCs w:val="24"/>
          <w:lang w:val="en-US"/>
        </w:rPr>
      </w:pPr>
      <w:r>
        <w:rPr>
          <w:sz w:val="24"/>
          <w:szCs w:val="24"/>
          <w:lang w:val="en-US"/>
        </w:rPr>
        <w:t xml:space="preserve">We compared the average minutes per week of moderate to vigorous exercise not related to transportation or work of our cohort and the Austrian population. Reference data was obtained from the ATHIS dataset containing the total number of minutes spent exercising in ones’ free time during a typical week. The data of the P10 cohort was extracted from two questions of the IPAQ, one on moderate and one on vigorous physical activity. We multiplied the number of days with hours/minutes per day spent with moderate or vigorous physical activity in ones’ free time in the last 7 days. Data of moderate and vigorous activity were then added up. For this analysis our sample size was smaller and age range was limited to 50-59 years, since only subjects participating in the extended program answered the IPAQ. </w:t>
      </w:r>
    </w:p>
    <w:p w:rsidR="00B31865" w:rsidRDefault="00B31865" w:rsidP="00B31865">
      <w:pPr>
        <w:rPr>
          <w:sz w:val="24"/>
          <w:szCs w:val="24"/>
          <w:lang w:val="en-US"/>
        </w:rPr>
      </w:pPr>
    </w:p>
    <w:p w:rsidR="00B31865" w:rsidRDefault="00B31865" w:rsidP="00B31865">
      <w:pPr>
        <w:rPr>
          <w:sz w:val="24"/>
          <w:szCs w:val="24"/>
          <w:lang w:val="en-US"/>
        </w:rPr>
      </w:pPr>
    </w:p>
    <w:p w:rsidR="00B31865" w:rsidRDefault="00B31865" w:rsidP="00B31865">
      <w:pPr>
        <w:rPr>
          <w:b/>
          <w:sz w:val="24"/>
          <w:szCs w:val="24"/>
          <w:lang w:val="en-US"/>
        </w:rPr>
      </w:pPr>
      <w:r>
        <w:rPr>
          <w:b/>
          <w:sz w:val="24"/>
          <w:szCs w:val="24"/>
          <w:lang w:val="en-US"/>
        </w:rPr>
        <w:t>Literature supplementary material:</w:t>
      </w:r>
    </w:p>
    <w:p w:rsidR="00B31865" w:rsidRDefault="00B31865" w:rsidP="00B31865">
      <w:pPr>
        <w:rPr>
          <w:sz w:val="24"/>
          <w:szCs w:val="24"/>
          <w:lang w:val="en-US"/>
        </w:rPr>
      </w:pPr>
    </w:p>
    <w:p w:rsidR="00B31865" w:rsidRDefault="00B31865" w:rsidP="00B31865">
      <w:pPr>
        <w:pStyle w:val="EndNoteBibliography"/>
        <w:spacing w:after="0"/>
        <w:ind w:left="720" w:hanging="720"/>
        <w:rPr>
          <w:rFonts w:ascii="Calibri" w:hAnsi="Calibri" w:cs="Calibri"/>
          <w:szCs w:val="24"/>
        </w:rPr>
      </w:pPr>
    </w:p>
    <w:p w:rsidR="00B31865" w:rsidRDefault="00B31865" w:rsidP="00B31865">
      <w:pPr>
        <w:pStyle w:val="EndNoteBibliography"/>
        <w:numPr>
          <w:ilvl w:val="0"/>
          <w:numId w:val="2"/>
        </w:numPr>
        <w:spacing w:after="0"/>
        <w:rPr>
          <w:rFonts w:ascii="Calibri" w:hAnsi="Calibri" w:cs="Calibri"/>
          <w:szCs w:val="24"/>
        </w:rPr>
      </w:pPr>
      <w:r w:rsidRPr="00A60350">
        <w:rPr>
          <w:rFonts w:ascii="Calibri" w:hAnsi="Calibri" w:cs="Calibri"/>
          <w:szCs w:val="24"/>
          <w:lang w:val="de-DE"/>
        </w:rPr>
        <w:t xml:space="preserve">Bundesanstalt Statistik, Austria, Guglgasse 13, 1110 Vienna. </w:t>
      </w:r>
      <w:r>
        <w:rPr>
          <w:rFonts w:ascii="Calibri" w:hAnsi="Calibri" w:cs="Calibri"/>
          <w:szCs w:val="24"/>
        </w:rPr>
        <w:t xml:space="preserve">Website: </w:t>
      </w:r>
      <w:hyperlink r:id="rId8" w:history="1">
        <w:r w:rsidRPr="00F1309E">
          <w:rPr>
            <w:rStyle w:val="Hyperlink"/>
            <w:rFonts w:ascii="Calibri" w:hAnsi="Calibri" w:cs="Calibri"/>
            <w:szCs w:val="24"/>
          </w:rPr>
          <w:t>http://www.statistik.at/web_en/statistics/index.html</w:t>
        </w:r>
      </w:hyperlink>
    </w:p>
    <w:p w:rsidR="00B31865" w:rsidRDefault="00B31865" w:rsidP="00B31865">
      <w:pPr>
        <w:pStyle w:val="EndNoteBibliography"/>
        <w:numPr>
          <w:ilvl w:val="0"/>
          <w:numId w:val="2"/>
        </w:numPr>
        <w:spacing w:after="0"/>
        <w:rPr>
          <w:rFonts w:ascii="Calibri" w:hAnsi="Calibri" w:cs="Calibri"/>
          <w:szCs w:val="24"/>
        </w:rPr>
      </w:pPr>
      <w:r>
        <w:rPr>
          <w:rFonts w:ascii="Calibri" w:hAnsi="Calibri" w:cs="Calibri"/>
          <w:szCs w:val="24"/>
        </w:rPr>
        <w:t xml:space="preserve">Statistik Austria. (2017). </w:t>
      </w:r>
      <w:r w:rsidRPr="00C20F62">
        <w:rPr>
          <w:rFonts w:ascii="Calibri" w:hAnsi="Calibri" w:cs="Calibri"/>
          <w:i/>
          <w:szCs w:val="24"/>
        </w:rPr>
        <w:t>Meta i</w:t>
      </w:r>
      <w:r w:rsidRPr="00A60350">
        <w:rPr>
          <w:rFonts w:ascii="Calibri" w:hAnsi="Calibri" w:cs="Calibri"/>
          <w:i/>
          <w:szCs w:val="24"/>
        </w:rPr>
        <w:t>nformation on Quarterly Population Statistics</w:t>
      </w:r>
      <w:r>
        <w:rPr>
          <w:rFonts w:ascii="Calibri" w:hAnsi="Calibri" w:cs="Calibri"/>
          <w:szCs w:val="24"/>
        </w:rPr>
        <w:t xml:space="preserve">. Bundesanstalt Statistik, Austria, Guglgasse 13, 1110 Vienna. Retrieved from </w:t>
      </w:r>
      <w:hyperlink r:id="rId9" w:history="1">
        <w:r w:rsidRPr="00F1309E">
          <w:rPr>
            <w:rStyle w:val="Hyperlink"/>
            <w:rFonts w:ascii="Calibri" w:hAnsi="Calibri" w:cs="Calibri"/>
            <w:szCs w:val="24"/>
          </w:rPr>
          <w:t>http://www.statistik.at/wcm/idc/idcplg?IdcService=GET_PDF_FILE&amp;RevisionSelectionMethod=LatestReleased&amp;dDocName=116970</w:t>
        </w:r>
      </w:hyperlink>
    </w:p>
    <w:p w:rsidR="00B31865" w:rsidRPr="00296EF4" w:rsidRDefault="00B31865" w:rsidP="00B31865">
      <w:pPr>
        <w:pStyle w:val="EndNoteBibliography"/>
        <w:numPr>
          <w:ilvl w:val="0"/>
          <w:numId w:val="2"/>
        </w:numPr>
        <w:spacing w:after="0"/>
        <w:rPr>
          <w:rFonts w:ascii="Calibri" w:hAnsi="Calibri" w:cs="Calibri"/>
          <w:szCs w:val="24"/>
          <w:lang w:val="de-DE"/>
        </w:rPr>
      </w:pPr>
      <w:r w:rsidRPr="00A60350">
        <w:rPr>
          <w:rFonts w:ascii="Calibri" w:hAnsi="Calibri" w:cs="Calibri"/>
          <w:szCs w:val="24"/>
          <w:lang w:val="de-DE"/>
        </w:rPr>
        <w:t xml:space="preserve">Statistik Austria. (2017). </w:t>
      </w:r>
      <w:r w:rsidRPr="00A60350">
        <w:rPr>
          <w:rFonts w:ascii="Calibri" w:hAnsi="Calibri" w:cs="Calibri"/>
          <w:i/>
          <w:szCs w:val="24"/>
          <w:lang w:val="de-DE"/>
        </w:rPr>
        <w:t>Metainformation über die Quartalsweise Statistik des Bevölkerungsstandes</w:t>
      </w:r>
      <w:r w:rsidRPr="00A60350">
        <w:rPr>
          <w:rFonts w:ascii="Calibri" w:hAnsi="Calibri" w:cs="Calibri"/>
          <w:szCs w:val="24"/>
          <w:lang w:val="de-DE"/>
        </w:rPr>
        <w:t xml:space="preserve">. Bundesanstalt Statistik, Austria, Guglgasse 13, 1110 Vienna. </w:t>
      </w:r>
      <w:r w:rsidRPr="00296EF4">
        <w:rPr>
          <w:rFonts w:ascii="Calibri" w:hAnsi="Calibri" w:cs="Calibri"/>
          <w:szCs w:val="24"/>
          <w:lang w:val="de-DE"/>
        </w:rPr>
        <w:t xml:space="preserve">Retrieved from </w:t>
      </w:r>
      <w:hyperlink r:id="rId10" w:history="1">
        <w:r w:rsidRPr="00296EF4">
          <w:rPr>
            <w:rStyle w:val="Hyperlink"/>
            <w:rFonts w:ascii="Calibri" w:hAnsi="Calibri" w:cs="Calibri"/>
            <w:szCs w:val="24"/>
            <w:lang w:val="de-DE"/>
          </w:rPr>
          <w:t>http://www.statistik.at/wcm/idc/idcplg?IdcService=GET_PDF_FILE&amp;RevisionSelectionMethod=LatestReleased&amp;dDocName=029355</w:t>
        </w:r>
      </w:hyperlink>
    </w:p>
    <w:p w:rsidR="00B31865" w:rsidRDefault="00B31865" w:rsidP="00B31865">
      <w:pPr>
        <w:pStyle w:val="EndNoteBibliography"/>
        <w:numPr>
          <w:ilvl w:val="0"/>
          <w:numId w:val="2"/>
        </w:numPr>
        <w:spacing w:after="0"/>
        <w:rPr>
          <w:rFonts w:ascii="Calibri" w:hAnsi="Calibri" w:cs="Calibri"/>
          <w:szCs w:val="24"/>
        </w:rPr>
      </w:pPr>
      <w:r>
        <w:rPr>
          <w:rFonts w:ascii="Calibri" w:hAnsi="Calibri" w:cs="Calibri"/>
          <w:szCs w:val="24"/>
        </w:rPr>
        <w:t xml:space="preserve">Statistik Austria. (2020). </w:t>
      </w:r>
      <w:r w:rsidRPr="00A60350">
        <w:rPr>
          <w:rFonts w:ascii="Calibri" w:hAnsi="Calibri" w:cs="Calibri"/>
          <w:i/>
          <w:szCs w:val="24"/>
        </w:rPr>
        <w:t>Meta</w:t>
      </w:r>
      <w:r>
        <w:rPr>
          <w:rFonts w:ascii="Calibri" w:hAnsi="Calibri" w:cs="Calibri"/>
          <w:i/>
          <w:szCs w:val="24"/>
        </w:rPr>
        <w:t xml:space="preserve"> </w:t>
      </w:r>
      <w:r w:rsidRPr="00A60350">
        <w:rPr>
          <w:rFonts w:ascii="Calibri" w:hAnsi="Calibri" w:cs="Calibri"/>
          <w:i/>
          <w:szCs w:val="24"/>
        </w:rPr>
        <w:t xml:space="preserve">information on Microcensus since 2004 – Labour Force and Housing Survey. </w:t>
      </w:r>
      <w:r>
        <w:rPr>
          <w:rFonts w:ascii="Calibri" w:hAnsi="Calibri" w:cs="Calibri"/>
          <w:szCs w:val="24"/>
        </w:rPr>
        <w:t xml:space="preserve">Bundesanstalt Statistik, Austria, Guglgasse 13, 1110 Vienna. Retrieved from </w:t>
      </w:r>
      <w:hyperlink r:id="rId11" w:history="1">
        <w:r w:rsidRPr="00F1309E">
          <w:rPr>
            <w:rStyle w:val="Hyperlink"/>
            <w:rFonts w:ascii="Calibri" w:hAnsi="Calibri" w:cs="Calibri"/>
            <w:szCs w:val="24"/>
          </w:rPr>
          <w:t>http://www.statistik.at/wcm/idc/idcplg?IdcService=GET_PDF_FILE&amp;RevisionSelectionMethod=LatestReleased&amp;dDocName=117000</w:t>
        </w:r>
      </w:hyperlink>
    </w:p>
    <w:p w:rsidR="00B31865" w:rsidRPr="00296EF4" w:rsidRDefault="00B31865" w:rsidP="00B31865">
      <w:pPr>
        <w:pStyle w:val="EndNoteBibliography"/>
        <w:numPr>
          <w:ilvl w:val="0"/>
          <w:numId w:val="2"/>
        </w:numPr>
        <w:spacing w:after="0"/>
        <w:rPr>
          <w:rFonts w:ascii="Calibri" w:hAnsi="Calibri" w:cs="Calibri"/>
          <w:szCs w:val="24"/>
          <w:lang w:val="de-DE"/>
        </w:rPr>
      </w:pPr>
      <w:r w:rsidRPr="00A60350">
        <w:rPr>
          <w:rFonts w:ascii="Calibri" w:hAnsi="Calibri" w:cs="Calibri"/>
          <w:szCs w:val="24"/>
          <w:lang w:val="de-DE"/>
        </w:rPr>
        <w:t xml:space="preserve">Statistik Austria. (2020). </w:t>
      </w:r>
      <w:r w:rsidRPr="00A60350">
        <w:rPr>
          <w:rFonts w:ascii="Calibri" w:hAnsi="Calibri" w:cs="Calibri"/>
          <w:i/>
          <w:szCs w:val="24"/>
          <w:lang w:val="de-DE"/>
        </w:rPr>
        <w:t xml:space="preserve">Metainformationen zu Mikrozensus ab 2004 Arbeitskräfte- und Wohnungserhebung. </w:t>
      </w:r>
      <w:r w:rsidRPr="00A60350">
        <w:rPr>
          <w:rFonts w:ascii="Calibri" w:hAnsi="Calibri" w:cs="Calibri"/>
          <w:szCs w:val="24"/>
          <w:lang w:val="de-DE"/>
        </w:rPr>
        <w:t xml:space="preserve">Bundesanstalt Statistik, Austria, Guglgasse 13, 1110 Vienna. </w:t>
      </w:r>
      <w:r w:rsidRPr="00296EF4">
        <w:rPr>
          <w:rFonts w:ascii="Calibri" w:hAnsi="Calibri" w:cs="Calibri"/>
          <w:szCs w:val="24"/>
          <w:lang w:val="de-DE"/>
        </w:rPr>
        <w:t>Retrieved from</w:t>
      </w:r>
      <w:r w:rsidRPr="00296EF4">
        <w:rPr>
          <w:lang w:val="de-DE"/>
        </w:rPr>
        <w:t xml:space="preserve"> </w:t>
      </w:r>
      <w:hyperlink r:id="rId12" w:history="1">
        <w:r w:rsidRPr="00296EF4">
          <w:rPr>
            <w:rStyle w:val="Hyperlink"/>
            <w:rFonts w:ascii="Calibri" w:hAnsi="Calibri" w:cs="Calibri"/>
            <w:szCs w:val="24"/>
            <w:lang w:val="de-DE"/>
          </w:rPr>
          <w:t>http://www.statistik.at/wcm/idc/idcplg?IdcService=GET_PDF_FILE&amp;RevisionSelectionMethod=LatestReleased&amp;dDocName=008863</w:t>
        </w:r>
      </w:hyperlink>
    </w:p>
    <w:p w:rsidR="00B31865" w:rsidRDefault="00B31865" w:rsidP="00B31865">
      <w:pPr>
        <w:pStyle w:val="EndNoteBibliography"/>
        <w:numPr>
          <w:ilvl w:val="0"/>
          <w:numId w:val="2"/>
        </w:numPr>
        <w:spacing w:after="0"/>
        <w:rPr>
          <w:rFonts w:ascii="Calibri" w:hAnsi="Calibri" w:cs="Calibri"/>
          <w:szCs w:val="24"/>
        </w:rPr>
      </w:pPr>
      <w:r>
        <w:rPr>
          <w:rFonts w:ascii="Calibri" w:hAnsi="Calibri" w:cs="Calibri"/>
          <w:szCs w:val="24"/>
        </w:rPr>
        <w:lastRenderedPageBreak/>
        <w:t xml:space="preserve">Statistik Austria.(2016). </w:t>
      </w:r>
      <w:r>
        <w:rPr>
          <w:rFonts w:ascii="Calibri" w:hAnsi="Calibri" w:cs="Calibri"/>
          <w:i/>
          <w:szCs w:val="24"/>
        </w:rPr>
        <w:t>Meta information on Austrian Health Interview Survey 2014</w:t>
      </w:r>
      <w:r w:rsidRPr="00D71763">
        <w:rPr>
          <w:rFonts w:ascii="Calibri" w:hAnsi="Calibri" w:cs="Calibri"/>
          <w:i/>
          <w:szCs w:val="24"/>
        </w:rPr>
        <w:t xml:space="preserve">. </w:t>
      </w:r>
      <w:r>
        <w:rPr>
          <w:rFonts w:ascii="Calibri" w:hAnsi="Calibri" w:cs="Calibri"/>
          <w:szCs w:val="24"/>
        </w:rPr>
        <w:t>Bundesanstalt Statistik, Austria, Guglgasse 13, 1110 Vienna. Retrieved from</w:t>
      </w:r>
      <w:r w:rsidRPr="002302E0">
        <w:t xml:space="preserve"> </w:t>
      </w:r>
      <w:hyperlink r:id="rId13" w:history="1">
        <w:r w:rsidRPr="00F1309E">
          <w:rPr>
            <w:rStyle w:val="Hyperlink"/>
            <w:rFonts w:ascii="Calibri" w:hAnsi="Calibri" w:cs="Calibri"/>
            <w:szCs w:val="24"/>
          </w:rPr>
          <w:t>http://www.statistik.at/wcm/idc/idcplg?IdcService=GET_PDF_FILE&amp;RevisionSelectionMethod=LatestReleased&amp;dDocName=116989</w:t>
        </w:r>
      </w:hyperlink>
    </w:p>
    <w:p w:rsidR="00B31865" w:rsidRPr="00A17105" w:rsidRDefault="00B31865" w:rsidP="00B31865">
      <w:pPr>
        <w:pStyle w:val="EndNoteBibliography"/>
        <w:numPr>
          <w:ilvl w:val="0"/>
          <w:numId w:val="2"/>
        </w:numPr>
        <w:spacing w:after="0"/>
        <w:rPr>
          <w:rFonts w:ascii="Calibri" w:hAnsi="Calibri" w:cs="Calibri"/>
          <w:szCs w:val="24"/>
          <w:lang w:val="de-DE"/>
        </w:rPr>
      </w:pPr>
      <w:r w:rsidRPr="00A17105">
        <w:rPr>
          <w:rFonts w:ascii="Calibri" w:hAnsi="Calibri" w:cs="Calibri"/>
          <w:szCs w:val="24"/>
          <w:lang w:val="de-DE"/>
        </w:rPr>
        <w:t xml:space="preserve">Statistik Austria. (2016). </w:t>
      </w:r>
      <w:r w:rsidRPr="00A17105">
        <w:rPr>
          <w:rFonts w:ascii="Calibri" w:hAnsi="Calibri" w:cs="Calibri"/>
          <w:i/>
          <w:szCs w:val="24"/>
          <w:lang w:val="de-DE"/>
        </w:rPr>
        <w:t xml:space="preserve">Metainformationen zur Österreichische Gesundheitsbefragung 2014. </w:t>
      </w:r>
      <w:r w:rsidRPr="00A17105">
        <w:rPr>
          <w:rFonts w:ascii="Calibri" w:hAnsi="Calibri" w:cs="Calibri"/>
          <w:szCs w:val="24"/>
          <w:lang w:val="de-DE"/>
        </w:rPr>
        <w:t>Bundesanstalt Statistik, Austria, Guglgasse 13, 1110 Vienna. Retrieved from</w:t>
      </w:r>
      <w:r w:rsidRPr="00A17105">
        <w:rPr>
          <w:lang w:val="de-DE"/>
        </w:rPr>
        <w:t xml:space="preserve"> </w:t>
      </w:r>
      <w:r w:rsidRPr="00A17105">
        <w:rPr>
          <w:rFonts w:ascii="Calibri" w:hAnsi="Calibri" w:cs="Calibri"/>
          <w:szCs w:val="24"/>
          <w:lang w:val="de-DE"/>
        </w:rPr>
        <w:t>http://www.statistik.at/wcm/idc/idcplg?IdcService=GET_PDF_FILE&amp;RevisionSelectionMethod=LatestReleased&amp;dDocName=111025</w:t>
      </w:r>
    </w:p>
    <w:p w:rsidR="00B31865" w:rsidRDefault="00B31865" w:rsidP="00B31865">
      <w:pPr>
        <w:pStyle w:val="EndNoteBibliography"/>
        <w:spacing w:after="0"/>
        <w:ind w:left="1080" w:hanging="720"/>
      </w:pPr>
      <w:r>
        <w:rPr>
          <w:rFonts w:ascii="Calibri" w:hAnsi="Calibri" w:cs="Calibri"/>
          <w:szCs w:val="24"/>
        </w:rPr>
        <w:fldChar w:fldCharType="begin"/>
      </w:r>
      <w:r>
        <w:rPr>
          <w:szCs w:val="24"/>
        </w:rPr>
        <w:instrText xml:space="preserve"> ADDIN EN.REFLIST </w:instrText>
      </w:r>
      <w:r>
        <w:rPr>
          <w:rFonts w:ascii="Calibri" w:hAnsi="Calibri" w:cs="Calibri"/>
          <w:szCs w:val="24"/>
        </w:rPr>
        <w:fldChar w:fldCharType="separate"/>
      </w:r>
      <w:r>
        <w:t>8</w:t>
      </w:r>
      <w:r>
        <w:tab/>
        <w:t xml:space="preserve">Statistik-Austria. </w:t>
      </w:r>
      <w:r w:rsidRPr="00A60350">
        <w:rPr>
          <w:i/>
        </w:rPr>
        <w:t>STATcube – Statistical Database</w:t>
      </w:r>
      <w:r w:rsidRPr="00A60350">
        <w:t xml:space="preserve">. Bundesanstalt Statistik, Austria, Guglgasse 13, 1110 Vienna. Retrieved from </w:t>
      </w:r>
      <w:hyperlink r:id="rId14" w:history="1">
        <w:r w:rsidRPr="00A60350">
          <w:rPr>
            <w:rStyle w:val="Hyperlink"/>
          </w:rPr>
          <w:t>http://www.statistik.at/web_en/publications_services/statcube/index.html</w:t>
        </w:r>
      </w:hyperlink>
      <w:r w:rsidRPr="00A60350">
        <w:t>.</w:t>
      </w:r>
    </w:p>
    <w:p w:rsidR="00B31865" w:rsidRPr="00A60350" w:rsidRDefault="00B31865" w:rsidP="00B31865">
      <w:pPr>
        <w:pStyle w:val="EndNoteBibliography"/>
        <w:spacing w:after="0"/>
        <w:ind w:left="1080" w:hanging="720"/>
      </w:pPr>
      <w:r w:rsidRPr="00A60350">
        <w:t>9</w:t>
      </w:r>
      <w:r w:rsidRPr="00A60350">
        <w:tab/>
        <w:t xml:space="preserve">Eurostat. (2018). </w:t>
      </w:r>
      <w:r w:rsidRPr="00A60350">
        <w:rPr>
          <w:i/>
        </w:rPr>
        <w:t>Methodological manual on terrotorial typologies.</w:t>
      </w:r>
      <w:r w:rsidRPr="00A60350">
        <w:t xml:space="preserve"> Statistical Office of the European Union. Joseph Bech Building 5, rue Alphonse Weicker, 2721 Luxembourg. Retrieved from</w:t>
      </w:r>
      <w:r w:rsidRPr="006D2DD3">
        <w:t xml:space="preserve"> </w:t>
      </w:r>
      <w:r w:rsidRPr="00A60350">
        <w:t>https://ec.europa.eu/eurostat/documents/3859598/9507230/KS-GQ-18-008-EN-N.pdf/a275fd66-b56b-4ace-8666-f39754ede66b?t=1573550953000</w:t>
      </w:r>
    </w:p>
    <w:p w:rsidR="00B31865" w:rsidRPr="00A60350" w:rsidRDefault="00B31865" w:rsidP="00B31865">
      <w:pPr>
        <w:pStyle w:val="EndNoteBibliography"/>
        <w:spacing w:after="0"/>
        <w:ind w:left="1080" w:hanging="720"/>
      </w:pPr>
      <w:r w:rsidRPr="00A60350">
        <w:t>10</w:t>
      </w:r>
      <w:r w:rsidRPr="00A60350">
        <w:tab/>
        <w:t xml:space="preserve">R Core Team (2020). </w:t>
      </w:r>
      <w:r w:rsidRPr="00A60350">
        <w:rPr>
          <w:i/>
        </w:rPr>
        <w:t>R: A language and environment for statistical computing</w:t>
      </w:r>
      <w:r w:rsidRPr="00A60350">
        <w:t>. R Foundation for Statistical</w:t>
      </w:r>
    </w:p>
    <w:p w:rsidR="00B31865" w:rsidRPr="00A60350" w:rsidRDefault="00B31865" w:rsidP="00B31865">
      <w:pPr>
        <w:pStyle w:val="EndNoteBibliography"/>
        <w:spacing w:after="0"/>
        <w:ind w:left="1800" w:hanging="720"/>
      </w:pPr>
      <w:r w:rsidRPr="00A60350">
        <w:t>Computing, Vienna, Austria. URL https://www.R-project.org/.</w:t>
      </w:r>
    </w:p>
    <w:p w:rsidR="00B31865" w:rsidRPr="00A60350" w:rsidRDefault="00B31865" w:rsidP="00B31865">
      <w:pPr>
        <w:pStyle w:val="EndNoteBibliography"/>
        <w:spacing w:after="0"/>
        <w:ind w:left="1080" w:hanging="720"/>
      </w:pPr>
      <w:r w:rsidRPr="00A60350">
        <w:t>11</w:t>
      </w:r>
      <w:r w:rsidRPr="00A60350">
        <w:tab/>
        <w:t xml:space="preserve">Wickham et al., (2019). </w:t>
      </w:r>
      <w:r w:rsidRPr="00A60350">
        <w:rPr>
          <w:i/>
        </w:rPr>
        <w:t>Welcome to the tidyverse</w:t>
      </w:r>
      <w:r w:rsidRPr="00A60350">
        <w:t>. Journal of Open Source Software, 4(43), 1686,</w:t>
      </w:r>
    </w:p>
    <w:p w:rsidR="00B31865" w:rsidRPr="00A60350" w:rsidRDefault="00B31865" w:rsidP="00B31865">
      <w:pPr>
        <w:pStyle w:val="EndNoteBibliography"/>
        <w:spacing w:after="0"/>
        <w:ind w:left="1080" w:hanging="720"/>
      </w:pPr>
      <w:r w:rsidRPr="00A60350">
        <w:t xml:space="preserve"> </w:t>
      </w:r>
      <w:r>
        <w:tab/>
      </w:r>
      <w:r w:rsidRPr="00A60350">
        <w:t>https://doi.org/10.21105/joss.01686</w:t>
      </w:r>
    </w:p>
    <w:p w:rsidR="00B31865" w:rsidRPr="00C5726F" w:rsidRDefault="00B31865" w:rsidP="00B31865">
      <w:pPr>
        <w:pStyle w:val="EndNoteBibliography"/>
        <w:spacing w:after="0"/>
        <w:ind w:left="1080" w:hanging="720"/>
      </w:pPr>
      <w:r>
        <w:t>12</w:t>
      </w:r>
      <w:r>
        <w:tab/>
        <w:t xml:space="preserve">UNECE. (2020). </w:t>
      </w:r>
      <w:r>
        <w:rPr>
          <w:i/>
        </w:rPr>
        <w:t>Conference of European Statisticians. Recommendations for the 2020 Censuses of Population and Housing.</w:t>
      </w:r>
      <w:r>
        <w:t xml:space="preserve">: United Nations Economic Commission for Europe. </w:t>
      </w:r>
      <w:r w:rsidRPr="00A60350">
        <w:t xml:space="preserve">Palais des Nations. CH - 1211 Geneva 10, Switzerland. Retrieved from </w:t>
      </w:r>
      <w:hyperlink r:id="rId15" w:history="1">
        <w:r w:rsidRPr="00A60350">
          <w:rPr>
            <w:rStyle w:val="Hyperlink"/>
          </w:rPr>
          <w:t>https://unece.org/fileadmin/DAM/stats/publications/2015/ECECES41_EN.pdf</w:t>
        </w:r>
      </w:hyperlink>
      <w:r w:rsidRPr="00A60350">
        <w:t>.</w:t>
      </w:r>
    </w:p>
    <w:p w:rsidR="00B31865" w:rsidRPr="00C5726F" w:rsidRDefault="00B31865" w:rsidP="00B31865">
      <w:pPr>
        <w:pStyle w:val="EndNoteBibliography"/>
        <w:spacing w:after="0"/>
        <w:ind w:left="1080" w:hanging="720"/>
      </w:pPr>
      <w:r>
        <w:t>13</w:t>
      </w:r>
      <w:r w:rsidRPr="00C5726F">
        <w:tab/>
        <w:t xml:space="preserve">UNESCO. (2011). International Standard Classification of Education (ISCED). </w:t>
      </w:r>
    </w:p>
    <w:p w:rsidR="00B31865" w:rsidRPr="00A60350" w:rsidRDefault="00B31865" w:rsidP="00B31865">
      <w:pPr>
        <w:pStyle w:val="EndNoteBibliography"/>
        <w:spacing w:after="0"/>
        <w:ind w:left="720" w:hanging="720"/>
      </w:pPr>
      <w:r w:rsidRPr="00C5726F">
        <w:tab/>
      </w:r>
    </w:p>
    <w:p w:rsidR="00B31865" w:rsidRDefault="00B31865" w:rsidP="00B31865">
      <w:pPr>
        <w:pStyle w:val="EndNoteBibliography"/>
        <w:spacing w:after="0"/>
        <w:ind w:left="720" w:hanging="720"/>
      </w:pPr>
      <w:r w:rsidRPr="00A60350">
        <w:tab/>
      </w:r>
    </w:p>
    <w:p w:rsidR="00390883" w:rsidRDefault="00B31865" w:rsidP="00B31865">
      <w:r>
        <w:rPr>
          <w:szCs w:val="24"/>
        </w:rPr>
        <w:fldChar w:fldCharType="end"/>
      </w:r>
      <w:bookmarkStart w:id="0" w:name="_GoBack"/>
      <w:bookmarkEnd w:id="0"/>
    </w:p>
    <w:sectPr w:rsidR="00390883" w:rsidSect="001A6D85">
      <w:pgSz w:w="11910" w:h="16840"/>
      <w:pgMar w:top="1440" w:right="1267" w:bottom="1483" w:left="562" w:header="0" w:footer="128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232023"/>
    <w:multiLevelType w:val="hybridMultilevel"/>
    <w:tmpl w:val="1D1410C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F6F759D"/>
    <w:multiLevelType w:val="hybridMultilevel"/>
    <w:tmpl w:val="B7A6FC72"/>
    <w:lvl w:ilvl="0" w:tplc="94D661F6">
      <w:start w:val="1"/>
      <w:numFmt w:val="decimal"/>
      <w:lvlText w:val="%1"/>
      <w:lvlJc w:val="left"/>
      <w:pPr>
        <w:ind w:left="1080" w:hanging="72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865"/>
    <w:rsid w:val="001A6D85"/>
    <w:rsid w:val="006E330B"/>
    <w:rsid w:val="00B1111D"/>
    <w:rsid w:val="00B31865"/>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A38034-30FE-4731-BE29-961A51FB4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1865"/>
    <w:rPr>
      <w:lang w:val="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1865"/>
    <w:pPr>
      <w:ind w:left="720"/>
      <w:contextualSpacing/>
    </w:pPr>
  </w:style>
  <w:style w:type="character" w:styleId="Hyperlink">
    <w:name w:val="Hyperlink"/>
    <w:basedOn w:val="DefaultParagraphFont"/>
    <w:uiPriority w:val="99"/>
    <w:unhideWhenUsed/>
    <w:rsid w:val="00B31865"/>
    <w:rPr>
      <w:color w:val="0000FF"/>
      <w:u w:val="single"/>
    </w:rPr>
  </w:style>
  <w:style w:type="paragraph" w:customStyle="1" w:styleId="EndNoteBibliography">
    <w:name w:val="EndNote Bibliography"/>
    <w:basedOn w:val="Normal"/>
    <w:link w:val="EndNoteBibliographyZchn"/>
    <w:rsid w:val="00B31865"/>
    <w:pPr>
      <w:spacing w:line="240" w:lineRule="auto"/>
    </w:pPr>
    <w:rPr>
      <w:rFonts w:ascii="Times New Roman" w:hAnsi="Times New Roman" w:cs="Times New Roman"/>
      <w:noProof/>
      <w:sz w:val="24"/>
      <w:lang w:val="en-US"/>
    </w:rPr>
  </w:style>
  <w:style w:type="character" w:customStyle="1" w:styleId="EndNoteBibliographyZchn">
    <w:name w:val="EndNote Bibliography Zchn"/>
    <w:basedOn w:val="DefaultParagraphFont"/>
    <w:link w:val="EndNoteBibliography"/>
    <w:rsid w:val="00B31865"/>
    <w:rPr>
      <w:rFonts w:ascii="Times New Roman" w:hAnsi="Times New Roman" w:cs="Times New Roman"/>
      <w:noProof/>
      <w:sz w:val="24"/>
    </w:rPr>
  </w:style>
  <w:style w:type="table" w:styleId="TableGrid">
    <w:name w:val="Table Grid"/>
    <w:basedOn w:val="TableNormal"/>
    <w:uiPriority w:val="39"/>
    <w:rsid w:val="00B31865"/>
    <w:pPr>
      <w:spacing w:after="0" w:line="240" w:lineRule="auto"/>
    </w:pPr>
    <w:rPr>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tistik.at/web_en/statistics/index.html" TargetMode="External"/><Relationship Id="rId13" Type="http://schemas.openxmlformats.org/officeDocument/2006/relationships/hyperlink" Target="http://www.statistik.at/wcm/idc/idcplg?IdcService=GET_PDF_FILE&amp;RevisionSelectionMethod=LatestReleased&amp;dDocName=116989"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www.statistik.at/wcm/idc/idcplg?IdcService=GET_PDF_FILE&amp;RevisionSelectionMethod=LatestReleased&amp;dDocName=00886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statistik.at/wcm/idc/idcplg?IdcService=GET_PDF_FILE&amp;RevisionSelectionMethod=LatestReleased&amp;dDocName=117000" TargetMode="External"/><Relationship Id="rId5" Type="http://schemas.openxmlformats.org/officeDocument/2006/relationships/image" Target="media/image1.png"/><Relationship Id="rId15" Type="http://schemas.openxmlformats.org/officeDocument/2006/relationships/hyperlink" Target="https://unece.org/fileadmin/DAM/stats/publications/2015/ECECES41_EN.pdf" TargetMode="External"/><Relationship Id="rId10" Type="http://schemas.openxmlformats.org/officeDocument/2006/relationships/hyperlink" Target="http://www.statistik.at/wcm/idc/idcplg?IdcService=GET_PDF_FILE&amp;RevisionSelectionMethod=LatestReleased&amp;dDocName=029355" TargetMode="External"/><Relationship Id="rId4" Type="http://schemas.openxmlformats.org/officeDocument/2006/relationships/webSettings" Target="webSettings.xml"/><Relationship Id="rId9" Type="http://schemas.openxmlformats.org/officeDocument/2006/relationships/hyperlink" Target="http://www.statistik.at/wcm/idc/idcplg?IdcService=GET_PDF_FILE&amp;RevisionSelectionMethod=LatestReleased&amp;dDocName=116970" TargetMode="External"/><Relationship Id="rId14" Type="http://schemas.openxmlformats.org/officeDocument/2006/relationships/hyperlink" Target="http://www.statistik.at/web_en/publications_services/statcube/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1600</Words>
  <Characters>9121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10700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2021-08-17T14:01:00Z</dcterms:created>
  <dcterms:modified xsi:type="dcterms:W3CDTF">2021-08-17T14:01:00Z</dcterms:modified>
</cp:coreProperties>
</file>