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DF8E5" w14:textId="77777777" w:rsidR="0074515A" w:rsidRPr="00A11A6D" w:rsidRDefault="0074515A" w:rsidP="0074515A">
      <w:pPr>
        <w:keepNext/>
        <w:keepLines/>
        <w:spacing w:before="40"/>
        <w:ind w:left="-142"/>
        <w:outlineLvl w:val="1"/>
        <w:rPr>
          <w:rFonts w:ascii="Calibri Light" w:hAnsi="Calibri Light" w:cs="Calibri Light"/>
          <w:sz w:val="32"/>
          <w:szCs w:val="32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6CFCD732" wp14:editId="3AD88716">
            <wp:simplePos x="0" y="0"/>
            <wp:positionH relativeFrom="column">
              <wp:posOffset>-471170</wp:posOffset>
            </wp:positionH>
            <wp:positionV relativeFrom="page">
              <wp:posOffset>1420909</wp:posOffset>
            </wp:positionV>
            <wp:extent cx="6671945" cy="4916170"/>
            <wp:effectExtent l="0" t="0" r="0" b="0"/>
            <wp:wrapTopAndBottom/>
            <wp:docPr id="7631566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827597" name="Picture 1714827597"/>
                    <pic:cNvPicPr/>
                  </pic:nvPicPr>
                  <pic:blipFill rotWithShape="1">
                    <a:blip r:embed="rId4"/>
                    <a:srcRect l="1082" r="60725" b="49966"/>
                    <a:stretch/>
                  </pic:blipFill>
                  <pic:spPr bwMode="auto">
                    <a:xfrm>
                      <a:off x="0" y="0"/>
                      <a:ext cx="6671945" cy="4916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 Light" w:hAnsi="Calibri Light" w:cs="Calibri Light"/>
          <w:sz w:val="32"/>
          <w:szCs w:val="32"/>
        </w:rPr>
        <w:t>Supplementary Data</w:t>
      </w:r>
    </w:p>
    <w:p w14:paraId="05625458" w14:textId="77777777" w:rsidR="0074515A" w:rsidRDefault="0074515A" w:rsidP="0074515A">
      <w:pPr>
        <w:rPr>
          <w:b/>
          <w:bCs/>
          <w:color w:val="000000" w:themeColor="text1"/>
          <w:sz w:val="20"/>
          <w:szCs w:val="20"/>
        </w:rPr>
      </w:pPr>
    </w:p>
    <w:p w14:paraId="284A5DB5" w14:textId="77777777" w:rsidR="0074515A" w:rsidRDefault="0074515A" w:rsidP="0074515A">
      <w:pPr>
        <w:rPr>
          <w:color w:val="000000" w:themeColor="text1"/>
          <w:sz w:val="20"/>
          <w:szCs w:val="20"/>
        </w:rPr>
      </w:pPr>
      <w:r w:rsidRPr="008C6575">
        <w:rPr>
          <w:b/>
          <w:bCs/>
          <w:color w:val="000000" w:themeColor="text1"/>
          <w:sz w:val="20"/>
          <w:szCs w:val="20"/>
        </w:rPr>
        <w:t>Fi</w:t>
      </w:r>
      <w:r>
        <w:rPr>
          <w:b/>
          <w:bCs/>
          <w:color w:val="000000" w:themeColor="text1"/>
          <w:sz w:val="20"/>
          <w:szCs w:val="20"/>
        </w:rPr>
        <w:t>gure S1A</w:t>
      </w:r>
      <w:r w:rsidRPr="008C6575">
        <w:rPr>
          <w:b/>
          <w:bCs/>
          <w:color w:val="000000" w:themeColor="text1"/>
          <w:sz w:val="20"/>
          <w:szCs w:val="20"/>
        </w:rPr>
        <w:t>: Pathway enrichment analysis using Gene Set Enrichment Analysis (GSEA</w:t>
      </w:r>
      <w:r w:rsidRPr="00801272">
        <w:rPr>
          <w:b/>
          <w:bCs/>
          <w:color w:val="000000" w:themeColor="text1"/>
          <w:sz w:val="20"/>
          <w:szCs w:val="20"/>
        </w:rPr>
        <w:t>) for PTSD vs TEC</w:t>
      </w:r>
      <w:r w:rsidRPr="008C6575">
        <w:rPr>
          <w:color w:val="000000" w:themeColor="text1"/>
          <w:sz w:val="20"/>
          <w:szCs w:val="20"/>
        </w:rPr>
        <w:t>. Each plot represents the enrichment profile for different group comparisons, based on ranked protein expression data from the Olink® Target 96 Neuro</w:t>
      </w:r>
      <w:r>
        <w:rPr>
          <w:color w:val="000000" w:themeColor="text1"/>
          <w:sz w:val="20"/>
          <w:szCs w:val="20"/>
        </w:rPr>
        <w:t>logy</w:t>
      </w:r>
      <w:r w:rsidRPr="008C6575">
        <w:rPr>
          <w:color w:val="000000" w:themeColor="text1"/>
          <w:sz w:val="20"/>
          <w:szCs w:val="20"/>
        </w:rPr>
        <w:t xml:space="preserve"> Panel. The x-axis displays the –log₁₀(p-value), indicating statistical significance, while the y-axis shows the </w:t>
      </w:r>
      <w:r>
        <w:rPr>
          <w:color w:val="000000" w:themeColor="text1"/>
          <w:sz w:val="20"/>
          <w:szCs w:val="20"/>
        </w:rPr>
        <w:t>enriched pathway name</w:t>
      </w:r>
      <w:r w:rsidRPr="008C6575">
        <w:rPr>
          <w:color w:val="000000" w:themeColor="text1"/>
          <w:sz w:val="20"/>
          <w:szCs w:val="20"/>
        </w:rPr>
        <w:t xml:space="preserve">. </w:t>
      </w:r>
      <w:r w:rsidRPr="00A70E33">
        <w:rPr>
          <w:color w:val="000000" w:themeColor="text1"/>
          <w:sz w:val="20"/>
          <w:szCs w:val="20"/>
        </w:rPr>
        <w:t xml:space="preserve">Dashed horizontal lines represent the significance threshold at </w:t>
      </w:r>
      <w:r w:rsidRPr="008C6575">
        <w:rPr>
          <w:i/>
          <w:iCs/>
          <w:color w:val="000000" w:themeColor="text1"/>
          <w:sz w:val="20"/>
          <w:szCs w:val="20"/>
        </w:rPr>
        <w:t>p</w:t>
      </w:r>
      <w:r w:rsidRPr="00A70E33">
        <w:rPr>
          <w:color w:val="000000" w:themeColor="text1"/>
          <w:sz w:val="20"/>
          <w:szCs w:val="20"/>
        </w:rPr>
        <w:t xml:space="preserve"> = 0.05</w:t>
      </w:r>
      <w:r>
        <w:rPr>
          <w:color w:val="000000" w:themeColor="text1"/>
          <w:sz w:val="20"/>
          <w:szCs w:val="20"/>
        </w:rPr>
        <w:t xml:space="preserve"> (</w:t>
      </w:r>
      <w:r w:rsidRPr="00A70E33">
        <w:rPr>
          <w:color w:val="000000" w:themeColor="text1"/>
          <w:sz w:val="20"/>
          <w:szCs w:val="20"/>
        </w:rPr>
        <w:t>–log₁₀(</w:t>
      </w:r>
      <w:r>
        <w:rPr>
          <w:color w:val="000000" w:themeColor="text1"/>
          <w:sz w:val="20"/>
          <w:szCs w:val="20"/>
        </w:rPr>
        <w:t>0.05)</w:t>
      </w:r>
      <w:r w:rsidRPr="006444FD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= 1.3)</w:t>
      </w:r>
      <w:r w:rsidRPr="00A70E33">
        <w:rPr>
          <w:color w:val="000000" w:themeColor="text1"/>
          <w:sz w:val="20"/>
          <w:szCs w:val="20"/>
        </w:rPr>
        <w:t>.</w:t>
      </w:r>
    </w:p>
    <w:p w14:paraId="47F9A2E6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4EEB2998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2EA79678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6E4442CC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4BC377B5" w14:textId="77777777" w:rsidR="0074515A" w:rsidRDefault="0074515A" w:rsidP="0074515A">
      <w:pPr>
        <w:ind w:left="0"/>
        <w:rPr>
          <w:color w:val="000000" w:themeColor="text1"/>
          <w:sz w:val="20"/>
          <w:szCs w:val="20"/>
        </w:rPr>
      </w:pPr>
    </w:p>
    <w:p w14:paraId="24D42E4D" w14:textId="77777777" w:rsidR="0074515A" w:rsidRDefault="0074515A" w:rsidP="0074515A">
      <w:pPr>
        <w:rPr>
          <w:b/>
          <w:bCs/>
          <w:color w:val="000000" w:themeColor="text1"/>
          <w:sz w:val="20"/>
          <w:szCs w:val="20"/>
        </w:rPr>
      </w:pPr>
    </w:p>
    <w:p w14:paraId="7B0107C0" w14:textId="77777777" w:rsidR="0074515A" w:rsidRDefault="0074515A" w:rsidP="0074515A">
      <w:pPr>
        <w:rPr>
          <w:b/>
          <w:bCs/>
          <w:color w:val="000000" w:themeColor="text1"/>
          <w:sz w:val="20"/>
          <w:szCs w:val="20"/>
        </w:rPr>
      </w:pPr>
    </w:p>
    <w:p w14:paraId="71935166" w14:textId="77777777" w:rsidR="0074515A" w:rsidRDefault="0074515A" w:rsidP="0074515A">
      <w:pPr>
        <w:rPr>
          <w:color w:val="000000" w:themeColor="text1"/>
          <w:sz w:val="20"/>
          <w:szCs w:val="20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1FC31C74" wp14:editId="1B27503B">
            <wp:simplePos x="0" y="0"/>
            <wp:positionH relativeFrom="column">
              <wp:posOffset>-498475</wp:posOffset>
            </wp:positionH>
            <wp:positionV relativeFrom="page">
              <wp:posOffset>568036</wp:posOffset>
            </wp:positionV>
            <wp:extent cx="6691630" cy="5024755"/>
            <wp:effectExtent l="0" t="0" r="1270" b="4445"/>
            <wp:wrapTopAndBottom/>
            <wp:docPr id="18277578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827597" name="Picture 1714827597"/>
                    <pic:cNvPicPr/>
                  </pic:nvPicPr>
                  <pic:blipFill rotWithShape="1">
                    <a:blip r:embed="rId4"/>
                    <a:srcRect l="39158" r="23369" b="49966"/>
                    <a:stretch/>
                  </pic:blipFill>
                  <pic:spPr bwMode="auto">
                    <a:xfrm>
                      <a:off x="0" y="0"/>
                      <a:ext cx="6691630" cy="5024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C6575">
        <w:rPr>
          <w:b/>
          <w:bCs/>
          <w:color w:val="000000" w:themeColor="text1"/>
          <w:sz w:val="20"/>
          <w:szCs w:val="20"/>
        </w:rPr>
        <w:t>Fi</w:t>
      </w:r>
      <w:r>
        <w:rPr>
          <w:b/>
          <w:bCs/>
          <w:color w:val="000000" w:themeColor="text1"/>
          <w:sz w:val="20"/>
          <w:szCs w:val="20"/>
        </w:rPr>
        <w:t>gure S1B</w:t>
      </w:r>
      <w:r w:rsidRPr="008C6575">
        <w:rPr>
          <w:b/>
          <w:bCs/>
          <w:color w:val="000000" w:themeColor="text1"/>
          <w:sz w:val="20"/>
          <w:szCs w:val="20"/>
        </w:rPr>
        <w:t>: Pathway enrichment analysis using Gene Set Enrichment Analysis (GSEA</w:t>
      </w:r>
      <w:r w:rsidRPr="00801272">
        <w:rPr>
          <w:b/>
          <w:bCs/>
          <w:color w:val="000000" w:themeColor="text1"/>
          <w:sz w:val="20"/>
          <w:szCs w:val="20"/>
        </w:rPr>
        <w:t>) for PTSD</w:t>
      </w:r>
      <w:r>
        <w:rPr>
          <w:b/>
          <w:bCs/>
          <w:color w:val="000000" w:themeColor="text1"/>
          <w:sz w:val="20"/>
          <w:szCs w:val="20"/>
        </w:rPr>
        <w:t>+MCI</w:t>
      </w:r>
      <w:r w:rsidRPr="00801272">
        <w:rPr>
          <w:b/>
          <w:bCs/>
          <w:color w:val="000000" w:themeColor="text1"/>
          <w:sz w:val="20"/>
          <w:szCs w:val="20"/>
        </w:rPr>
        <w:t xml:space="preserve"> vs TEC</w:t>
      </w:r>
      <w:r>
        <w:rPr>
          <w:b/>
          <w:bCs/>
          <w:color w:val="000000" w:themeColor="text1"/>
          <w:sz w:val="20"/>
          <w:szCs w:val="20"/>
        </w:rPr>
        <w:t>+MCI</w:t>
      </w:r>
      <w:r w:rsidRPr="008C6575">
        <w:rPr>
          <w:color w:val="000000" w:themeColor="text1"/>
          <w:sz w:val="20"/>
          <w:szCs w:val="20"/>
        </w:rPr>
        <w:t>. Each plot represents the enrichment profile for different group comparisons, based on ranked protein expression data from the Olink® Target 96 Neuro</w:t>
      </w:r>
      <w:r>
        <w:rPr>
          <w:color w:val="000000" w:themeColor="text1"/>
          <w:sz w:val="20"/>
          <w:szCs w:val="20"/>
        </w:rPr>
        <w:t>logy</w:t>
      </w:r>
      <w:r w:rsidRPr="008C6575">
        <w:rPr>
          <w:color w:val="000000" w:themeColor="text1"/>
          <w:sz w:val="20"/>
          <w:szCs w:val="20"/>
        </w:rPr>
        <w:t xml:space="preserve"> Panel. The x-axis displays the –log₁₀(p-value), indicating statistical significance, while the y-axis shows the </w:t>
      </w:r>
      <w:r>
        <w:rPr>
          <w:color w:val="000000" w:themeColor="text1"/>
          <w:sz w:val="20"/>
          <w:szCs w:val="20"/>
        </w:rPr>
        <w:t>enriched pathway name</w:t>
      </w:r>
      <w:r w:rsidRPr="008C6575">
        <w:rPr>
          <w:color w:val="000000" w:themeColor="text1"/>
          <w:sz w:val="20"/>
          <w:szCs w:val="20"/>
        </w:rPr>
        <w:t xml:space="preserve">. </w:t>
      </w:r>
      <w:r w:rsidRPr="00A70E33">
        <w:rPr>
          <w:color w:val="000000" w:themeColor="text1"/>
          <w:sz w:val="20"/>
          <w:szCs w:val="20"/>
        </w:rPr>
        <w:t xml:space="preserve">Dashed horizontal lines represent the significance threshold at </w:t>
      </w:r>
      <w:r w:rsidRPr="008C6575">
        <w:rPr>
          <w:i/>
          <w:iCs/>
          <w:color w:val="000000" w:themeColor="text1"/>
          <w:sz w:val="20"/>
          <w:szCs w:val="20"/>
        </w:rPr>
        <w:t>p</w:t>
      </w:r>
      <w:r w:rsidRPr="00A70E33">
        <w:rPr>
          <w:color w:val="000000" w:themeColor="text1"/>
          <w:sz w:val="20"/>
          <w:szCs w:val="20"/>
        </w:rPr>
        <w:t xml:space="preserve"> = 0.05</w:t>
      </w:r>
      <w:r>
        <w:rPr>
          <w:color w:val="000000" w:themeColor="text1"/>
          <w:sz w:val="20"/>
          <w:szCs w:val="20"/>
        </w:rPr>
        <w:t xml:space="preserve"> (</w:t>
      </w:r>
      <w:r w:rsidRPr="00A70E33">
        <w:rPr>
          <w:color w:val="000000" w:themeColor="text1"/>
          <w:sz w:val="20"/>
          <w:szCs w:val="20"/>
        </w:rPr>
        <w:t>–log₁₀(</w:t>
      </w:r>
      <w:r>
        <w:rPr>
          <w:color w:val="000000" w:themeColor="text1"/>
          <w:sz w:val="20"/>
          <w:szCs w:val="20"/>
        </w:rPr>
        <w:t>0.05)</w:t>
      </w:r>
      <w:r w:rsidRPr="006444FD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= 1.3)</w:t>
      </w:r>
      <w:r w:rsidRPr="00A70E33">
        <w:rPr>
          <w:color w:val="000000" w:themeColor="text1"/>
          <w:sz w:val="20"/>
          <w:szCs w:val="20"/>
        </w:rPr>
        <w:t>.</w:t>
      </w:r>
    </w:p>
    <w:p w14:paraId="3BA6B19D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04F89BBF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507B9B58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31035836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685BCFE7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2543CB47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34DA2E06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31245DBE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5B2D1963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6C33E339" w14:textId="77777777" w:rsidR="0074515A" w:rsidRDefault="0074515A" w:rsidP="0074515A">
      <w:pPr>
        <w:rPr>
          <w:color w:val="000000" w:themeColor="text1"/>
          <w:sz w:val="20"/>
          <w:szCs w:val="20"/>
        </w:rPr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661312" behindDoc="0" locked="0" layoutInCell="1" allowOverlap="1" wp14:anchorId="4E3DA2DA" wp14:editId="2D9D609C">
            <wp:simplePos x="0" y="0"/>
            <wp:positionH relativeFrom="column">
              <wp:posOffset>-504190</wp:posOffset>
            </wp:positionH>
            <wp:positionV relativeFrom="page">
              <wp:posOffset>753745</wp:posOffset>
            </wp:positionV>
            <wp:extent cx="6631940" cy="5022215"/>
            <wp:effectExtent l="0" t="0" r="0" b="0"/>
            <wp:wrapTopAndBottom/>
            <wp:docPr id="171482759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827597" name="Picture 1714827597"/>
                    <pic:cNvPicPr/>
                  </pic:nvPicPr>
                  <pic:blipFill rotWithShape="1">
                    <a:blip r:embed="rId4"/>
                    <a:srcRect l="1781" t="49606" r="60790"/>
                    <a:stretch/>
                  </pic:blipFill>
                  <pic:spPr bwMode="auto">
                    <a:xfrm>
                      <a:off x="0" y="0"/>
                      <a:ext cx="6631940" cy="5022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A0F001" w14:textId="77777777" w:rsidR="0074515A" w:rsidRDefault="0074515A" w:rsidP="0074515A">
      <w:pPr>
        <w:rPr>
          <w:color w:val="000000" w:themeColor="text1"/>
          <w:sz w:val="20"/>
          <w:szCs w:val="20"/>
        </w:rPr>
      </w:pPr>
      <w:r w:rsidRPr="008C6575">
        <w:rPr>
          <w:b/>
          <w:bCs/>
          <w:color w:val="000000" w:themeColor="text1"/>
          <w:sz w:val="20"/>
          <w:szCs w:val="20"/>
        </w:rPr>
        <w:t>Fi</w:t>
      </w:r>
      <w:r>
        <w:rPr>
          <w:b/>
          <w:bCs/>
          <w:color w:val="000000" w:themeColor="text1"/>
          <w:sz w:val="20"/>
          <w:szCs w:val="20"/>
        </w:rPr>
        <w:t>gure S1C</w:t>
      </w:r>
      <w:r w:rsidRPr="008C6575">
        <w:rPr>
          <w:b/>
          <w:bCs/>
          <w:color w:val="000000" w:themeColor="text1"/>
          <w:sz w:val="20"/>
          <w:szCs w:val="20"/>
        </w:rPr>
        <w:t>: Pathway enrichment analysis using Gene Set Enrichment Analysis (GSEA</w:t>
      </w:r>
      <w:r w:rsidRPr="00801272">
        <w:rPr>
          <w:b/>
          <w:bCs/>
          <w:color w:val="000000" w:themeColor="text1"/>
          <w:sz w:val="20"/>
          <w:szCs w:val="20"/>
        </w:rPr>
        <w:t xml:space="preserve">) for </w:t>
      </w:r>
      <w:r>
        <w:rPr>
          <w:b/>
          <w:bCs/>
          <w:color w:val="000000" w:themeColor="text1"/>
          <w:sz w:val="20"/>
          <w:szCs w:val="20"/>
        </w:rPr>
        <w:t>TEC-MCI</w:t>
      </w:r>
      <w:r w:rsidRPr="00801272">
        <w:rPr>
          <w:b/>
          <w:bCs/>
          <w:color w:val="000000" w:themeColor="text1"/>
          <w:sz w:val="20"/>
          <w:szCs w:val="20"/>
        </w:rPr>
        <w:t xml:space="preserve"> vs TEC</w:t>
      </w:r>
      <w:r>
        <w:rPr>
          <w:b/>
          <w:bCs/>
          <w:color w:val="000000" w:themeColor="text1"/>
          <w:sz w:val="20"/>
          <w:szCs w:val="20"/>
        </w:rPr>
        <w:t>+MCI</w:t>
      </w:r>
      <w:r w:rsidRPr="008C6575">
        <w:rPr>
          <w:color w:val="000000" w:themeColor="text1"/>
          <w:sz w:val="20"/>
          <w:szCs w:val="20"/>
        </w:rPr>
        <w:t>. Each plot represents the enrichment profile for different group comparisons, based on ranked protein expression data from the Olink® Target 96 Neuro</w:t>
      </w:r>
      <w:r>
        <w:rPr>
          <w:color w:val="000000" w:themeColor="text1"/>
          <w:sz w:val="20"/>
          <w:szCs w:val="20"/>
        </w:rPr>
        <w:t>logy</w:t>
      </w:r>
      <w:r w:rsidRPr="008C6575">
        <w:rPr>
          <w:color w:val="000000" w:themeColor="text1"/>
          <w:sz w:val="20"/>
          <w:szCs w:val="20"/>
        </w:rPr>
        <w:t xml:space="preserve"> Panel. The x-axis displays the –log₁₀(p-value), indicating statistical significance, while the y-axis shows the </w:t>
      </w:r>
      <w:r>
        <w:rPr>
          <w:color w:val="000000" w:themeColor="text1"/>
          <w:sz w:val="20"/>
          <w:szCs w:val="20"/>
        </w:rPr>
        <w:t>enriched pathway name</w:t>
      </w:r>
      <w:r w:rsidRPr="008C6575">
        <w:rPr>
          <w:color w:val="000000" w:themeColor="text1"/>
          <w:sz w:val="20"/>
          <w:szCs w:val="20"/>
        </w:rPr>
        <w:t xml:space="preserve">. </w:t>
      </w:r>
      <w:r w:rsidRPr="00A70E33">
        <w:rPr>
          <w:color w:val="000000" w:themeColor="text1"/>
          <w:sz w:val="20"/>
          <w:szCs w:val="20"/>
        </w:rPr>
        <w:t xml:space="preserve">Dashed horizontal lines represent the significance threshold at </w:t>
      </w:r>
      <w:r w:rsidRPr="008C6575">
        <w:rPr>
          <w:i/>
          <w:iCs/>
          <w:color w:val="000000" w:themeColor="text1"/>
          <w:sz w:val="20"/>
          <w:szCs w:val="20"/>
        </w:rPr>
        <w:t>p</w:t>
      </w:r>
      <w:r w:rsidRPr="00A70E33">
        <w:rPr>
          <w:color w:val="000000" w:themeColor="text1"/>
          <w:sz w:val="20"/>
          <w:szCs w:val="20"/>
        </w:rPr>
        <w:t xml:space="preserve"> = 0.05</w:t>
      </w:r>
      <w:r>
        <w:rPr>
          <w:color w:val="000000" w:themeColor="text1"/>
          <w:sz w:val="20"/>
          <w:szCs w:val="20"/>
        </w:rPr>
        <w:t xml:space="preserve"> (</w:t>
      </w:r>
      <w:r w:rsidRPr="00A70E33">
        <w:rPr>
          <w:color w:val="000000" w:themeColor="text1"/>
          <w:sz w:val="20"/>
          <w:szCs w:val="20"/>
        </w:rPr>
        <w:t>–log₁₀(</w:t>
      </w:r>
      <w:r>
        <w:rPr>
          <w:color w:val="000000" w:themeColor="text1"/>
          <w:sz w:val="20"/>
          <w:szCs w:val="20"/>
        </w:rPr>
        <w:t>0.05)</w:t>
      </w:r>
      <w:r w:rsidRPr="006444FD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= 1.3)</w:t>
      </w:r>
      <w:r w:rsidRPr="00A70E33">
        <w:rPr>
          <w:color w:val="000000" w:themeColor="text1"/>
          <w:sz w:val="20"/>
          <w:szCs w:val="20"/>
        </w:rPr>
        <w:t>.</w:t>
      </w:r>
    </w:p>
    <w:p w14:paraId="4224183A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7DC235F1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1E9C6CB1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72028BCD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66BA3EF1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120D8CFA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2CE61C1A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12D0DDA7" w14:textId="77777777" w:rsidR="0074515A" w:rsidRDefault="0074515A" w:rsidP="0074515A">
      <w:pPr>
        <w:rPr>
          <w:color w:val="000000" w:themeColor="text1"/>
          <w:sz w:val="20"/>
          <w:szCs w:val="20"/>
        </w:rPr>
      </w:pPr>
    </w:p>
    <w:p w14:paraId="71D3F8BA" w14:textId="77777777" w:rsidR="0074515A" w:rsidRDefault="0074515A" w:rsidP="0074515A">
      <w:pPr>
        <w:rPr>
          <w:color w:val="000000" w:themeColor="text1"/>
          <w:sz w:val="20"/>
          <w:szCs w:val="20"/>
        </w:rPr>
      </w:pPr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662336" behindDoc="0" locked="0" layoutInCell="1" allowOverlap="1" wp14:anchorId="09900B3B" wp14:editId="760B7FA4">
            <wp:simplePos x="0" y="0"/>
            <wp:positionH relativeFrom="column">
              <wp:posOffset>-457200</wp:posOffset>
            </wp:positionH>
            <wp:positionV relativeFrom="page">
              <wp:posOffset>608330</wp:posOffset>
            </wp:positionV>
            <wp:extent cx="6537960" cy="5020310"/>
            <wp:effectExtent l="0" t="0" r="2540" b="0"/>
            <wp:wrapTopAndBottom/>
            <wp:docPr id="20536915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827597" name="Picture 1714827597"/>
                    <pic:cNvPicPr/>
                  </pic:nvPicPr>
                  <pic:blipFill rotWithShape="1">
                    <a:blip r:embed="rId4"/>
                    <a:srcRect l="39487" t="49606" r="23605"/>
                    <a:stretch/>
                  </pic:blipFill>
                  <pic:spPr bwMode="auto">
                    <a:xfrm>
                      <a:off x="0" y="0"/>
                      <a:ext cx="6537960" cy="5020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F9E616" w14:textId="77777777" w:rsidR="0074515A" w:rsidRDefault="0074515A" w:rsidP="0074515A">
      <w:r w:rsidRPr="008C6575">
        <w:rPr>
          <w:b/>
          <w:bCs/>
          <w:color w:val="000000" w:themeColor="text1"/>
          <w:sz w:val="20"/>
          <w:szCs w:val="20"/>
        </w:rPr>
        <w:t>Fi</w:t>
      </w:r>
      <w:r>
        <w:rPr>
          <w:b/>
          <w:bCs/>
          <w:color w:val="000000" w:themeColor="text1"/>
          <w:sz w:val="20"/>
          <w:szCs w:val="20"/>
        </w:rPr>
        <w:t>gure S1D</w:t>
      </w:r>
      <w:r w:rsidRPr="008C6575">
        <w:rPr>
          <w:b/>
          <w:bCs/>
          <w:color w:val="000000" w:themeColor="text1"/>
          <w:sz w:val="20"/>
          <w:szCs w:val="20"/>
        </w:rPr>
        <w:t>: Pathway enrichment analysis using Gene Set Enrichment Analysis (GSEA</w:t>
      </w:r>
      <w:r w:rsidRPr="00801272">
        <w:rPr>
          <w:b/>
          <w:bCs/>
          <w:color w:val="000000" w:themeColor="text1"/>
          <w:sz w:val="20"/>
          <w:szCs w:val="20"/>
        </w:rPr>
        <w:t xml:space="preserve">) for </w:t>
      </w:r>
      <w:r>
        <w:rPr>
          <w:b/>
          <w:bCs/>
          <w:color w:val="000000" w:themeColor="text1"/>
          <w:sz w:val="20"/>
          <w:szCs w:val="20"/>
        </w:rPr>
        <w:t>PTSD-MCI</w:t>
      </w:r>
      <w:r w:rsidRPr="00801272">
        <w:rPr>
          <w:b/>
          <w:bCs/>
          <w:color w:val="000000" w:themeColor="text1"/>
          <w:sz w:val="20"/>
          <w:szCs w:val="20"/>
        </w:rPr>
        <w:t xml:space="preserve"> vs </w:t>
      </w:r>
      <w:r>
        <w:rPr>
          <w:b/>
          <w:bCs/>
          <w:color w:val="000000" w:themeColor="text1"/>
          <w:sz w:val="20"/>
          <w:szCs w:val="20"/>
        </w:rPr>
        <w:t>PTSD+MCI</w:t>
      </w:r>
      <w:r w:rsidRPr="008C6575">
        <w:rPr>
          <w:color w:val="000000" w:themeColor="text1"/>
          <w:sz w:val="20"/>
          <w:szCs w:val="20"/>
        </w:rPr>
        <w:t>. Each plot represents the enrichment profile for different group comparisons, based on ranked protein expression data from the Olink® Target 96 Neuro</w:t>
      </w:r>
      <w:r>
        <w:rPr>
          <w:color w:val="000000" w:themeColor="text1"/>
          <w:sz w:val="20"/>
          <w:szCs w:val="20"/>
        </w:rPr>
        <w:t>logy</w:t>
      </w:r>
      <w:r w:rsidRPr="008C6575">
        <w:rPr>
          <w:color w:val="000000" w:themeColor="text1"/>
          <w:sz w:val="20"/>
          <w:szCs w:val="20"/>
        </w:rPr>
        <w:t xml:space="preserve"> Panel. The x-axis displays the –log₁₀(p-value), indicating statistical significance, while the y-axis shows the </w:t>
      </w:r>
      <w:r>
        <w:rPr>
          <w:color w:val="000000" w:themeColor="text1"/>
          <w:sz w:val="20"/>
          <w:szCs w:val="20"/>
        </w:rPr>
        <w:t>enriched pathway name</w:t>
      </w:r>
      <w:r w:rsidRPr="008C6575">
        <w:rPr>
          <w:color w:val="000000" w:themeColor="text1"/>
          <w:sz w:val="20"/>
          <w:szCs w:val="20"/>
        </w:rPr>
        <w:t xml:space="preserve">. </w:t>
      </w:r>
      <w:r w:rsidRPr="00A70E33">
        <w:rPr>
          <w:color w:val="000000" w:themeColor="text1"/>
          <w:sz w:val="20"/>
          <w:szCs w:val="20"/>
        </w:rPr>
        <w:t xml:space="preserve">Dashed horizontal lines represent the significance threshold at </w:t>
      </w:r>
      <w:r w:rsidRPr="008C6575">
        <w:rPr>
          <w:i/>
          <w:iCs/>
          <w:color w:val="000000" w:themeColor="text1"/>
          <w:sz w:val="20"/>
          <w:szCs w:val="20"/>
        </w:rPr>
        <w:t>p</w:t>
      </w:r>
      <w:r w:rsidRPr="00A70E33">
        <w:rPr>
          <w:color w:val="000000" w:themeColor="text1"/>
          <w:sz w:val="20"/>
          <w:szCs w:val="20"/>
        </w:rPr>
        <w:t xml:space="preserve"> = 0.05</w:t>
      </w:r>
      <w:r>
        <w:rPr>
          <w:color w:val="000000" w:themeColor="text1"/>
          <w:sz w:val="20"/>
          <w:szCs w:val="20"/>
        </w:rPr>
        <w:t xml:space="preserve"> (</w:t>
      </w:r>
      <w:r w:rsidRPr="00A70E33">
        <w:rPr>
          <w:color w:val="000000" w:themeColor="text1"/>
          <w:sz w:val="20"/>
          <w:szCs w:val="20"/>
        </w:rPr>
        <w:t>–log₁₀(</w:t>
      </w:r>
      <w:r>
        <w:rPr>
          <w:color w:val="000000" w:themeColor="text1"/>
          <w:sz w:val="20"/>
          <w:szCs w:val="20"/>
        </w:rPr>
        <w:t>0.05)</w:t>
      </w:r>
      <w:r w:rsidRPr="006444FD">
        <w:rPr>
          <w:color w:val="000000" w:themeColor="text1"/>
          <w:sz w:val="20"/>
          <w:szCs w:val="20"/>
        </w:rPr>
        <w:t xml:space="preserve"> </w:t>
      </w:r>
      <w:r>
        <w:rPr>
          <w:color w:val="000000" w:themeColor="text1"/>
          <w:sz w:val="20"/>
          <w:szCs w:val="20"/>
        </w:rPr>
        <w:t>= 1.3).</w:t>
      </w:r>
      <w:r>
        <w:rPr>
          <w:color w:val="000000" w:themeColor="text1"/>
          <w:szCs w:val="22"/>
        </w:rPr>
        <w:t xml:space="preserve"> </w:t>
      </w:r>
    </w:p>
    <w:p w14:paraId="3ED24B2E" w14:textId="77777777" w:rsidR="004E780C" w:rsidRDefault="004E780C"/>
    <w:sectPr w:rsidR="004E780C" w:rsidSect="007451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15A"/>
    <w:rsid w:val="00157C3A"/>
    <w:rsid w:val="002978F5"/>
    <w:rsid w:val="003852CF"/>
    <w:rsid w:val="004E780C"/>
    <w:rsid w:val="0074515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622B0"/>
  <w15:chartTrackingRefBased/>
  <w15:docId w15:val="{DD116F5C-A86B-4DF6-BBC6-F2EAB6E5B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515A"/>
    <w:pPr>
      <w:spacing w:after="120" w:line="360" w:lineRule="auto"/>
      <w:ind w:left="-284"/>
      <w:jc w:val="both"/>
    </w:pPr>
    <w:rPr>
      <w:rFonts w:ascii="Calibri" w:eastAsia="Calibri" w:hAnsi="Calibri" w:cs="Calibri"/>
      <w:kern w:val="0"/>
      <w:sz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4515A"/>
    <w:pPr>
      <w:keepNext/>
      <w:keepLines/>
      <w:spacing w:before="360" w:after="80" w:line="278" w:lineRule="auto"/>
      <w:ind w:left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515A"/>
    <w:pPr>
      <w:keepNext/>
      <w:keepLines/>
      <w:spacing w:before="160" w:after="80" w:line="278" w:lineRule="auto"/>
      <w:ind w:left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515A"/>
    <w:pPr>
      <w:keepNext/>
      <w:keepLines/>
      <w:spacing w:before="160" w:after="80" w:line="278" w:lineRule="auto"/>
      <w:ind w:left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515A"/>
    <w:pPr>
      <w:keepNext/>
      <w:keepLines/>
      <w:spacing w:before="80" w:after="40" w:line="278" w:lineRule="auto"/>
      <w:ind w:left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515A"/>
    <w:pPr>
      <w:keepNext/>
      <w:keepLines/>
      <w:spacing w:before="80" w:after="40" w:line="278" w:lineRule="auto"/>
      <w:ind w:left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515A"/>
    <w:pPr>
      <w:keepNext/>
      <w:keepLines/>
      <w:spacing w:before="40" w:after="0" w:line="278" w:lineRule="auto"/>
      <w:ind w:left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515A"/>
    <w:pPr>
      <w:keepNext/>
      <w:keepLines/>
      <w:spacing w:before="40" w:after="0" w:line="278" w:lineRule="auto"/>
      <w:ind w:left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515A"/>
    <w:pPr>
      <w:keepNext/>
      <w:keepLines/>
      <w:spacing w:after="0" w:line="278" w:lineRule="auto"/>
      <w:ind w:left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515A"/>
    <w:pPr>
      <w:keepNext/>
      <w:keepLines/>
      <w:spacing w:after="0" w:line="278" w:lineRule="auto"/>
      <w:ind w:left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51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51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51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51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51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51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51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51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51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515A"/>
    <w:pPr>
      <w:spacing w:after="80" w:line="240" w:lineRule="auto"/>
      <w:ind w:left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451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515A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451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515A"/>
    <w:pPr>
      <w:spacing w:before="160" w:after="160" w:line="278" w:lineRule="auto"/>
      <w:ind w:left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451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515A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451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51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51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51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2025-08-25T05:10:00Z</dcterms:created>
  <dcterms:modified xsi:type="dcterms:W3CDTF">2025-08-25T05:10:00Z</dcterms:modified>
</cp:coreProperties>
</file>