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A7F5" w14:textId="77777777" w:rsidR="00152FB0" w:rsidRPr="00AE7B07" w:rsidRDefault="00152FB0" w:rsidP="00152FB0">
      <w:pPr>
        <w:rPr>
          <w:rFonts w:eastAsia="Calibri"/>
          <w:b/>
          <w:bCs/>
          <w:color w:val="000000" w:themeColor="text1"/>
          <w:sz w:val="22"/>
          <w:szCs w:val="22"/>
        </w:rPr>
      </w:pPr>
      <w:r w:rsidRPr="00AE7B07">
        <w:rPr>
          <w:rFonts w:eastAsia="Calibri"/>
          <w:b/>
          <w:bCs/>
          <w:color w:val="000000" w:themeColor="text1"/>
          <w:sz w:val="22"/>
          <w:szCs w:val="22"/>
        </w:rPr>
        <w:t>Supplementary materials</w:t>
      </w:r>
    </w:p>
    <w:p w14:paraId="63681182" w14:textId="77777777" w:rsidR="00152FB0" w:rsidRPr="00AE7B07" w:rsidRDefault="00152FB0" w:rsidP="00152FB0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803"/>
        <w:gridCol w:w="665"/>
        <w:gridCol w:w="961"/>
        <w:gridCol w:w="591"/>
        <w:gridCol w:w="961"/>
        <w:gridCol w:w="591"/>
        <w:gridCol w:w="788"/>
      </w:tblGrid>
      <w:tr w:rsidR="00152FB0" w:rsidRPr="00AE7B07" w14:paraId="539A4D3E" w14:textId="77777777" w:rsidTr="000916DA">
        <w:trPr>
          <w:trHeight w:val="150"/>
        </w:trPr>
        <w:tc>
          <w:tcPr>
            <w:tcW w:w="93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A748836" w14:textId="77777777" w:rsidR="00152FB0" w:rsidRPr="00AE7B07" w:rsidRDefault="00152FB0" w:rsidP="000916DA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7B07">
              <w:rPr>
                <w:b/>
                <w:bCs/>
                <w:color w:val="000000" w:themeColor="text1"/>
                <w:sz w:val="20"/>
                <w:szCs w:val="20"/>
              </w:rPr>
              <w:t xml:space="preserve">Table S1. </w:t>
            </w:r>
            <w:commentRangeStart w:id="0"/>
            <w:commentRangeStart w:id="1"/>
            <w:r w:rsidRPr="00AE7B07">
              <w:rPr>
                <w:b/>
                <w:bCs/>
                <w:color w:val="000000" w:themeColor="text1"/>
                <w:sz w:val="20"/>
                <w:szCs w:val="20"/>
              </w:rPr>
              <w:t xml:space="preserve">Hospital characteristics </w:t>
            </w:r>
            <w:commentRangeEnd w:id="0"/>
            <w:r w:rsidRPr="00AE7B07">
              <w:rPr>
                <w:rStyle w:val="CommentReference"/>
                <w:rFonts w:eastAsiaTheme="minorEastAsia"/>
                <w:b/>
                <w:bCs/>
              </w:rPr>
              <w:commentReference w:id="0"/>
            </w:r>
            <w:commentRangeEnd w:id="1"/>
            <w:r w:rsidRPr="00AE7B07">
              <w:rPr>
                <w:rStyle w:val="CommentReference"/>
                <w:rFonts w:eastAsiaTheme="minorEastAsia"/>
                <w:b/>
                <w:bCs/>
              </w:rPr>
              <w:commentReference w:id="1"/>
            </w:r>
            <w:r w:rsidRPr="00AE7B07">
              <w:rPr>
                <w:b/>
                <w:bCs/>
                <w:color w:val="000000" w:themeColor="text1"/>
                <w:sz w:val="20"/>
                <w:szCs w:val="20"/>
              </w:rPr>
              <w:t>by AANHPI patient volume</w:t>
            </w:r>
          </w:p>
        </w:tc>
      </w:tr>
      <w:tr w:rsidR="00152FB0" w:rsidRPr="00B318B6" w14:paraId="065C1893" w14:textId="77777777" w:rsidTr="000916DA">
        <w:trPr>
          <w:trHeight w:val="150"/>
        </w:trPr>
        <w:tc>
          <w:tcPr>
            <w:tcW w:w="4803" w:type="dxa"/>
            <w:tcBorders>
              <w:left w:val="nil"/>
            </w:tcBorders>
            <w:tcMar>
              <w:left w:w="108" w:type="dxa"/>
              <w:right w:w="108" w:type="dxa"/>
            </w:tcMar>
          </w:tcPr>
          <w:p w14:paraId="6192244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E85BE8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High tertile</w:t>
            </w:r>
          </w:p>
        </w:tc>
        <w:tc>
          <w:tcPr>
            <w:tcW w:w="1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BEC51D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Middle tertile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40C491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Low tertile</w:t>
            </w:r>
          </w:p>
        </w:tc>
      </w:tr>
      <w:tr w:rsidR="00152FB0" w:rsidRPr="00B318B6" w14:paraId="0C77073A" w14:textId="77777777" w:rsidTr="000916DA">
        <w:trPr>
          <w:trHeight w:val="150"/>
        </w:trPr>
        <w:tc>
          <w:tcPr>
            <w:tcW w:w="4803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6277B7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3B9848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1E6DF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D6D495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A25EE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41F796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681CBE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11F2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152FB0" w:rsidRPr="00B318B6" w14:paraId="6F84A80D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4D5CEE0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0125221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89AB7F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3291054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0846C1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73348BA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41DDA80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100.0</w:t>
            </w:r>
          </w:p>
        </w:tc>
      </w:tr>
      <w:tr w:rsidR="00152FB0" w:rsidRPr="00B318B6" w14:paraId="7270BF13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4F2FF6C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7E1C0EE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1573C9F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6180F1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34073FE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52AEE9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B0ED0E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261F9D8A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6A5F2C9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AAP level 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603EA44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5E300DB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748AA62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615185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7254545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83576E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523155C0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25EB894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II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57FD5F7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2E439AA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7290539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25E331F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10.6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8011C2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7DA230A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16.7</w:t>
            </w:r>
          </w:p>
        </w:tc>
      </w:tr>
      <w:tr w:rsidR="00152FB0" w:rsidRPr="00B318B6" w14:paraId="6AA498F3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49B393E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III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093E912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053B63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63.8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66828AD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3916182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59.6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FAA52A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6431EED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66.7</w:t>
            </w:r>
          </w:p>
        </w:tc>
      </w:tr>
      <w:tr w:rsidR="00152FB0" w:rsidRPr="00B318B6" w14:paraId="045DEEF8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478CA33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IV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795ED90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6BA115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6B38A21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76AFBBA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23.4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4EBFBBD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C95A81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6.3</w:t>
            </w:r>
          </w:p>
        </w:tc>
      </w:tr>
      <w:tr w:rsidR="00152FB0" w:rsidRPr="00B318B6" w14:paraId="73CF98E4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22A5628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3DC2BFD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7346AEA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79A6960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6D588B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48E9D08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4CF1D04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2DBDC133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7E295B0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Safety Net hospital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1395696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65F9F3E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410FC4E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1502C5A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21.3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2664DCA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0670BAD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43.8</w:t>
            </w:r>
          </w:p>
        </w:tc>
      </w:tr>
      <w:tr w:rsidR="00152FB0" w:rsidRPr="00B318B6" w14:paraId="7D423F52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63A9803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Teaching hospital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78A9A5A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1F44334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66F4B1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6A14CB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3509A0C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4D6A2CB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18.8</w:t>
            </w:r>
          </w:p>
        </w:tc>
      </w:tr>
      <w:tr w:rsidR="00152FB0" w:rsidRPr="00B318B6" w14:paraId="19B0E7D3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71841AA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Urban hospital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73FE9DA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9F20F2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91.5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263CAAD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072686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91.5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401CD62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D510EC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81.3</w:t>
            </w:r>
          </w:p>
        </w:tc>
      </w:tr>
      <w:tr w:rsidR="00152FB0" w:rsidRPr="00B318B6" w14:paraId="72CC0C8C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32BA42F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2EA8229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3432C4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4305A51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A9A1C6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1541424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0397D4D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055849B7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190A40A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Hospital ownership 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395F592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19EC0B2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0F73C24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66F1476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514E29C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3EA61AA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439B0EA8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27109FF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Government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43D4855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B0C3B9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2F55DEC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C51300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21AB151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3B54E9D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14.6</w:t>
            </w:r>
          </w:p>
        </w:tc>
      </w:tr>
      <w:tr w:rsidR="00152FB0" w:rsidRPr="00B318B6" w14:paraId="66842DF7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2E8E160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Non-Profit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1BF0D47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011336E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70.2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592E818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682B0B2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70.2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5658B66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45B882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58.3</w:t>
            </w:r>
          </w:p>
        </w:tc>
      </w:tr>
      <w:tr w:rsidR="00152FB0" w:rsidRPr="00B318B6" w14:paraId="4D9FD916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77E4541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Investor-Owned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0D7ADDC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3D9A286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19.1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5E0DCC5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5265114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0A54AB4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6D3CB95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14.6</w:t>
            </w:r>
          </w:p>
        </w:tc>
      </w:tr>
      <w:tr w:rsidR="00152FB0" w:rsidRPr="00B318B6" w14:paraId="76532E56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0857F29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  Other</w:t>
            </w: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31025D47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42C13F2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0AA0137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3A173F0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28D8D87D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21F6060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8.3</w:t>
            </w:r>
          </w:p>
        </w:tc>
      </w:tr>
      <w:tr w:rsidR="00152FB0" w:rsidRPr="00B318B6" w14:paraId="6DEF2258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70257E9E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5" w:type="dxa"/>
            <w:tcMar>
              <w:left w:w="108" w:type="dxa"/>
              <w:right w:w="108" w:type="dxa"/>
            </w:tcMar>
          </w:tcPr>
          <w:p w14:paraId="69776A7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253BFC7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09516C00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dxa"/>
            <w:tcMar>
              <w:left w:w="108" w:type="dxa"/>
              <w:right w:w="108" w:type="dxa"/>
            </w:tcMar>
          </w:tcPr>
          <w:p w14:paraId="13A8FEC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dxa"/>
            <w:tcMar>
              <w:left w:w="108" w:type="dxa"/>
              <w:right w:w="108" w:type="dxa"/>
            </w:tcMar>
          </w:tcPr>
          <w:p w14:paraId="5542529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dxa"/>
            <w:tcMar>
              <w:left w:w="108" w:type="dxa"/>
              <w:right w:w="108" w:type="dxa"/>
            </w:tcMar>
          </w:tcPr>
          <w:p w14:paraId="6C68075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52FB0" w:rsidRPr="00B318B6" w14:paraId="4A15BF1C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0A05869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Annual total live births (median (IQR))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110891F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2764 (1886)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10D38A8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2078 (1395)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1E76AE9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2177 (1949)</w:t>
            </w:r>
          </w:p>
        </w:tc>
      </w:tr>
      <w:tr w:rsidR="00152FB0" w:rsidRPr="00B318B6" w14:paraId="18E77B24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3F517B9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Annual total NICU admissions (median (IQR))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33FF820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378 (282)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6C2C6AD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319 (221)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7F0C60B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284 (186)</w:t>
            </w:r>
          </w:p>
        </w:tc>
      </w:tr>
      <w:tr w:rsidR="00152FB0" w:rsidRPr="00B318B6" w14:paraId="340B5861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036BD72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Average daily NICU admissions (median (IQR)) </w:t>
            </w:r>
            <w:r w:rsidRPr="00111F2C">
              <w:rPr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5B29495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1.0 (0.8)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59F01A9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0.9 (0.6)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6B3A3B8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0.8 (0.5)</w:t>
            </w:r>
          </w:p>
        </w:tc>
      </w:tr>
      <w:tr w:rsidR="00152FB0" w:rsidRPr="00B318B6" w14:paraId="5D0C0F44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324A5815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Registered nursing hours per patient day (median (IQR))</w:t>
            </w:r>
            <w:r w:rsidRPr="00111F2C">
              <w:rPr>
                <w:color w:val="000000" w:themeColor="text1"/>
                <w:sz w:val="20"/>
                <w:szCs w:val="20"/>
                <w:vertAlign w:val="superscript"/>
              </w:rPr>
              <w:t xml:space="preserve"> 2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6921E51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15.5 (3.8)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545F47F3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14.4 (1.9)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66581AE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14.9 (5.1)</w:t>
            </w:r>
          </w:p>
        </w:tc>
      </w:tr>
      <w:tr w:rsidR="00152FB0" w:rsidRPr="00B318B6" w14:paraId="7504BA7F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32B2824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Inborn NICU admission rate (median (IQR)) </w:t>
            </w:r>
            <w:r w:rsidRPr="00111F2C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053C270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9.9 (5.7)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6FB1CD1F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11.7 (8.4)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13170418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11.5 (5.0)</w:t>
            </w:r>
          </w:p>
        </w:tc>
      </w:tr>
      <w:tr w:rsidR="00152FB0" w:rsidRPr="00B318B6" w14:paraId="0586BE68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517399A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 xml:space="preserve">% of Medi-Cal (median (IQR)) </w:t>
            </w:r>
            <w:r w:rsidRPr="00111F2C">
              <w:rPr>
                <w:color w:val="000000" w:themeColor="text1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5ADAEE7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14.0 (46.5)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1BFA3D2B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28.2 (60.7)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6A096579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55.8 (23.6)</w:t>
            </w:r>
          </w:p>
        </w:tc>
      </w:tr>
      <w:tr w:rsidR="00152FB0" w:rsidRPr="00B318B6" w14:paraId="167728E1" w14:textId="77777777" w:rsidTr="000916DA">
        <w:trPr>
          <w:trHeight w:val="150"/>
        </w:trPr>
        <w:tc>
          <w:tcPr>
            <w:tcW w:w="4803" w:type="dxa"/>
            <w:tcMar>
              <w:left w:w="108" w:type="dxa"/>
              <w:right w:w="108" w:type="dxa"/>
            </w:tcMar>
          </w:tcPr>
          <w:p w14:paraId="1D436164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Annual CPQCC admissions (median (IQR))</w:t>
            </w:r>
          </w:p>
        </w:tc>
        <w:tc>
          <w:tcPr>
            <w:tcW w:w="1626" w:type="dxa"/>
            <w:gridSpan w:val="2"/>
            <w:tcMar>
              <w:left w:w="108" w:type="dxa"/>
              <w:right w:w="108" w:type="dxa"/>
            </w:tcMar>
          </w:tcPr>
          <w:p w14:paraId="3CFC095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95 (128)</w:t>
            </w:r>
          </w:p>
        </w:tc>
        <w:tc>
          <w:tcPr>
            <w:tcW w:w="1552" w:type="dxa"/>
            <w:gridSpan w:val="2"/>
            <w:tcMar>
              <w:left w:w="108" w:type="dxa"/>
              <w:right w:w="108" w:type="dxa"/>
            </w:tcMar>
          </w:tcPr>
          <w:p w14:paraId="2BFF9B3C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91 (157)</w:t>
            </w:r>
          </w:p>
        </w:tc>
        <w:tc>
          <w:tcPr>
            <w:tcW w:w="1379" w:type="dxa"/>
            <w:gridSpan w:val="2"/>
            <w:tcMar>
              <w:left w:w="108" w:type="dxa"/>
              <w:right w:w="108" w:type="dxa"/>
            </w:tcMar>
          </w:tcPr>
          <w:p w14:paraId="07F328F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72 (77)</w:t>
            </w:r>
          </w:p>
        </w:tc>
      </w:tr>
      <w:tr w:rsidR="00152FB0" w:rsidRPr="00B318B6" w14:paraId="4E6EECD8" w14:textId="77777777" w:rsidTr="000916DA">
        <w:trPr>
          <w:trHeight w:val="150"/>
        </w:trPr>
        <w:tc>
          <w:tcPr>
            <w:tcW w:w="4803" w:type="dxa"/>
            <w:tcBorders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680C76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Annual CPQCC VLBW admissions (median (IQR))</w:t>
            </w:r>
          </w:p>
        </w:tc>
        <w:tc>
          <w:tcPr>
            <w:tcW w:w="1626" w:type="dxa"/>
            <w:gridSpan w:val="2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56B30B12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35 (41)</w:t>
            </w:r>
          </w:p>
        </w:tc>
        <w:tc>
          <w:tcPr>
            <w:tcW w:w="1552" w:type="dxa"/>
            <w:gridSpan w:val="2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2DBC834A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28 (40)</w:t>
            </w:r>
          </w:p>
        </w:tc>
        <w:tc>
          <w:tcPr>
            <w:tcW w:w="1379" w:type="dxa"/>
            <w:gridSpan w:val="2"/>
            <w:tcBorders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340567E1" w14:textId="77777777" w:rsidR="00152FB0" w:rsidRPr="00111F2C" w:rsidRDefault="00152FB0" w:rsidP="000916D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11F2C">
              <w:rPr>
                <w:color w:val="000000" w:themeColor="text1"/>
                <w:sz w:val="20"/>
                <w:szCs w:val="20"/>
              </w:rPr>
              <w:t>23 (28)</w:t>
            </w:r>
          </w:p>
        </w:tc>
      </w:tr>
      <w:tr w:rsidR="00152FB0" w:rsidRPr="00AE7B07" w14:paraId="3C1B440A" w14:textId="77777777" w:rsidTr="000916DA">
        <w:trPr>
          <w:trHeight w:val="15"/>
        </w:trPr>
        <w:tc>
          <w:tcPr>
            <w:tcW w:w="9360" w:type="dxa"/>
            <w:gridSpan w:val="7"/>
            <w:tcBorders>
              <w:top w:val="single" w:sz="8" w:space="0" w:color="auto"/>
              <w:left w:val="nil"/>
              <w:right w:val="nil"/>
            </w:tcBorders>
            <w:tcMar>
              <w:left w:w="108" w:type="dxa"/>
              <w:right w:w="108" w:type="dxa"/>
            </w:tcMar>
          </w:tcPr>
          <w:p w14:paraId="1080E699" w14:textId="77777777" w:rsidR="00152FB0" w:rsidRPr="00AE7B07" w:rsidRDefault="00152FB0" w:rsidP="000916DA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AE7B07">
              <w:rPr>
                <w:color w:val="000000" w:themeColor="text1"/>
                <w:sz w:val="14"/>
                <w:szCs w:val="14"/>
              </w:rPr>
              <w:t xml:space="preserve">Teaching hospital and urban/rural were extracted from the California HCAI Hospital Utilization data (2019); Hospital ownership was extracted from the VON survey data (2019); Inborn NICU admission rate was extracted from the California Children's Services (CCS) data (2019); Annual total reported registered nurse staffing hours and annual total number of patient-days were extracted from the California HCAI Hospital Financial data (2019); Expected principal source of payment for delivery was extracted from the birth certificates data (2019); Annual CPQCC admissions and annual CPQCC VLBW admissions were extracted from the CPQCC database (2019). </w:t>
            </w:r>
          </w:p>
        </w:tc>
      </w:tr>
      <w:tr w:rsidR="00152FB0" w:rsidRPr="00AE7B07" w14:paraId="1D1F640A" w14:textId="77777777" w:rsidTr="000916DA">
        <w:trPr>
          <w:trHeight w:val="15"/>
        </w:trPr>
        <w:tc>
          <w:tcPr>
            <w:tcW w:w="9360" w:type="dxa"/>
            <w:gridSpan w:val="7"/>
            <w:tcBorders>
              <w:left w:val="nil"/>
            </w:tcBorders>
            <w:tcMar>
              <w:left w:w="108" w:type="dxa"/>
              <w:right w:w="108" w:type="dxa"/>
            </w:tcMar>
          </w:tcPr>
          <w:p w14:paraId="7D0DFFE8" w14:textId="77777777" w:rsidR="00152FB0" w:rsidRPr="00AE7B07" w:rsidRDefault="00152FB0" w:rsidP="000916DA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AE7B07">
              <w:rPr>
                <w:color w:val="000000" w:themeColor="text1"/>
                <w:sz w:val="14"/>
                <w:szCs w:val="14"/>
                <w:vertAlign w:val="superscript"/>
              </w:rPr>
              <w:t>1</w:t>
            </w:r>
            <w:r w:rsidRPr="00AE7B07">
              <w:rPr>
                <w:color w:val="000000" w:themeColor="text1"/>
                <w:sz w:val="14"/>
                <w:szCs w:val="14"/>
              </w:rPr>
              <w:t xml:space="preserve"> Average daily NICU admissions were calculated as annual total admissions/365.</w:t>
            </w:r>
          </w:p>
        </w:tc>
      </w:tr>
      <w:tr w:rsidR="00152FB0" w:rsidRPr="00AE7B07" w14:paraId="33C33222" w14:textId="77777777" w:rsidTr="000916DA">
        <w:trPr>
          <w:trHeight w:val="15"/>
        </w:trPr>
        <w:tc>
          <w:tcPr>
            <w:tcW w:w="9360" w:type="dxa"/>
            <w:gridSpan w:val="7"/>
            <w:tcMar>
              <w:left w:w="108" w:type="dxa"/>
              <w:right w:w="108" w:type="dxa"/>
            </w:tcMar>
          </w:tcPr>
          <w:p w14:paraId="584D97BE" w14:textId="77777777" w:rsidR="00152FB0" w:rsidRPr="00AE7B07" w:rsidRDefault="00152FB0" w:rsidP="000916DA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AE7B07">
              <w:rPr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AE7B07">
              <w:rPr>
                <w:color w:val="000000" w:themeColor="text1"/>
                <w:sz w:val="14"/>
                <w:szCs w:val="14"/>
              </w:rPr>
              <w:t xml:space="preserve"> Registered nursing hours per patient day was calculated as annual total reported registered nurse staffing hours/annual total number of patient-days.</w:t>
            </w:r>
          </w:p>
        </w:tc>
      </w:tr>
      <w:tr w:rsidR="00152FB0" w:rsidRPr="00AE7B07" w14:paraId="29804C2A" w14:textId="77777777" w:rsidTr="000916DA">
        <w:trPr>
          <w:trHeight w:val="15"/>
        </w:trPr>
        <w:tc>
          <w:tcPr>
            <w:tcW w:w="9360" w:type="dxa"/>
            <w:gridSpan w:val="7"/>
            <w:tcMar>
              <w:left w:w="108" w:type="dxa"/>
              <w:right w:w="108" w:type="dxa"/>
            </w:tcMar>
          </w:tcPr>
          <w:p w14:paraId="62672195" w14:textId="77777777" w:rsidR="00152FB0" w:rsidRPr="00AE7B07" w:rsidRDefault="00152FB0" w:rsidP="000916DA">
            <w:pPr>
              <w:jc w:val="both"/>
              <w:rPr>
                <w:color w:val="000000" w:themeColor="text1"/>
                <w:sz w:val="14"/>
                <w:szCs w:val="14"/>
              </w:rPr>
            </w:pPr>
            <w:r w:rsidRPr="00AE7B07">
              <w:rPr>
                <w:color w:val="000000" w:themeColor="text1"/>
                <w:sz w:val="14"/>
                <w:szCs w:val="14"/>
                <w:vertAlign w:val="superscript"/>
              </w:rPr>
              <w:t xml:space="preserve">3 </w:t>
            </w:r>
            <w:r w:rsidRPr="00AE7B07">
              <w:rPr>
                <w:color w:val="000000" w:themeColor="text1"/>
                <w:sz w:val="14"/>
                <w:szCs w:val="14"/>
              </w:rPr>
              <w:t>Inborn NICU admission rate was calculated as (annual total inborn NICU admissions/annual total live births) *100.</w:t>
            </w:r>
          </w:p>
        </w:tc>
      </w:tr>
      <w:tr w:rsidR="00152FB0" w:rsidRPr="00AE7B07" w14:paraId="46109F28" w14:textId="77777777" w:rsidTr="000916DA">
        <w:trPr>
          <w:trHeight w:val="450"/>
        </w:trPr>
        <w:tc>
          <w:tcPr>
            <w:tcW w:w="9360" w:type="dxa"/>
            <w:gridSpan w:val="7"/>
            <w:tcMar>
              <w:left w:w="108" w:type="dxa"/>
              <w:right w:w="108" w:type="dxa"/>
            </w:tcMar>
          </w:tcPr>
          <w:p w14:paraId="39F6A47A" w14:textId="77777777" w:rsidR="00152FB0" w:rsidRPr="00AE7B07" w:rsidRDefault="00152FB0" w:rsidP="000916DA">
            <w:pPr>
              <w:jc w:val="both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AE7B07">
              <w:rPr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AE7B07">
              <w:rPr>
                <w:color w:val="000000" w:themeColor="text1"/>
                <w:sz w:val="14"/>
                <w:szCs w:val="14"/>
              </w:rPr>
              <w:t xml:space="preserve"> Percent of Medi-Cal was calculated as (number of births using Medi-Cal as the expected principal source of payment for delivery/total number of births) *100%.</w:t>
            </w:r>
          </w:p>
        </w:tc>
      </w:tr>
    </w:tbl>
    <w:p w14:paraId="0C1452D0" w14:textId="77777777" w:rsidR="00684141" w:rsidRPr="00152FB0" w:rsidRDefault="00684141" w:rsidP="00152FB0"/>
    <w:sectPr w:rsidR="00684141" w:rsidRPr="00152FB0" w:rsidSect="007E21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omez, Scarlett" w:date="2025-07-16T11:50:00Z" w:initials="GS">
    <w:p w14:paraId="46961376" w14:textId="77777777" w:rsidR="00152FB0" w:rsidRDefault="00152FB0" w:rsidP="00152FB0">
      <w:pPr>
        <w:pStyle w:val="CommentText"/>
      </w:pPr>
      <w:r>
        <w:rPr>
          <w:rStyle w:val="CommentReference"/>
        </w:rPr>
        <w:annotationRef/>
      </w:r>
      <w:r>
        <w:t xml:space="preserve">Table and figure titles should fully describe the study sample, and what is being shown in the tables/figures. The  idea is that the information contained within should be able to stand on its own, without needing to reference the paper. </w:t>
      </w:r>
    </w:p>
    <w:p w14:paraId="06756179" w14:textId="77777777" w:rsidR="00152FB0" w:rsidRDefault="00152FB0" w:rsidP="00152FB0">
      <w:pPr>
        <w:pStyle w:val="CommentText"/>
      </w:pPr>
    </w:p>
    <w:p w14:paraId="60291CFF" w14:textId="77777777" w:rsidR="00152FB0" w:rsidRDefault="00152FB0" w:rsidP="00152FB0">
      <w:pPr>
        <w:pStyle w:val="CommentText"/>
      </w:pPr>
      <w:r>
        <w:t>Also specify here the tertile cutpoints.</w:t>
      </w:r>
    </w:p>
  </w:comment>
  <w:comment w:id="1" w:author="Igbagbosanmi Ojuolape Oredein" w:date="2025-08-12T14:01:00Z" w:initials="IO">
    <w:p w14:paraId="244A4BC3" w14:textId="77777777" w:rsidR="00152FB0" w:rsidRDefault="00152FB0" w:rsidP="00152FB0">
      <w:r>
        <w:rPr>
          <w:rStyle w:val="CommentReference"/>
          <w:rFonts w:eastAsiaTheme="minorEastAsia"/>
        </w:rPr>
        <w:annotationRef/>
      </w:r>
      <w:r>
        <w:rPr>
          <w:rFonts w:asciiTheme="minorHAnsi" w:eastAsiaTheme="minorEastAsia" w:hAnsiTheme="minorHAnsi" w:cstheme="minorBidi"/>
          <w:color w:val="000000"/>
          <w:sz w:val="20"/>
          <w:szCs w:val="20"/>
          <w:lang w:eastAsia="ja-JP"/>
        </w:rPr>
        <w:t>Okay will edit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0291CFF" w15:done="1"/>
  <w15:commentEx w15:paraId="244A4BC3" w15:paraIdParent="60291CF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22106B" w16cex:dateUtc="2025-07-16T18:50:00Z"/>
  <w16cex:commentExtensible w16cex:durableId="60CC94CF" w16cex:dateUtc="2025-08-12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291CFF" w16cid:durableId="2C22106B"/>
  <w16cid:commentId w16cid:paraId="244A4BC3" w16cid:durableId="60CC94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mez, Scarlett">
    <w15:presenceInfo w15:providerId="AD" w15:userId="S::Scarlett.Gomez@ucsf.edu::e9871f99-3e91-4a4f-804a-66039739780b"/>
  </w15:person>
  <w15:person w15:author="Igbagbosanmi Ojuolape Oredein">
    <w15:presenceInfo w15:providerId="AD" w15:userId="S::sanmio@stanford.edu::3febc22b-9553-4c41-9b84-be4dc75834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03"/>
    <w:rsid w:val="00152FB0"/>
    <w:rsid w:val="00303DDB"/>
    <w:rsid w:val="005E37FD"/>
    <w:rsid w:val="00684141"/>
    <w:rsid w:val="006D4A67"/>
    <w:rsid w:val="00740060"/>
    <w:rsid w:val="007E2103"/>
    <w:rsid w:val="009D063D"/>
    <w:rsid w:val="00AF27E9"/>
    <w:rsid w:val="00BB0624"/>
    <w:rsid w:val="00D02A3A"/>
    <w:rsid w:val="00E67717"/>
    <w:rsid w:val="00F4218D"/>
    <w:rsid w:val="00F7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1DF8C"/>
  <w15:chartTrackingRefBased/>
  <w15:docId w15:val="{2F9A4893-BFC8-DE4B-BCB2-5C1D1A05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1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1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1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1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1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1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1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1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1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1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1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2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1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2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10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E2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103"/>
    <w:pPr>
      <w:spacing w:after="16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103"/>
    <w:rPr>
      <w:rFonts w:eastAsiaTheme="minorEastAsia"/>
      <w:kern w:val="0"/>
      <w:sz w:val="20"/>
      <w:szCs w:val="20"/>
      <w:lang w:eastAsia="ja-JP"/>
      <w14:ligatures w14:val="none"/>
    </w:rPr>
  </w:style>
  <w:style w:type="character" w:customStyle="1" w:styleId="font271">
    <w:name w:val="font271"/>
    <w:basedOn w:val="DefaultParagraphFont"/>
    <w:rsid w:val="00152FB0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Igbagbosanmi Ojuolape Oredein</dc:creator>
  <cp:keywords/>
  <dc:description/>
  <cp:lastModifiedBy>Igbagbosanmi Ojuolape Oredein</cp:lastModifiedBy>
  <cp:revision>2</cp:revision>
  <dcterms:created xsi:type="dcterms:W3CDTF">2025-08-19T04:23:00Z</dcterms:created>
  <dcterms:modified xsi:type="dcterms:W3CDTF">2025-08-19T04:23:00Z</dcterms:modified>
</cp:coreProperties>
</file>