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E3F09" w14:textId="77777777" w:rsidR="00AD5281" w:rsidRDefault="00AD5281" w:rsidP="00AD5281">
      <w:pPr>
        <w:spacing w:after="160" w:line="278" w:lineRule="auto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 xml:space="preserve">Supplementary Table S2. </w:t>
      </w:r>
      <w:r>
        <w:rPr>
          <w:rFonts w:asciiTheme="minorBidi" w:hAnsiTheme="minorBidi" w:cstheme="minorBidi"/>
        </w:rPr>
        <w:t>A</w:t>
      </w:r>
      <w:r w:rsidRPr="00A422BE">
        <w:rPr>
          <w:rFonts w:asciiTheme="minorBidi" w:hAnsiTheme="minorBidi" w:cstheme="minorBidi"/>
        </w:rPr>
        <w:t xml:space="preserve">ssociation between </w:t>
      </w:r>
      <w:proofErr w:type="spellStart"/>
      <w:r w:rsidRPr="00A422BE">
        <w:rPr>
          <w:rFonts w:asciiTheme="minorBidi" w:hAnsiTheme="minorBidi" w:cstheme="minorBidi"/>
        </w:rPr>
        <w:t>hPDI</w:t>
      </w:r>
      <w:proofErr w:type="spellEnd"/>
      <w:r w:rsidRPr="00A422BE">
        <w:rPr>
          <w:rFonts w:asciiTheme="minorBidi" w:hAnsiTheme="minorBidi" w:cstheme="minorBidi"/>
        </w:rPr>
        <w:t xml:space="preserve"> and liver fat content </w:t>
      </w:r>
      <w:r>
        <w:rPr>
          <w:rFonts w:asciiTheme="minorBidi" w:hAnsiTheme="minorBidi" w:cstheme="minorBidi"/>
        </w:rPr>
        <w:t>stratified by</w:t>
      </w:r>
      <w:r w:rsidRPr="00A422BE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race/</w:t>
      </w:r>
      <w:r w:rsidRPr="00A422BE">
        <w:rPr>
          <w:rFonts w:asciiTheme="minorBidi" w:hAnsiTheme="minorBidi" w:cstheme="minorBidi"/>
        </w:rPr>
        <w:t>ethnic</w:t>
      </w:r>
      <w:r>
        <w:rPr>
          <w:rFonts w:asciiTheme="minorBidi" w:hAnsiTheme="minorBidi" w:cstheme="minorBidi"/>
        </w:rPr>
        <w:t>ity</w:t>
      </w:r>
      <w:r w:rsidRPr="00A422BE">
        <w:rPr>
          <w:rFonts w:asciiTheme="minorBidi" w:hAnsiTheme="minorBidi" w:cstheme="minorBidi"/>
        </w:rPr>
        <w:t>.</w:t>
      </w:r>
      <w:r>
        <w:rPr>
          <w:rFonts w:asciiTheme="minorBidi" w:hAnsiTheme="minorBidi" w:cstheme="minorBidi"/>
        </w:rPr>
        <w:t xml:space="preserve"> </w:t>
      </w:r>
    </w:p>
    <w:tbl>
      <w:tblPr>
        <w:tblW w:w="8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300"/>
        <w:gridCol w:w="1300"/>
        <w:gridCol w:w="2300"/>
        <w:gridCol w:w="1156"/>
      </w:tblGrid>
      <w:tr w:rsidR="00AD5281" w:rsidRPr="00A422BE" w14:paraId="3F93D76F" w14:textId="77777777" w:rsidTr="00B60A1E">
        <w:trPr>
          <w:trHeight w:val="320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0CE4" w14:textId="77777777" w:rsidR="00AD5281" w:rsidRPr="00A422BE" w:rsidRDefault="00AD5281" w:rsidP="00B60A1E">
            <w:pPr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C71C0" w14:textId="77777777" w:rsidR="00AD5281" w:rsidRPr="00A422BE" w:rsidRDefault="00AD5281" w:rsidP="00B60A1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N (%)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4B44E" w14:textId="77777777" w:rsidR="00AD5281" w:rsidRPr="00A422BE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Adjusted Mean (% volume)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60134" w14:textId="77777777" w:rsidR="00AD5281" w:rsidRPr="00A422BE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422BE">
              <w:rPr>
                <w:rFonts w:asciiTheme="minorBidi" w:hAnsiTheme="minorBidi" w:cstheme="minorBidi"/>
                <w:b/>
                <w:bCs/>
                <w:color w:val="000000"/>
              </w:rPr>
              <w:t>95% CI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9252C" w14:textId="77777777" w:rsidR="00AD5281" w:rsidRPr="00A422BE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A422BE">
              <w:rPr>
                <w:rFonts w:asciiTheme="minorBidi" w:hAnsiTheme="minorBidi" w:cstheme="minorBidi"/>
                <w:b/>
                <w:bCs/>
                <w:color w:val="000000"/>
              </w:rPr>
              <w:t>p-value</w:t>
            </w:r>
          </w:p>
        </w:tc>
      </w:tr>
      <w:tr w:rsidR="00AD5281" w:rsidRPr="00035D32" w14:paraId="70DF673E" w14:textId="77777777" w:rsidTr="00B60A1E">
        <w:trPr>
          <w:trHeight w:val="320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C9DFC" w14:textId="77777777" w:rsidR="00AD5281" w:rsidRPr="00035D32" w:rsidRDefault="00AD5281" w:rsidP="00B60A1E">
            <w:pPr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African American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058C29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EE2E6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381E0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vAlign w:val="bottom"/>
          </w:tcPr>
          <w:p w14:paraId="158A2CA5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D5281" w:rsidRPr="00035D32" w14:paraId="55295695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8A34B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Q1 (&lt;41)</w:t>
            </w:r>
          </w:p>
        </w:tc>
        <w:tc>
          <w:tcPr>
            <w:tcW w:w="0" w:type="auto"/>
          </w:tcPr>
          <w:p w14:paraId="25ED5222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118</w:t>
            </w:r>
            <w:r w:rsidRPr="00035D32">
              <w:rPr>
                <w:rFonts w:asciiTheme="minorBidi" w:hAnsiTheme="minorBidi" w:cstheme="minorBidi"/>
                <w:color w:val="000000"/>
              </w:rPr>
              <w:t xml:space="preserve"> (</w:t>
            </w:r>
            <w:r>
              <w:rPr>
                <w:rFonts w:asciiTheme="minorBidi" w:hAnsiTheme="minorBidi" w:cstheme="minorBidi"/>
                <w:color w:val="000000"/>
              </w:rPr>
              <w:t>22</w:t>
            </w:r>
            <w:r w:rsidRPr="00035D32">
              <w:rPr>
                <w:rFonts w:asciiTheme="minorBidi" w:hAnsiTheme="minorBidi" w:cstheme="minorBidi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4ACAF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3.38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703E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3.02, 3.78</w:t>
            </w:r>
          </w:p>
        </w:tc>
        <w:tc>
          <w:tcPr>
            <w:tcW w:w="1156" w:type="dxa"/>
            <w:vAlign w:val="bottom"/>
          </w:tcPr>
          <w:p w14:paraId="0F0BDCFC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Reference</w:t>
            </w:r>
          </w:p>
        </w:tc>
      </w:tr>
      <w:tr w:rsidR="00AD5281" w:rsidRPr="00035D32" w14:paraId="07FBFA32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B8452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Q2 (42-46)</w:t>
            </w:r>
          </w:p>
        </w:tc>
        <w:tc>
          <w:tcPr>
            <w:tcW w:w="0" w:type="auto"/>
          </w:tcPr>
          <w:p w14:paraId="3F4010BC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66</w:t>
            </w:r>
            <w:r w:rsidRPr="00035D32">
              <w:rPr>
                <w:rFonts w:asciiTheme="minorBidi" w:hAnsiTheme="minorBidi" w:cstheme="minorBidi"/>
                <w:color w:val="000000"/>
              </w:rPr>
              <w:t xml:space="preserve"> (1</w:t>
            </w:r>
            <w:r>
              <w:rPr>
                <w:rFonts w:asciiTheme="minorBidi" w:hAnsiTheme="minorBidi" w:cstheme="minorBidi"/>
                <w:color w:val="000000"/>
              </w:rPr>
              <w:t>6</w:t>
            </w:r>
            <w:r w:rsidRPr="00035D32">
              <w:rPr>
                <w:rFonts w:asciiTheme="minorBidi" w:hAnsiTheme="minorBidi" w:cstheme="minorBidi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D910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3.72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9E957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3.30, 4.18</w:t>
            </w:r>
          </w:p>
        </w:tc>
        <w:tc>
          <w:tcPr>
            <w:tcW w:w="1156" w:type="dxa"/>
            <w:vAlign w:val="bottom"/>
          </w:tcPr>
          <w:p w14:paraId="7B29A716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0.25</w:t>
            </w:r>
          </w:p>
        </w:tc>
      </w:tr>
      <w:tr w:rsidR="00AD5281" w:rsidRPr="00035D32" w14:paraId="74E51536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A05BC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Q3 (47-51)</w:t>
            </w:r>
          </w:p>
        </w:tc>
        <w:tc>
          <w:tcPr>
            <w:tcW w:w="0" w:type="auto"/>
          </w:tcPr>
          <w:p w14:paraId="437AF8A1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48</w:t>
            </w:r>
            <w:r w:rsidRPr="00035D32">
              <w:rPr>
                <w:rFonts w:asciiTheme="minorBidi" w:hAnsiTheme="minorBidi" w:cstheme="minorBidi"/>
                <w:color w:val="000000"/>
              </w:rPr>
              <w:t xml:space="preserve"> (1</w:t>
            </w:r>
            <w:r>
              <w:rPr>
                <w:rFonts w:asciiTheme="minorBidi" w:hAnsiTheme="minorBidi" w:cstheme="minorBidi"/>
                <w:color w:val="000000"/>
              </w:rPr>
              <w:t>3</w:t>
            </w:r>
            <w:r w:rsidRPr="00035D32">
              <w:rPr>
                <w:rFonts w:asciiTheme="minorBidi" w:hAnsiTheme="minorBidi" w:cstheme="minorBidi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1194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3.19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C337B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2.79, 3.63</w:t>
            </w:r>
          </w:p>
        </w:tc>
        <w:tc>
          <w:tcPr>
            <w:tcW w:w="1156" w:type="dxa"/>
            <w:vAlign w:val="bottom"/>
          </w:tcPr>
          <w:p w14:paraId="57BFD1EB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0.50</w:t>
            </w:r>
          </w:p>
        </w:tc>
      </w:tr>
      <w:tr w:rsidR="00AD5281" w:rsidRPr="00035D32" w14:paraId="5F4D024E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A797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Q4 (≥70)</w:t>
            </w:r>
          </w:p>
        </w:tc>
        <w:tc>
          <w:tcPr>
            <w:tcW w:w="0" w:type="auto"/>
          </w:tcPr>
          <w:p w14:paraId="2408FFC8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42</w:t>
            </w:r>
            <w:r w:rsidRPr="00035D32">
              <w:rPr>
                <w:rFonts w:asciiTheme="minorBidi" w:hAnsiTheme="minorBidi" w:cstheme="minorBidi"/>
                <w:color w:val="000000"/>
              </w:rPr>
              <w:t xml:space="preserve"> (</w:t>
            </w:r>
            <w:r>
              <w:rPr>
                <w:rFonts w:asciiTheme="minorBidi" w:hAnsiTheme="minorBidi" w:cstheme="minorBidi"/>
                <w:color w:val="000000"/>
              </w:rPr>
              <w:t>15</w:t>
            </w:r>
            <w:r w:rsidRPr="00035D32">
              <w:rPr>
                <w:rFonts w:asciiTheme="minorBidi" w:hAnsiTheme="minorBidi" w:cstheme="minorBidi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70C7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3.70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42F6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3.25, 4.20</w:t>
            </w:r>
          </w:p>
        </w:tc>
        <w:tc>
          <w:tcPr>
            <w:tcW w:w="1156" w:type="dxa"/>
            <w:vAlign w:val="bottom"/>
          </w:tcPr>
          <w:p w14:paraId="14AD817B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0.30</w:t>
            </w:r>
          </w:p>
        </w:tc>
      </w:tr>
      <w:tr w:rsidR="00AD5281" w:rsidRPr="00035D32" w14:paraId="775DC9BC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E5423" w14:textId="77777777" w:rsidR="00AD5281" w:rsidRPr="00035D32" w:rsidRDefault="00AD5281" w:rsidP="00B60A1E">
            <w:pPr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Native Hawaiian</w:t>
            </w:r>
          </w:p>
        </w:tc>
        <w:tc>
          <w:tcPr>
            <w:tcW w:w="0" w:type="auto"/>
          </w:tcPr>
          <w:p w14:paraId="45CE8879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667EB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D73AB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56" w:type="dxa"/>
            <w:vAlign w:val="bottom"/>
          </w:tcPr>
          <w:p w14:paraId="5AAB4408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D5281" w:rsidRPr="00035D32" w14:paraId="0BB3049B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1218A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Q1 (&lt;42)</w:t>
            </w:r>
          </w:p>
        </w:tc>
        <w:tc>
          <w:tcPr>
            <w:tcW w:w="0" w:type="auto"/>
          </w:tcPr>
          <w:p w14:paraId="004088B9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10</w:t>
            </w:r>
            <w:r>
              <w:rPr>
                <w:rFonts w:asciiTheme="minorBidi" w:hAnsiTheme="minorBidi" w:cstheme="minorBidi"/>
                <w:color w:val="000000"/>
              </w:rPr>
              <w:t>8</w:t>
            </w:r>
            <w:r w:rsidRPr="00035D32">
              <w:rPr>
                <w:rFonts w:asciiTheme="minorBidi" w:hAnsiTheme="minorBidi" w:cstheme="minorBidi"/>
                <w:color w:val="000000"/>
              </w:rPr>
              <w:t xml:space="preserve"> (2</w:t>
            </w:r>
            <w:r>
              <w:rPr>
                <w:rFonts w:asciiTheme="minorBidi" w:hAnsiTheme="minorBidi" w:cstheme="minorBidi"/>
                <w:color w:val="000000"/>
              </w:rPr>
              <w:t>0</w:t>
            </w:r>
            <w:r w:rsidRPr="00035D32">
              <w:rPr>
                <w:rFonts w:asciiTheme="minorBidi" w:hAnsiTheme="minorBidi" w:cstheme="minorBidi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CFAA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4.77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077EA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4.17, 5.43</w:t>
            </w:r>
          </w:p>
        </w:tc>
        <w:tc>
          <w:tcPr>
            <w:tcW w:w="1156" w:type="dxa"/>
            <w:vAlign w:val="bottom"/>
          </w:tcPr>
          <w:p w14:paraId="297514FD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Reference</w:t>
            </w:r>
          </w:p>
        </w:tc>
      </w:tr>
      <w:tr w:rsidR="00AD5281" w:rsidRPr="00035D32" w14:paraId="1F3F93CA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67DA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Q2 (43-47)</w:t>
            </w:r>
          </w:p>
        </w:tc>
        <w:tc>
          <w:tcPr>
            <w:tcW w:w="0" w:type="auto"/>
          </w:tcPr>
          <w:p w14:paraId="22D10338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63 (15)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39E9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4.58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6CD1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3.90, 5.35</w:t>
            </w:r>
          </w:p>
        </w:tc>
        <w:tc>
          <w:tcPr>
            <w:tcW w:w="1156" w:type="dxa"/>
            <w:vAlign w:val="bottom"/>
          </w:tcPr>
          <w:p w14:paraId="3DCA9193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0.71</w:t>
            </w:r>
          </w:p>
        </w:tc>
      </w:tr>
      <w:tr w:rsidR="00AD5281" w:rsidRPr="00035D32" w14:paraId="408913EB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68A0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Q3 (48-52)</w:t>
            </w:r>
          </w:p>
        </w:tc>
        <w:tc>
          <w:tcPr>
            <w:tcW w:w="0" w:type="auto"/>
          </w:tcPr>
          <w:p w14:paraId="015B9D77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48 (13)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A1D1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4.62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A29F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3.96, 5.36</w:t>
            </w:r>
          </w:p>
        </w:tc>
        <w:tc>
          <w:tcPr>
            <w:tcW w:w="1156" w:type="dxa"/>
            <w:vAlign w:val="bottom"/>
          </w:tcPr>
          <w:p w14:paraId="515B8EFB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0.77</w:t>
            </w:r>
          </w:p>
        </w:tc>
      </w:tr>
      <w:tr w:rsidR="00AD5281" w:rsidRPr="00035D32" w14:paraId="1B5D3C0B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E4F4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Q4 (≥69)</w:t>
            </w:r>
          </w:p>
        </w:tc>
        <w:tc>
          <w:tcPr>
            <w:tcW w:w="0" w:type="auto"/>
          </w:tcPr>
          <w:p w14:paraId="26D54287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</w:t>
            </w:r>
            <w:r>
              <w:rPr>
                <w:rFonts w:asciiTheme="minorBidi" w:hAnsiTheme="minorBidi" w:cstheme="minorBidi"/>
                <w:color w:val="000000"/>
              </w:rPr>
              <w:t>6</w:t>
            </w:r>
            <w:r w:rsidRPr="00035D32">
              <w:rPr>
                <w:rFonts w:asciiTheme="minorBidi" w:hAnsiTheme="minorBidi" w:cstheme="minorBidi"/>
                <w:color w:val="000000"/>
              </w:rPr>
              <w:t xml:space="preserve"> (1</w:t>
            </w:r>
            <w:r>
              <w:rPr>
                <w:rFonts w:asciiTheme="minorBidi" w:hAnsiTheme="minorBidi" w:cstheme="minorBidi"/>
                <w:color w:val="000000"/>
              </w:rPr>
              <w:t>3</w:t>
            </w:r>
            <w:r w:rsidRPr="00035D32">
              <w:rPr>
                <w:rFonts w:asciiTheme="minorBidi" w:hAnsiTheme="minorBidi" w:cstheme="minorBidi"/>
                <w:color w:val="00000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FF5F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4.15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C08C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3.50, 4.91</w:t>
            </w:r>
          </w:p>
        </w:tc>
        <w:tc>
          <w:tcPr>
            <w:tcW w:w="1156" w:type="dxa"/>
            <w:vAlign w:val="bottom"/>
          </w:tcPr>
          <w:p w14:paraId="26A176F4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0.21</w:t>
            </w:r>
          </w:p>
        </w:tc>
      </w:tr>
      <w:tr w:rsidR="00AD5281" w:rsidRPr="00035D32" w14:paraId="7F45729D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53DD2" w14:textId="77777777" w:rsidR="00AD5281" w:rsidRPr="00035D32" w:rsidRDefault="00AD5281" w:rsidP="00B60A1E">
            <w:pPr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Japanese American</w:t>
            </w:r>
          </w:p>
        </w:tc>
        <w:tc>
          <w:tcPr>
            <w:tcW w:w="0" w:type="auto"/>
          </w:tcPr>
          <w:p w14:paraId="29B19A9A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BC58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A50DE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56" w:type="dxa"/>
            <w:vAlign w:val="bottom"/>
          </w:tcPr>
          <w:p w14:paraId="403D0068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D5281" w:rsidRPr="00035D32" w14:paraId="712524F3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AF343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Q1 (&lt;46)</w:t>
            </w:r>
          </w:p>
        </w:tc>
        <w:tc>
          <w:tcPr>
            <w:tcW w:w="0" w:type="auto"/>
          </w:tcPr>
          <w:p w14:paraId="24631F58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114 (21)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629D2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5.84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F0F45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5.12, 6.64</w:t>
            </w:r>
          </w:p>
        </w:tc>
        <w:tc>
          <w:tcPr>
            <w:tcW w:w="1156" w:type="dxa"/>
            <w:vAlign w:val="bottom"/>
          </w:tcPr>
          <w:p w14:paraId="3BA98376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Reference</w:t>
            </w:r>
          </w:p>
        </w:tc>
      </w:tr>
      <w:tr w:rsidR="00AD5281" w:rsidRPr="00035D32" w14:paraId="3EEBBBBC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76B60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Q2 (47-50)</w:t>
            </w:r>
          </w:p>
        </w:tc>
        <w:tc>
          <w:tcPr>
            <w:tcW w:w="0" w:type="auto"/>
          </w:tcPr>
          <w:p w14:paraId="6CAF0755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108 (26)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93055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5.54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E84D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4.92, 6.24</w:t>
            </w:r>
          </w:p>
        </w:tc>
        <w:tc>
          <w:tcPr>
            <w:tcW w:w="1156" w:type="dxa"/>
            <w:vAlign w:val="bottom"/>
          </w:tcPr>
          <w:p w14:paraId="2DFF8706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0.55</w:t>
            </w:r>
          </w:p>
        </w:tc>
      </w:tr>
      <w:tr w:rsidR="00AD5281" w:rsidRPr="00035D32" w14:paraId="4A2A1C81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EADE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Q3 (51-56)</w:t>
            </w:r>
          </w:p>
        </w:tc>
        <w:tc>
          <w:tcPr>
            <w:tcW w:w="0" w:type="auto"/>
          </w:tcPr>
          <w:p w14:paraId="0378431C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98 (27)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3169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5.79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515F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5.15, 6.50</w:t>
            </w:r>
          </w:p>
        </w:tc>
        <w:tc>
          <w:tcPr>
            <w:tcW w:w="1156" w:type="dxa"/>
            <w:vAlign w:val="bottom"/>
          </w:tcPr>
          <w:p w14:paraId="45EDAD9C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0.98</w:t>
            </w:r>
          </w:p>
        </w:tc>
      </w:tr>
      <w:tr w:rsidR="00AD5281" w:rsidRPr="00035D32" w14:paraId="52955271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4ABE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Q4 (≥70)</w:t>
            </w:r>
          </w:p>
        </w:tc>
        <w:tc>
          <w:tcPr>
            <w:tcW w:w="0" w:type="auto"/>
          </w:tcPr>
          <w:p w14:paraId="7004389B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82 (30)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8D7D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4.95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E5EE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4.40, 5.56</w:t>
            </w:r>
          </w:p>
        </w:tc>
        <w:tc>
          <w:tcPr>
            <w:tcW w:w="1156" w:type="dxa"/>
            <w:vAlign w:val="bottom"/>
          </w:tcPr>
          <w:p w14:paraId="629D9621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0.06</w:t>
            </w:r>
          </w:p>
        </w:tc>
      </w:tr>
      <w:tr w:rsidR="00AD5281" w:rsidRPr="00035D32" w14:paraId="1DD9CFB7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8ACD1" w14:textId="77777777" w:rsidR="00AD5281" w:rsidRPr="00035D32" w:rsidRDefault="00AD5281" w:rsidP="00B60A1E">
            <w:pPr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Latino</w:t>
            </w:r>
          </w:p>
        </w:tc>
        <w:tc>
          <w:tcPr>
            <w:tcW w:w="0" w:type="auto"/>
          </w:tcPr>
          <w:p w14:paraId="275A99C1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9540F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AA037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56" w:type="dxa"/>
            <w:vAlign w:val="bottom"/>
          </w:tcPr>
          <w:p w14:paraId="7BD10C82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D5281" w:rsidRPr="00035D32" w14:paraId="23EF2228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255F4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  <w:rtl/>
                <w:lang w:bidi="fa-IR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Q1 (&lt;45)</w:t>
            </w:r>
          </w:p>
        </w:tc>
        <w:tc>
          <w:tcPr>
            <w:tcW w:w="0" w:type="auto"/>
          </w:tcPr>
          <w:p w14:paraId="1CA84D81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101 (19)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21BDC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6.40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3CA7E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5.61, 7.27</w:t>
            </w:r>
          </w:p>
        </w:tc>
        <w:tc>
          <w:tcPr>
            <w:tcW w:w="1156" w:type="dxa"/>
            <w:vAlign w:val="bottom"/>
          </w:tcPr>
          <w:p w14:paraId="33DC427A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Reference</w:t>
            </w:r>
          </w:p>
        </w:tc>
      </w:tr>
      <w:tr w:rsidR="00AD5281" w:rsidRPr="00035D32" w14:paraId="38D7301C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E1839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Q2 (46-49)</w:t>
            </w:r>
          </w:p>
        </w:tc>
        <w:tc>
          <w:tcPr>
            <w:tcW w:w="0" w:type="auto"/>
          </w:tcPr>
          <w:p w14:paraId="59F40551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98 (24)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E0A0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5.65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18B1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5.05, 6.30</w:t>
            </w:r>
          </w:p>
        </w:tc>
        <w:tc>
          <w:tcPr>
            <w:tcW w:w="1156" w:type="dxa"/>
            <w:vAlign w:val="bottom"/>
          </w:tcPr>
          <w:p w14:paraId="673A0B7A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0.15</w:t>
            </w:r>
          </w:p>
        </w:tc>
      </w:tr>
      <w:tr w:rsidR="00AD5281" w:rsidRPr="00035D32" w14:paraId="78F27584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69CE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Q3 (50-53)</w:t>
            </w:r>
          </w:p>
        </w:tc>
        <w:tc>
          <w:tcPr>
            <w:tcW w:w="0" w:type="auto"/>
          </w:tcPr>
          <w:p w14:paraId="44B0D030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93 (25)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9ECC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5.55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DE64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4.97, 6.18</w:t>
            </w:r>
          </w:p>
        </w:tc>
        <w:tc>
          <w:tcPr>
            <w:tcW w:w="1156" w:type="dxa"/>
            <w:vAlign w:val="bottom"/>
          </w:tcPr>
          <w:p w14:paraId="5ABF537B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0.10</w:t>
            </w:r>
          </w:p>
        </w:tc>
      </w:tr>
      <w:tr w:rsidR="00AD5281" w:rsidRPr="00035D32" w14:paraId="2536D8B1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2F02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Q4 (≥67)</w:t>
            </w:r>
          </w:p>
        </w:tc>
        <w:tc>
          <w:tcPr>
            <w:tcW w:w="0" w:type="auto"/>
          </w:tcPr>
          <w:p w14:paraId="117F2257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53 (19)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52970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4.72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929E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4.17, 5.32</w:t>
            </w:r>
          </w:p>
        </w:tc>
        <w:tc>
          <w:tcPr>
            <w:tcW w:w="1156" w:type="dxa"/>
            <w:vAlign w:val="bottom"/>
          </w:tcPr>
          <w:p w14:paraId="52BC8493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035D32">
              <w:rPr>
                <w:rFonts w:asciiTheme="minorBidi" w:hAnsiTheme="minorBidi" w:cstheme="minorBidi"/>
                <w:b/>
                <w:bCs/>
                <w:color w:val="000000"/>
              </w:rPr>
              <w:t>0.001</w:t>
            </w:r>
          </w:p>
        </w:tc>
      </w:tr>
      <w:tr w:rsidR="00AD5281" w:rsidRPr="00035D32" w14:paraId="2A60C268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3B73F" w14:textId="77777777" w:rsidR="00AD5281" w:rsidRPr="00035D32" w:rsidRDefault="00AD5281" w:rsidP="00B60A1E">
            <w:pPr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White</w:t>
            </w:r>
          </w:p>
        </w:tc>
        <w:tc>
          <w:tcPr>
            <w:tcW w:w="0" w:type="auto"/>
          </w:tcPr>
          <w:p w14:paraId="2939C787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83F24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8B0B4A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56" w:type="dxa"/>
            <w:vAlign w:val="bottom"/>
          </w:tcPr>
          <w:p w14:paraId="463CED19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AD5281" w:rsidRPr="00035D32" w14:paraId="25454A46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EDFF4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Q1 (&lt;45)</w:t>
            </w:r>
          </w:p>
        </w:tc>
        <w:tc>
          <w:tcPr>
            <w:tcW w:w="0" w:type="auto"/>
          </w:tcPr>
          <w:p w14:paraId="1EB27B1E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97 (18)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2A01D2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4.46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4998D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3.97, 5.00</w:t>
            </w:r>
          </w:p>
        </w:tc>
        <w:tc>
          <w:tcPr>
            <w:tcW w:w="1156" w:type="dxa"/>
            <w:vAlign w:val="bottom"/>
          </w:tcPr>
          <w:p w14:paraId="2DD37BE8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Reference</w:t>
            </w:r>
          </w:p>
        </w:tc>
      </w:tr>
      <w:tr w:rsidR="00AD5281" w:rsidRPr="00035D32" w14:paraId="21938A9C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34D8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Q2 (46-50)</w:t>
            </w:r>
          </w:p>
        </w:tc>
        <w:tc>
          <w:tcPr>
            <w:tcW w:w="0" w:type="auto"/>
          </w:tcPr>
          <w:p w14:paraId="09DB455F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80 (19)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0D93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3.87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A5DC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3.44, 4.35</w:t>
            </w:r>
          </w:p>
        </w:tc>
        <w:tc>
          <w:tcPr>
            <w:tcW w:w="1156" w:type="dxa"/>
            <w:vAlign w:val="bottom"/>
          </w:tcPr>
          <w:p w14:paraId="3C519A26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0.09</w:t>
            </w:r>
          </w:p>
        </w:tc>
      </w:tr>
      <w:tr w:rsidR="00AD5281" w:rsidRPr="00035D32" w14:paraId="390F3815" w14:textId="77777777" w:rsidTr="00B60A1E">
        <w:trPr>
          <w:trHeight w:val="320"/>
        </w:trPr>
        <w:tc>
          <w:tcPr>
            <w:tcW w:w="21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3E3E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Q3 (51-55)</w:t>
            </w:r>
          </w:p>
        </w:tc>
        <w:tc>
          <w:tcPr>
            <w:tcW w:w="0" w:type="auto"/>
          </w:tcPr>
          <w:p w14:paraId="13159383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78 (21)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CAE7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3.78</w:t>
            </w:r>
          </w:p>
        </w:tc>
        <w:tc>
          <w:tcPr>
            <w:tcW w:w="23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D03D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3.35, 4.26</w:t>
            </w:r>
          </w:p>
        </w:tc>
        <w:tc>
          <w:tcPr>
            <w:tcW w:w="1156" w:type="dxa"/>
            <w:vAlign w:val="bottom"/>
          </w:tcPr>
          <w:p w14:paraId="7B6DA992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0.05</w:t>
            </w:r>
          </w:p>
        </w:tc>
      </w:tr>
      <w:tr w:rsidR="00AD5281" w:rsidRPr="00035D32" w14:paraId="2F47671C" w14:textId="77777777" w:rsidTr="00B60A1E">
        <w:trPr>
          <w:trHeight w:val="320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742A4" w14:textId="77777777" w:rsidR="00AD5281" w:rsidRPr="00035D32" w:rsidRDefault="00AD5281" w:rsidP="00B60A1E">
            <w:pPr>
              <w:ind w:firstLine="164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Q4 (≥68)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F44C38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67 (24)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D47D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3.30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9894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035D32">
              <w:rPr>
                <w:rFonts w:asciiTheme="minorBidi" w:hAnsiTheme="minorBidi" w:cstheme="minorBidi"/>
                <w:color w:val="000000"/>
              </w:rPr>
              <w:t>2.94, 3.69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bottom"/>
          </w:tcPr>
          <w:p w14:paraId="70BA1F15" w14:textId="77777777" w:rsidR="00AD5281" w:rsidRPr="00035D32" w:rsidRDefault="00AD5281" w:rsidP="00B60A1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035D32">
              <w:rPr>
                <w:rFonts w:asciiTheme="minorBidi" w:hAnsiTheme="minorBidi" w:cstheme="minorBidi"/>
                <w:b/>
                <w:bCs/>
                <w:color w:val="000000"/>
              </w:rPr>
              <w:t>&lt;0.001</w:t>
            </w:r>
          </w:p>
        </w:tc>
      </w:tr>
    </w:tbl>
    <w:p w14:paraId="614B6806" w14:textId="77777777" w:rsidR="00AD5281" w:rsidRDefault="00AD5281" w:rsidP="00AD5281">
      <w:pPr>
        <w:spacing w:after="160" w:line="278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Adjusted means,</w:t>
      </w:r>
      <w:r w:rsidRPr="00A422BE">
        <w:rPr>
          <w:rFonts w:asciiTheme="minorBidi" w:hAnsiTheme="minorBidi" w:cstheme="minorBidi"/>
        </w:rPr>
        <w:t xml:space="preserve"> 95% confidence intervals (CIs), and p-values were derived from multivariable linear regression models stratified by self-reported ethnicity. The healthful </w:t>
      </w:r>
      <w:r>
        <w:rPr>
          <w:rFonts w:asciiTheme="minorBidi" w:hAnsiTheme="minorBidi" w:cstheme="minorBidi"/>
        </w:rPr>
        <w:t>p</w:t>
      </w:r>
      <w:r w:rsidRPr="00A422BE">
        <w:rPr>
          <w:rFonts w:asciiTheme="minorBidi" w:hAnsiTheme="minorBidi" w:cstheme="minorBidi"/>
        </w:rPr>
        <w:t xml:space="preserve">lant-based </w:t>
      </w:r>
      <w:r>
        <w:rPr>
          <w:rFonts w:asciiTheme="minorBidi" w:hAnsiTheme="minorBidi" w:cstheme="minorBidi"/>
        </w:rPr>
        <w:t>d</w:t>
      </w:r>
      <w:r w:rsidRPr="00A422BE">
        <w:rPr>
          <w:rFonts w:asciiTheme="minorBidi" w:hAnsiTheme="minorBidi" w:cstheme="minorBidi"/>
        </w:rPr>
        <w:t xml:space="preserve">iet </w:t>
      </w:r>
      <w:r>
        <w:rPr>
          <w:rFonts w:asciiTheme="minorBidi" w:hAnsiTheme="minorBidi" w:cstheme="minorBidi"/>
        </w:rPr>
        <w:t>i</w:t>
      </w:r>
      <w:r w:rsidRPr="00A422BE">
        <w:rPr>
          <w:rFonts w:asciiTheme="minorBidi" w:hAnsiTheme="minorBidi" w:cstheme="minorBidi"/>
        </w:rPr>
        <w:t>ndex (</w:t>
      </w:r>
      <w:proofErr w:type="spellStart"/>
      <w:r w:rsidRPr="00A422BE">
        <w:rPr>
          <w:rFonts w:asciiTheme="minorBidi" w:hAnsiTheme="minorBidi" w:cstheme="minorBidi"/>
        </w:rPr>
        <w:t>hPDI</w:t>
      </w:r>
      <w:proofErr w:type="spellEnd"/>
      <w:r w:rsidRPr="00A422BE">
        <w:rPr>
          <w:rFonts w:asciiTheme="minorBidi" w:hAnsiTheme="minorBidi" w:cstheme="minorBidi"/>
        </w:rPr>
        <w:t xml:space="preserve">) was categorized into quartiles, with Q1 (lowest adherence) as the reference group. Models were adjusted for age, sex, physical activity, alcohol intake, </w:t>
      </w:r>
      <w:r>
        <w:rPr>
          <w:rFonts w:asciiTheme="minorBidi" w:hAnsiTheme="minorBidi" w:cstheme="minorBidi"/>
        </w:rPr>
        <w:t xml:space="preserve">and </w:t>
      </w:r>
      <w:r w:rsidRPr="00A422BE">
        <w:rPr>
          <w:rFonts w:asciiTheme="minorBidi" w:hAnsiTheme="minorBidi" w:cstheme="minorBidi"/>
        </w:rPr>
        <w:t>BMI</w:t>
      </w:r>
      <w:r>
        <w:rPr>
          <w:rFonts w:asciiTheme="minorBidi" w:hAnsiTheme="minorBidi" w:cstheme="minorBidi"/>
        </w:rPr>
        <w:t xml:space="preserve">. </w:t>
      </w:r>
      <w:r w:rsidRPr="00A422BE">
        <w:rPr>
          <w:rFonts w:asciiTheme="minorBidi" w:hAnsiTheme="minorBidi" w:cstheme="minorBidi"/>
        </w:rPr>
        <w:t>Bolded values indicate statistically significant associations (</w:t>
      </w:r>
      <w:r w:rsidRPr="00A422BE">
        <w:rPr>
          <w:rFonts w:asciiTheme="minorBidi" w:hAnsiTheme="minorBidi" w:cstheme="minorBidi"/>
          <w:i/>
          <w:iCs/>
        </w:rPr>
        <w:t>p</w:t>
      </w:r>
      <w:r w:rsidRPr="00A422BE">
        <w:rPr>
          <w:rFonts w:asciiTheme="minorBidi" w:hAnsiTheme="minorBidi" w:cstheme="minorBidi"/>
        </w:rPr>
        <w:t xml:space="preserve"> &lt; 0.05).</w:t>
      </w:r>
    </w:p>
    <w:p w14:paraId="64548688" w14:textId="77777777" w:rsidR="00AD5281" w:rsidRDefault="00AD5281"/>
    <w:sectPr w:rsidR="00AD5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81"/>
    <w:rsid w:val="003B0B6C"/>
    <w:rsid w:val="00A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39D4C"/>
  <w15:chartTrackingRefBased/>
  <w15:docId w15:val="{BD7EB88F-D988-004A-BA53-E21B5510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28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2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2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2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2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2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2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2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2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2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2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5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2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5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Moosavi, Darya</dc:creator>
  <cp:keywords/>
  <dc:description/>
  <cp:lastModifiedBy>Moosavi, Darya</cp:lastModifiedBy>
  <cp:revision>1</cp:revision>
  <dcterms:created xsi:type="dcterms:W3CDTF">2025-08-18T04:34:00Z</dcterms:created>
  <dcterms:modified xsi:type="dcterms:W3CDTF">2025-08-18T04:35:00Z</dcterms:modified>
</cp:coreProperties>
</file>