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4E703" w14:textId="77777777" w:rsidR="00D37DE1" w:rsidRPr="005F2433" w:rsidRDefault="00D37DE1" w:rsidP="00D37DE1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 w:rsidRPr="005F2433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Supplementary Figure</w:t>
      </w:r>
      <w:r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s:</w:t>
      </w:r>
    </w:p>
    <w:p w14:paraId="6B8F306F" w14:textId="77777777" w:rsidR="00D37DE1" w:rsidRPr="007B7E86" w:rsidRDefault="00D37DE1" w:rsidP="00D37DE1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B7E86"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3C025231" wp14:editId="401804EE">
            <wp:extent cx="5731510" cy="3379470"/>
            <wp:effectExtent l="0" t="0" r="0" b="0"/>
            <wp:docPr id="1644918133" name="Picture 1" descr="A graph of blue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918133" name="Picture 1" descr="A graph of blue bar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20410" w14:textId="77777777" w:rsidR="00D37DE1" w:rsidRDefault="00D37DE1" w:rsidP="00D37DE1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B7E86">
        <w:rPr>
          <w:rFonts w:ascii="Arial" w:hAnsi="Arial" w:cs="Arial"/>
          <w:color w:val="000000" w:themeColor="text1"/>
          <w:sz w:val="22"/>
          <w:szCs w:val="22"/>
        </w:rPr>
        <w:t>Supplementary Figure 1.  Bar graph demonstrating the percentage of patients whose tumours underwent molecular testing per centre. The median percentage of patients’ tumours undergoing molecular testing (37.5%) is highlighted by the horizontal line.</w:t>
      </w:r>
    </w:p>
    <w:p w14:paraId="52A2CFD3" w14:textId="77777777" w:rsidR="00D37DE1" w:rsidRDefault="00D37DE1" w:rsidP="00D37DE1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sectPr w:rsidR="00D37DE1" w:rsidSect="00D37DE1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4B0BAECA" w14:textId="77777777" w:rsidR="00D37DE1" w:rsidRDefault="00D37DE1" w:rsidP="00D37DE1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 w:rsidRPr="005F2433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lastRenderedPageBreak/>
        <w:t xml:space="preserve">Supplementary </w:t>
      </w:r>
      <w:r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Tables:</w:t>
      </w:r>
    </w:p>
    <w:tbl>
      <w:tblPr>
        <w:tblStyle w:val="TableGrid"/>
        <w:tblpPr w:leftFromText="180" w:rightFromText="180" w:vertAnchor="text" w:horzAnchor="margin" w:tblpY="-259"/>
        <w:tblW w:w="8995" w:type="dxa"/>
        <w:tblLook w:val="04A0" w:firstRow="1" w:lastRow="0" w:firstColumn="1" w:lastColumn="0" w:noHBand="0" w:noVBand="1"/>
      </w:tblPr>
      <w:tblGrid>
        <w:gridCol w:w="4497"/>
        <w:gridCol w:w="4498"/>
      </w:tblGrid>
      <w:tr w:rsidR="00D37DE1" w:rsidRPr="007B7E86" w14:paraId="3D59CDFC" w14:textId="77777777" w:rsidTr="00056096">
        <w:trPr>
          <w:trHeight w:val="90"/>
        </w:trPr>
        <w:tc>
          <w:tcPr>
            <w:tcW w:w="4497" w:type="dxa"/>
            <w:vMerge w:val="restart"/>
            <w:vAlign w:val="center"/>
          </w:tcPr>
          <w:p w14:paraId="1A3D4CC2" w14:textId="77777777" w:rsidR="00D37DE1" w:rsidRPr="007B7E86" w:rsidRDefault="00D37DE1" w:rsidP="00056096">
            <w:pPr>
              <w:autoSpaceDE/>
              <w:autoSpaceDN/>
              <w:adjustRightInd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Variable</w:t>
            </w:r>
          </w:p>
        </w:tc>
        <w:tc>
          <w:tcPr>
            <w:tcW w:w="4498" w:type="dxa"/>
            <w:vAlign w:val="center"/>
          </w:tcPr>
          <w:p w14:paraId="3CB66BFE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Binomial logistic regression</w:t>
            </w:r>
          </w:p>
        </w:tc>
      </w:tr>
      <w:tr w:rsidR="00D37DE1" w:rsidRPr="007B7E86" w14:paraId="23542E59" w14:textId="77777777" w:rsidTr="00056096">
        <w:trPr>
          <w:trHeight w:val="90"/>
        </w:trPr>
        <w:tc>
          <w:tcPr>
            <w:tcW w:w="4497" w:type="dxa"/>
            <w:vMerge/>
          </w:tcPr>
          <w:p w14:paraId="394006CD" w14:textId="77777777" w:rsidR="00D37DE1" w:rsidRPr="007B7E86" w:rsidRDefault="00D37DE1" w:rsidP="00056096">
            <w:pPr>
              <w:autoSpaceDE/>
              <w:autoSpaceDN/>
              <w:adjustRightInd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4498" w:type="dxa"/>
            <w:vAlign w:val="center"/>
          </w:tcPr>
          <w:p w14:paraId="6851C089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p value</w:t>
            </w:r>
          </w:p>
        </w:tc>
      </w:tr>
      <w:tr w:rsidR="00D37DE1" w:rsidRPr="007B7E86" w14:paraId="75550630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6F82D95B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Presenting symptom - Seizure:</w:t>
            </w:r>
          </w:p>
        </w:tc>
        <w:tc>
          <w:tcPr>
            <w:tcW w:w="4498" w:type="dxa"/>
            <w:vAlign w:val="center"/>
          </w:tcPr>
          <w:p w14:paraId="09D96DC6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255</w:t>
            </w:r>
          </w:p>
        </w:tc>
      </w:tr>
      <w:tr w:rsidR="00D37DE1" w:rsidRPr="007B7E86" w14:paraId="7F7EBAAE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59DB67A8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Presenting symptom - Motor:</w:t>
            </w:r>
          </w:p>
        </w:tc>
        <w:tc>
          <w:tcPr>
            <w:tcW w:w="4498" w:type="dxa"/>
            <w:vAlign w:val="center"/>
          </w:tcPr>
          <w:p w14:paraId="51247A90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05</w:t>
            </w:r>
          </w:p>
        </w:tc>
      </w:tr>
      <w:tr w:rsidR="00D37DE1" w:rsidRPr="007B7E86" w14:paraId="1D2A756F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3BCC9348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Presenting symptom - Sensory:</w:t>
            </w:r>
          </w:p>
        </w:tc>
        <w:tc>
          <w:tcPr>
            <w:tcW w:w="4498" w:type="dxa"/>
            <w:vAlign w:val="center"/>
          </w:tcPr>
          <w:p w14:paraId="323B048D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081</w:t>
            </w:r>
          </w:p>
        </w:tc>
      </w:tr>
      <w:tr w:rsidR="00D37DE1" w:rsidRPr="007B7E86" w14:paraId="714C8825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00E7DF7F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Presenting symptom - Speech:</w:t>
            </w:r>
          </w:p>
        </w:tc>
        <w:tc>
          <w:tcPr>
            <w:tcW w:w="4498" w:type="dxa"/>
            <w:vAlign w:val="center"/>
          </w:tcPr>
          <w:p w14:paraId="5A75B924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0.01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</w:t>
            </w:r>
          </w:p>
        </w:tc>
      </w:tr>
      <w:tr w:rsidR="00D37DE1" w:rsidRPr="007B7E86" w14:paraId="3880D714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200FF897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Presenting symptom - Cognition:</w:t>
            </w:r>
          </w:p>
        </w:tc>
        <w:tc>
          <w:tcPr>
            <w:tcW w:w="4498" w:type="dxa"/>
            <w:vAlign w:val="center"/>
          </w:tcPr>
          <w:p w14:paraId="1FC08A28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100</w:t>
            </w:r>
          </w:p>
        </w:tc>
      </w:tr>
      <w:tr w:rsidR="00D37DE1" w:rsidRPr="007B7E86" w14:paraId="7331C7F3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41C7FD19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Presenting symptom - Headache:</w:t>
            </w:r>
          </w:p>
        </w:tc>
        <w:tc>
          <w:tcPr>
            <w:tcW w:w="4498" w:type="dxa"/>
            <w:vAlign w:val="center"/>
          </w:tcPr>
          <w:p w14:paraId="304571F6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111</w:t>
            </w:r>
          </w:p>
        </w:tc>
      </w:tr>
      <w:tr w:rsidR="00D37DE1" w:rsidRPr="007B7E86" w14:paraId="500622C6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57D0B075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Presenting symptom - Incidental:</w:t>
            </w:r>
          </w:p>
        </w:tc>
        <w:tc>
          <w:tcPr>
            <w:tcW w:w="4498" w:type="dxa"/>
            <w:vAlign w:val="center"/>
          </w:tcPr>
          <w:p w14:paraId="7C0E6A04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255</w:t>
            </w:r>
          </w:p>
        </w:tc>
      </w:tr>
      <w:tr w:rsidR="00D37DE1" w:rsidRPr="007B7E86" w14:paraId="6D3D9CEC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1670E192" w14:textId="77777777" w:rsidR="00D37DE1" w:rsidRPr="00C8798E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C8798E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Corticosteroids at diagnosis:</w:t>
            </w:r>
          </w:p>
        </w:tc>
        <w:tc>
          <w:tcPr>
            <w:tcW w:w="4498" w:type="dxa"/>
            <w:vAlign w:val="center"/>
          </w:tcPr>
          <w:p w14:paraId="038A5723" w14:textId="77777777" w:rsidR="00D37DE1" w:rsidRPr="00C8798E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8798E">
              <w:rPr>
                <w:rFonts w:ascii="Arial" w:hAnsi="Arial" w:cs="Arial"/>
                <w:b/>
                <w:bCs/>
                <w:sz w:val="21"/>
                <w:szCs w:val="21"/>
              </w:rPr>
              <w:t>0.021</w:t>
            </w:r>
          </w:p>
        </w:tc>
      </w:tr>
      <w:tr w:rsidR="00D37DE1" w:rsidRPr="007B7E86" w14:paraId="6EAC1036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6FBA0750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Anti-epileptic drugs at diagnosis:</w:t>
            </w:r>
          </w:p>
        </w:tc>
        <w:tc>
          <w:tcPr>
            <w:tcW w:w="4498" w:type="dxa"/>
            <w:vAlign w:val="center"/>
          </w:tcPr>
          <w:p w14:paraId="4EB77263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14</w:t>
            </w:r>
          </w:p>
        </w:tc>
      </w:tr>
      <w:tr w:rsidR="00D37DE1" w:rsidRPr="007B7E86" w14:paraId="3A5A5269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59F6D60F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Tumour Location - Parietal:</w:t>
            </w:r>
          </w:p>
        </w:tc>
        <w:tc>
          <w:tcPr>
            <w:tcW w:w="4498" w:type="dxa"/>
            <w:vAlign w:val="center"/>
          </w:tcPr>
          <w:p w14:paraId="6D7EF3C2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06</w:t>
            </w:r>
          </w:p>
        </w:tc>
      </w:tr>
      <w:tr w:rsidR="00D37DE1" w:rsidRPr="007B7E86" w14:paraId="3F0D5C1D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36186694" w14:textId="77777777" w:rsidR="00D37DE1" w:rsidRPr="00C8798E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C8798E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Tumour Location - Cerebellum</w:t>
            </w:r>
          </w:p>
        </w:tc>
        <w:tc>
          <w:tcPr>
            <w:tcW w:w="4498" w:type="dxa"/>
            <w:vAlign w:val="center"/>
          </w:tcPr>
          <w:p w14:paraId="61240CD6" w14:textId="77777777" w:rsidR="00D37DE1" w:rsidRPr="00C8798E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C8798E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0.041</w:t>
            </w:r>
          </w:p>
        </w:tc>
      </w:tr>
      <w:tr w:rsidR="00D37DE1" w:rsidRPr="007B7E86" w14:paraId="74D8E124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7E938D5D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Multifocal/multicentric tumour:</w:t>
            </w:r>
          </w:p>
        </w:tc>
        <w:tc>
          <w:tcPr>
            <w:tcW w:w="4498" w:type="dxa"/>
            <w:vAlign w:val="center"/>
          </w:tcPr>
          <w:p w14:paraId="7DA317E6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423</w:t>
            </w:r>
          </w:p>
        </w:tc>
      </w:tr>
      <w:tr w:rsidR="00D37DE1" w:rsidRPr="007B7E86" w14:paraId="387C5A15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3F421565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Molecular markers – Telomerase reverse transcriptase promoter mutation:</w:t>
            </w:r>
          </w:p>
        </w:tc>
        <w:tc>
          <w:tcPr>
            <w:tcW w:w="4498" w:type="dxa"/>
            <w:vAlign w:val="center"/>
          </w:tcPr>
          <w:p w14:paraId="653B8C25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D37DE1" w:rsidRPr="007B7E86" w14:paraId="759E751E" w14:textId="77777777" w:rsidTr="00056096">
        <w:trPr>
          <w:trHeight w:val="432"/>
        </w:trPr>
        <w:tc>
          <w:tcPr>
            <w:tcW w:w="4497" w:type="dxa"/>
            <w:vAlign w:val="center"/>
          </w:tcPr>
          <w:p w14:paraId="1598AE06" w14:textId="77777777" w:rsidR="00D37DE1" w:rsidRPr="007B7E86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 xml:space="preserve">Time from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MRI</w:t>
            </w: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 xml:space="preserve"> to surgery:</w:t>
            </w:r>
          </w:p>
        </w:tc>
        <w:tc>
          <w:tcPr>
            <w:tcW w:w="4498" w:type="dxa"/>
            <w:vAlign w:val="center"/>
          </w:tcPr>
          <w:p w14:paraId="1D58E038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01</w:t>
            </w:r>
          </w:p>
        </w:tc>
      </w:tr>
      <w:tr w:rsidR="00D37DE1" w:rsidRPr="007B7E86" w14:paraId="13421B26" w14:textId="77777777" w:rsidTr="00056096">
        <w:trPr>
          <w:trHeight w:val="132"/>
        </w:trPr>
        <w:tc>
          <w:tcPr>
            <w:tcW w:w="4497" w:type="dxa"/>
            <w:vAlign w:val="center"/>
          </w:tcPr>
          <w:p w14:paraId="5B00099E" w14:textId="77777777" w:rsidR="00D37DE1" w:rsidRPr="00C8798E" w:rsidRDefault="00D37DE1" w:rsidP="00056096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Extent of surgery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 xml:space="preserve"> – biopsy vs resection</w:t>
            </w: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:</w:t>
            </w:r>
          </w:p>
        </w:tc>
        <w:tc>
          <w:tcPr>
            <w:tcW w:w="4498" w:type="dxa"/>
            <w:vAlign w:val="center"/>
          </w:tcPr>
          <w:p w14:paraId="2B7DC6D8" w14:textId="77777777" w:rsidR="00D37DE1" w:rsidRPr="007B7E86" w:rsidRDefault="00D37DE1" w:rsidP="0005609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7B7E86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&lt;0.001</w:t>
            </w:r>
          </w:p>
        </w:tc>
      </w:tr>
    </w:tbl>
    <w:p w14:paraId="6A1829A3" w14:textId="77777777" w:rsidR="00D37DE1" w:rsidRPr="007B7E86" w:rsidRDefault="00D37DE1" w:rsidP="00D37DE1">
      <w:pPr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B7E86">
        <w:rPr>
          <w:rFonts w:ascii="Arial" w:hAnsi="Arial" w:cs="Arial"/>
          <w:color w:val="000000" w:themeColor="text1"/>
          <w:sz w:val="22"/>
          <w:szCs w:val="22"/>
        </w:rPr>
        <w:t xml:space="preserve">Supplementary Table 1. Binomial logistic regression to identify patient, tumour and treatment features associated with a diagnosis of molecular glioblastoma with the significant features highlighted in </w:t>
      </w:r>
      <w:r w:rsidRPr="007B7E86">
        <w:rPr>
          <w:rFonts w:ascii="Arial" w:hAnsi="Arial" w:cs="Arial"/>
          <w:b/>
          <w:bCs/>
          <w:color w:val="000000" w:themeColor="text1"/>
          <w:sz w:val="22"/>
          <w:szCs w:val="22"/>
        </w:rPr>
        <w:t>bold</w:t>
      </w:r>
      <w:r w:rsidRPr="007B7E86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MRI: magnetic resonance imaging.</w:t>
      </w:r>
    </w:p>
    <w:p w14:paraId="5BEDF713" w14:textId="77777777" w:rsidR="00A91650" w:rsidRDefault="00A91650"/>
    <w:sectPr w:rsidR="00A91650" w:rsidSect="00D37DE1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DE1"/>
    <w:rsid w:val="000E2EDD"/>
    <w:rsid w:val="004029E4"/>
    <w:rsid w:val="00A42C29"/>
    <w:rsid w:val="00A91650"/>
    <w:rsid w:val="00D37DE1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1B5D3"/>
  <w15:chartTrackingRefBased/>
  <w15:docId w15:val="{C84D7D46-D08C-4D64-8EFA-C3617C5FD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D37DE1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kern w:val="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7DE1"/>
    <w:pPr>
      <w:keepNext/>
      <w:keepLines/>
      <w:autoSpaceDE/>
      <w:autoSpaceDN/>
      <w:adjustRightIn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DE1"/>
    <w:pPr>
      <w:keepNext/>
      <w:keepLines/>
      <w:autoSpaceDE/>
      <w:autoSpaceDN/>
      <w:adjustRightIn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DE1"/>
    <w:pPr>
      <w:keepNext/>
      <w:keepLines/>
      <w:autoSpaceDE/>
      <w:autoSpaceDN/>
      <w:adjustRightIn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DE1"/>
    <w:pPr>
      <w:keepNext/>
      <w:keepLines/>
      <w:autoSpaceDE/>
      <w:autoSpaceDN/>
      <w:adjustRightIn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DE1"/>
    <w:pPr>
      <w:keepNext/>
      <w:keepLines/>
      <w:autoSpaceDE/>
      <w:autoSpaceDN/>
      <w:adjustRightIn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DE1"/>
    <w:pPr>
      <w:keepNext/>
      <w:keepLines/>
      <w:autoSpaceDE/>
      <w:autoSpaceDN/>
      <w:adjustRightIn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DE1"/>
    <w:pPr>
      <w:keepNext/>
      <w:keepLines/>
      <w:autoSpaceDE/>
      <w:autoSpaceDN/>
      <w:adjustRightIn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DE1"/>
    <w:pPr>
      <w:keepNext/>
      <w:keepLines/>
      <w:autoSpaceDE/>
      <w:autoSpaceDN/>
      <w:adjustRightIn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DE1"/>
    <w:pPr>
      <w:keepNext/>
      <w:keepLines/>
      <w:autoSpaceDE/>
      <w:autoSpaceDN/>
      <w:adjustRightIn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D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D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D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D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D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D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D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D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D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DE1"/>
    <w:pPr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37D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DE1"/>
    <w:pPr>
      <w:numPr>
        <w:ilvl w:val="1"/>
      </w:numPr>
      <w:autoSpaceDE/>
      <w:autoSpaceDN/>
      <w:adjustRightIn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37D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DE1"/>
    <w:pPr>
      <w:autoSpaceDE/>
      <w:autoSpaceDN/>
      <w:adjustRightInd/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37D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DE1"/>
    <w:pPr>
      <w:autoSpaceDE/>
      <w:autoSpaceDN/>
      <w:adjustRightInd/>
      <w:spacing w:after="160" w:line="278" w:lineRule="auto"/>
      <w:ind w:left="720"/>
      <w:contextualSpacing/>
    </w:pPr>
    <w:rPr>
      <w:rFonts w:asciiTheme="minorHAnsi" w:hAnsiTheme="minorHAnsi" w:cstheme="minorBidi"/>
      <w:color w:val="auto"/>
      <w:kern w:val="2"/>
      <w:lang w:val="en-IN"/>
    </w:rPr>
  </w:style>
  <w:style w:type="character" w:styleId="IntenseEmphasis">
    <w:name w:val="Intense Emphasis"/>
    <w:basedOn w:val="DefaultParagraphFont"/>
    <w:uiPriority w:val="21"/>
    <w:qFormat/>
    <w:rsid w:val="00D37D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D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D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DE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37DE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37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1024</Characters>
  <Application>Microsoft Office Word</Application>
  <DocSecurity>0</DocSecurity>
  <Lines>45</Lines>
  <Paragraphs>37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2025-11-06T09:14:00Z</dcterms:created>
  <dcterms:modified xsi:type="dcterms:W3CDTF">2025-11-06T09:14:00Z</dcterms:modified>
</cp:coreProperties>
</file>