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8989">
      <w:pPr>
        <w:jc w:val="center"/>
        <w:rPr>
          <w:rFonts w:hint="default" w:ascii="Times New Roman" w:hAnsi="Times New Roman" w:cs="Times New Roman"/>
          <w:sz w:val="32"/>
          <w:szCs w:val="40"/>
        </w:rPr>
      </w:pPr>
      <w:r>
        <w:rPr>
          <w:rFonts w:hint="default" w:ascii="Times New Roman" w:hAnsi="Times New Roman" w:cs="Times New Roman"/>
          <w:sz w:val="32"/>
          <w:szCs w:val="40"/>
        </w:rPr>
        <w:t>Supplementary Material S1: Detailed Statistical Methods</w:t>
      </w:r>
    </w:p>
    <w:p w14:paraId="74F9909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S1.1 Disproportionality Analysis Formulas</w:t>
      </w:r>
    </w:p>
    <w:p w14:paraId="25DB415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1.Reporting Odds Ratio (ROR):</w:t>
      </w:r>
    </w:p>
    <w:p w14:paraId="52472414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position w:val="-24"/>
          <w:szCs w:val="21"/>
        </w:rPr>
        <w:object>
          <v:shape id="_x0000_i1031" o:spt="75" type="#_x0000_t75" style="height:31.65pt;width:63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31" DrawAspect="Content" ObjectID="_1468075725" r:id="rId4">
            <o:LockedField>false</o:LockedField>
          </o:OLEObject>
        </w:object>
      </w:r>
      <w:bookmarkStart w:id="0" w:name="_GoBack"/>
      <w:bookmarkEnd w:id="0"/>
    </w:p>
    <w:p w14:paraId="569F731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Definitions:</w:t>
      </w:r>
    </w:p>
    <w:p w14:paraId="37B6506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a: Number of reports associating the target drug with a specific adverse drug reaction (ADR).</w:t>
      </w:r>
    </w:p>
    <w:p w14:paraId="4949B6B6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b: Number of reports associating the target drug with all other ADRs.</w:t>
      </w:r>
    </w:p>
    <w:p w14:paraId="3BE3D7EA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c: Number of reports associating all other drugs with the specific ADR.</w:t>
      </w:r>
    </w:p>
    <w:p w14:paraId="2B5532DF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d: Number of reports associating all other drugs with all other ADRs.</w:t>
      </w:r>
    </w:p>
    <w:p w14:paraId="54B9782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Interpretation:</w:t>
      </w:r>
    </w:p>
    <w:p w14:paraId="795EBFD6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An ROR &gt; 1 indicates a higher likelihood of the ADR being reported for the target drug compared to other drugs.</w:t>
      </w:r>
    </w:p>
    <w:p w14:paraId="49C196B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 signal is considered statistically significant if the lower bound of the 95% confidence interval (CI) exceeds 1.0.</w:t>
      </w:r>
    </w:p>
    <w:p w14:paraId="5610380B"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Proportional Reporting Ratio (PRR):</w:t>
      </w:r>
    </w:p>
    <w:p w14:paraId="45BCEF11">
      <w:pPr>
        <w:numPr>
          <w:numId w:val="0"/>
        </w:numPr>
        <w:jc w:val="center"/>
        <w:rPr>
          <w:rFonts w:hint="default" w:ascii="Times New Roman" w:hAnsi="Times New Roman" w:eastAsia="微软雅黑" w:cs="Times New Roman"/>
          <w:position w:val="-28"/>
          <w:szCs w:val="21"/>
        </w:rPr>
      </w:pPr>
      <w:r>
        <w:rPr>
          <w:rFonts w:hint="default" w:ascii="Times New Roman" w:hAnsi="Times New Roman" w:eastAsia="微软雅黑" w:cs="Times New Roman"/>
          <w:position w:val="-28"/>
          <w:szCs w:val="21"/>
        </w:rPr>
        <w:object>
          <v:shape id="_x0000_i1033" o:spt="75" type="#_x0000_t75" style="height:33.25pt;width:8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33" DrawAspect="Content" ObjectID="_1468075726" r:id="rId6">
            <o:LockedField>false</o:LockedField>
          </o:OLEObject>
        </w:object>
      </w:r>
    </w:p>
    <w:p w14:paraId="4A165681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Threshold Criteria:</w:t>
      </w:r>
    </w:p>
    <w:p w14:paraId="5F260C48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 signal is flagged if all three conditions are met:</w:t>
      </w:r>
    </w:p>
    <w:p w14:paraId="77AE2B5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①</w:t>
      </w:r>
      <w:r>
        <w:rPr>
          <w:rFonts w:hint="default" w:ascii="Times New Roman" w:hAnsi="Times New Roman" w:cs="Times New Roman" w:eastAsiaTheme="minorEastAsia"/>
          <w:lang w:val="en-US" w:eastAsia="zh-CN"/>
        </w:rPr>
        <w:t>a≥3 (minimum case threshold).</w:t>
      </w:r>
    </w:p>
    <w:p w14:paraId="470ECD1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②</w:t>
      </w:r>
      <w:r>
        <w:rPr>
          <w:rFonts w:hint="default" w:ascii="Times New Roman" w:hAnsi="Times New Roman" w:cs="Times New Roman" w:eastAsiaTheme="minorEastAsia"/>
          <w:lang w:val="en-US" w:eastAsia="zh-CN"/>
        </w:rPr>
        <w:t>PRR ≥ 2 (threshold for disproportionate reporting).</w:t>
      </w:r>
    </w:p>
    <w:p w14:paraId="4E22D41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③</w:t>
      </w:r>
      <w:r>
        <w:rPr>
          <w:rFonts w:hint="default" w:ascii="Times New Roman" w:hAnsi="Times New Roman" w:cs="Times New Roman" w:eastAsiaTheme="minorEastAsia"/>
          <w:lang w:val="en-US" w:eastAsia="zh-CN"/>
        </w:rPr>
        <w:t>Chi-squared statistic ≥ 4 (threshold for statistical significance).</w:t>
      </w:r>
    </w:p>
    <w:p w14:paraId="09D18A01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S1.2 Principal Component Analysis (PCA)</w:t>
      </w:r>
    </w:p>
    <w:p w14:paraId="3773E89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Objective: Reduce dimensionality of ADR data to identify dominant patterns.</w:t>
      </w:r>
    </w:p>
    <w:p w14:paraId="060FE99E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Procedure:</w:t>
      </w:r>
    </w:p>
    <w:p w14:paraId="218E8E1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Standardize the ADR frequency matrix (z-score normalization).</w:t>
      </w:r>
    </w:p>
    <w:p w14:paraId="0D9A338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Compute covariance matrix.</w:t>
      </w:r>
    </w:p>
    <w:p w14:paraId="5D80C4A9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Extract eigenvalues and eigenvectors.</w:t>
      </w:r>
    </w:p>
    <w:p w14:paraId="0837472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Retain the first two principal components (PC1 and PC2), explaining ​78% cumulative variance (PC1: 52%, PC2: 26%).</w:t>
      </w:r>
    </w:p>
    <w:p w14:paraId="4555FAE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Outcome:</w:t>
      </w:r>
    </w:p>
    <w:p w14:paraId="7C0AA349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Drugs are visualized in a 2D space based on PC1 and PC2 scores.</w:t>
      </w:r>
    </w:p>
    <w:p w14:paraId="7F65A4DA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S1.3 K-means Clustering</w:t>
      </w:r>
    </w:p>
    <w:p w14:paraId="09B75272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Objective: Classify drugs into safety clusters based on ADR patterns.</w:t>
      </w:r>
    </w:p>
    <w:p w14:paraId="00664842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Parameters:</w:t>
      </w:r>
    </w:p>
    <w:p w14:paraId="49490AEA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​Distance metric: Euclidean distance.</w:t>
      </w:r>
    </w:p>
    <w:p w14:paraId="7AA4D583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​Cluster number (k): Determined via the elbow method, which identified k=2 as optimal (minimizing within-cluster variance).</w:t>
      </w:r>
    </w:p>
    <w:p w14:paraId="04B450A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​Initialization: Random centroid seeding with 10 iterations to ensure stability.</w:t>
      </w:r>
    </w:p>
    <w:p w14:paraId="1923466B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Outcome:</w:t>
      </w:r>
    </w:p>
    <w:p w14:paraId="472AAF4B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111CC636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Cluster 1: High-risk drugs (Cerebrolysin, Citicoline).</w:t>
      </w:r>
    </w:p>
    <w:p w14:paraId="06AF209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Cluster 2: Moderate-risk drugs (Flunarizine, Mecobalamin).</w:t>
      </w:r>
    </w:p>
    <w:p w14:paraId="7E49F141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​S1.4 Signal Detection Criteria</w:t>
      </w:r>
    </w:p>
    <w:p w14:paraId="0FDD1482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A signal is validated if:</w:t>
      </w:r>
    </w:p>
    <w:p w14:paraId="6FEB7DA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​Case count: a≥5 (ensuring robustness against rare events).</w:t>
      </w:r>
    </w:p>
    <w:p w14:paraId="7AC02830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​Statistical significance:</w:t>
      </w:r>
    </w:p>
    <w:p w14:paraId="24CC772F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ROR: 95% CI excluding 1.0.</w:t>
      </w:r>
    </w:p>
    <w:p w14:paraId="2C1B2427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PRR: Chi-squared ≥ 4 (p&lt;0.05).</w:t>
      </w:r>
    </w:p>
    <w:p w14:paraId="6AF9DF6C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​Clinical relevance: ADR listed in drug labeling or supported by prior literature.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萍方-简">
    <w:panose1 w:val="020B0400000000000000"/>
    <w:charset w:val="86"/>
    <w:family w:val="auto"/>
    <w:pitch w:val="default"/>
    <w:sig w:usb0="A00002FF" w:usb1="7ACFFCFB" w:usb2="00000016" w:usb3="00000000" w:csb0="00040001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B93C4"/>
    <w:multiLevelType w:val="singleLevel"/>
    <w:tmpl w:val="FFEB93C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409C"/>
    <w:rsid w:val="7BF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1854</Characters>
  <Lines>0</Lines>
  <Paragraphs>0</Paragraphs>
  <TotalTime>2</TotalTime>
  <ScaleCrop>false</ScaleCrop>
  <LinksUpToDate>false</LinksUpToDate>
  <CharactersWithSpaces>2112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2025-03-12T18:22:00Z</dcterms:created>
  <dc:creator>Nick Young</dc:creator>
  <cp:lastModifiedBy>Nick Young</cp:lastModifiedBy>
  <dcterms:modified xsi:type="dcterms:W3CDTF">2025-03-12T18:28:02Z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B644946B9667441AB3A5E281B45B2122_11</vt:lpwstr>
  </property>
  <property fmtid="{D5CDD505-2E9C-101B-9397-08002B2CF9AE}" pid="4" name="KSOTemplateDocerSaveRecord">
    <vt:lpwstr>eyJoZGlkIjoiMzEwNTM5NzYwMDRjMzkwZTVkZjY2ODkwMGIxNGU0OTUiLCJ1c2VySWQiOiIyNjgwNjc4MzkifQ==</vt:lpwstr>
  </property>
</Properties>
</file>