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DC9083" w14:textId="77777777" w:rsidR="00A97F04" w:rsidRPr="00E3764E" w:rsidRDefault="00A97F04" w:rsidP="00A97F04">
      <w:pPr>
        <w:spacing w:before="100" w:beforeAutospacing="1" w:line="480" w:lineRule="auto"/>
        <w:jc w:val="both"/>
        <w:rPr>
          <w:rFonts w:ascii="Times New Roman" w:eastAsia="Gulim" w:hAnsi="Times New Roman"/>
          <w:b/>
          <w:kern w:val="0"/>
          <w:sz w:val="28"/>
          <w:szCs w:val="28"/>
          <w14:ligatures w14:val="none"/>
        </w:rPr>
      </w:pPr>
      <w:r w:rsidRPr="00E3764E">
        <w:rPr>
          <w:rFonts w:ascii="Times New Roman" w:eastAsia="Gulim" w:hAnsi="Times New Roman" w:hint="eastAsia"/>
          <w:b/>
          <w:kern w:val="0"/>
          <w:sz w:val="28"/>
          <w:szCs w:val="28"/>
          <w14:ligatures w14:val="none"/>
        </w:rPr>
        <w:t>Appendix</w:t>
      </w:r>
      <w:r w:rsidRPr="00E3764E">
        <w:rPr>
          <w:rFonts w:ascii="Times New Roman" w:eastAsia="Gulim" w:hAnsi="Times New Roman"/>
          <w:b/>
          <w:kern w:val="0"/>
          <w:sz w:val="28"/>
          <w:szCs w:val="28"/>
          <w14:ligatures w14:val="none"/>
        </w:rPr>
        <w:t>.</w:t>
      </w:r>
    </w:p>
    <w:p w14:paraId="6EA0F90F" w14:textId="77777777" w:rsidR="00A97F04" w:rsidRPr="00E3764E" w:rsidRDefault="00A97F04" w:rsidP="00A97F04">
      <w:pPr>
        <w:spacing w:before="100" w:beforeAutospacing="1" w:line="480" w:lineRule="auto"/>
        <w:rPr>
          <w:rFonts w:ascii="Times New Roman" w:eastAsia="Gulim" w:hAnsi="Times New Roman"/>
          <w:b/>
          <w:kern w:val="0"/>
          <w14:ligatures w14:val="none"/>
        </w:rPr>
      </w:pPr>
      <w:r w:rsidRPr="00E3764E">
        <w:rPr>
          <w:rFonts w:ascii="Times New Roman" w:eastAsia="Gulim" w:hAnsi="Times New Roman"/>
          <w:b/>
          <w:kern w:val="0"/>
          <w14:ligatures w14:val="none"/>
        </w:rPr>
        <w:t xml:space="preserve">1. Appendix to Section IV: </w:t>
      </w:r>
      <w:r w:rsidRPr="00E3764E">
        <w:rPr>
          <w:rFonts w:ascii="Times New Roman" w:eastAsia="Gulim" w:hAnsi="Times New Roman" w:hint="eastAsia"/>
          <w:b/>
          <w:kern w:val="0"/>
          <w14:ligatures w14:val="none"/>
        </w:rPr>
        <w:t xml:space="preserve">                                           </w:t>
      </w:r>
      <w:r w:rsidRPr="00E3764E">
        <w:rPr>
          <w:rFonts w:ascii="Times New Roman" w:eastAsia="Gulim" w:hAnsi="Times New Roman"/>
          <w:b/>
          <w:kern w:val="0"/>
          <w14:ligatures w14:val="none"/>
        </w:rPr>
        <w:t>Comparison of GTED Model to Existing Growth Models and Its Added Values</w:t>
      </w:r>
    </w:p>
    <w:p w14:paraId="307F9DE0" w14:textId="77777777" w:rsidR="00A97F04" w:rsidRPr="00E3764E" w:rsidRDefault="00A97F04" w:rsidP="00A97F04">
      <w:pPr>
        <w:spacing w:before="100" w:beforeAutospacing="1" w:after="100" w:afterAutospacing="1" w:line="480" w:lineRule="auto"/>
        <w:jc w:val="both"/>
        <w:rPr>
          <w:rFonts w:ascii="Times New Roman" w:eastAsia="Gulim" w:hAnsi="Times New Roman"/>
          <w:kern w:val="0"/>
          <w14:ligatures w14:val="none"/>
        </w:rPr>
      </w:pPr>
      <w:r w:rsidRPr="00E3764E">
        <w:rPr>
          <w:rFonts w:ascii="Times New Roman" w:eastAsia="Gulim" w:hAnsi="Times New Roman"/>
          <w:kern w:val="0"/>
          <w14:ligatures w14:val="none"/>
        </w:rPr>
        <w:t>This appendix provides a concise mathematical overview of how the General Theory of Economic Development (GTED) compares to key existing growth models—New Institutional Economics (NIE), Endogenous Growth Theory (EGT, including Romer, 1990, and Lucas, 1988), and Complexity Economics (e.g., Beinhocker, 2006; Arthur, 2014)—highlighting GTED's added values in integrating institutions, addressing free-riding, incorporating a dynamic loop effect, and adopting a complexity perspective.</w:t>
      </w:r>
    </w:p>
    <w:p w14:paraId="2AD863BB" w14:textId="77777777" w:rsidR="00A97F04" w:rsidRPr="00E3764E" w:rsidRDefault="00A97F04" w:rsidP="00A97F04">
      <w:pPr>
        <w:numPr>
          <w:ilvl w:val="0"/>
          <w:numId w:val="1"/>
        </w:numPr>
        <w:spacing w:before="100" w:beforeAutospacing="1" w:after="100" w:afterAutospacing="1" w:line="480" w:lineRule="auto"/>
        <w:jc w:val="both"/>
        <w:rPr>
          <w:rFonts w:ascii="Times New Roman" w:eastAsia="Gulim" w:hAnsi="Times New Roman"/>
          <w:b/>
          <w:kern w:val="0"/>
          <w14:ligatures w14:val="none"/>
        </w:rPr>
      </w:pPr>
      <w:r w:rsidRPr="00E3764E">
        <w:rPr>
          <w:rFonts w:ascii="Times New Roman" w:eastAsia="Gulim" w:hAnsi="Times New Roman"/>
          <w:b/>
          <w:kern w:val="0"/>
          <w14:ligatures w14:val="none"/>
        </w:rPr>
        <w:t xml:space="preserve">GTED Model Overview </w:t>
      </w:r>
    </w:p>
    <w:p w14:paraId="4A76D01B" w14:textId="77777777" w:rsidR="00A97F04" w:rsidRPr="00E3764E" w:rsidRDefault="00A97F04" w:rsidP="00A97F04">
      <w:pPr>
        <w:spacing w:before="100" w:beforeAutospacing="1" w:after="100" w:afterAutospacing="1" w:line="480" w:lineRule="auto"/>
        <w:jc w:val="both"/>
        <w:rPr>
          <w:rFonts w:ascii="Times New Roman" w:eastAsia="Gulim" w:hAnsi="Times New Roman"/>
          <w:kern w:val="0"/>
          <w14:ligatures w14:val="none"/>
        </w:rPr>
      </w:pPr>
      <w:r w:rsidRPr="00E3764E">
        <w:rPr>
          <w:rFonts w:ascii="Times New Roman" w:eastAsia="Gulim" w:hAnsi="Times New Roman"/>
          <w:kern w:val="0"/>
          <w14:ligatures w14:val="none"/>
        </w:rPr>
        <w:t>GTED's core equations are:</w:t>
      </w:r>
    </w:p>
    <w:p w14:paraId="4B1A671C" w14:textId="77777777" w:rsidR="00A97F04" w:rsidRPr="00E3764E" w:rsidRDefault="00A97F04" w:rsidP="00A97F04">
      <w:pPr>
        <w:numPr>
          <w:ilvl w:val="0"/>
          <w:numId w:val="2"/>
        </w:numPr>
        <w:spacing w:before="100" w:beforeAutospacing="1" w:after="100" w:afterAutospacing="1" w:line="480" w:lineRule="auto"/>
        <w:jc w:val="both"/>
        <w:rPr>
          <w:rFonts w:ascii="Times New Roman" w:eastAsia="Gulim" w:hAnsi="Times New Roman"/>
          <w:kern w:val="0"/>
          <w14:ligatures w14:val="none"/>
        </w:rPr>
      </w:pPr>
      <w:r w:rsidRPr="00E3764E">
        <w:rPr>
          <w:rFonts w:ascii="Times New Roman" w:eastAsia="Gulim" w:hAnsi="Times New Roman"/>
          <w:kern w:val="0"/>
          <w14:ligatures w14:val="none"/>
        </w:rPr>
        <w:t xml:space="preserve">Technology equation: dA/dt = β · y + σ · β · A - η · A - ϕ · A, where ϕ = ψ · η - σ · β. </w:t>
      </w:r>
    </w:p>
    <w:p w14:paraId="4EF28C11" w14:textId="77777777" w:rsidR="00A97F04" w:rsidRPr="00E3764E" w:rsidRDefault="00A97F04" w:rsidP="00A97F04">
      <w:pPr>
        <w:numPr>
          <w:ilvl w:val="1"/>
          <w:numId w:val="2"/>
        </w:numPr>
        <w:spacing w:before="100" w:beforeAutospacing="1" w:after="100" w:afterAutospacing="1" w:line="480" w:lineRule="auto"/>
        <w:jc w:val="both"/>
        <w:rPr>
          <w:rFonts w:ascii="Times New Roman" w:eastAsia="Gulim" w:hAnsi="Times New Roman"/>
          <w:kern w:val="0"/>
          <w14:ligatures w14:val="none"/>
        </w:rPr>
      </w:pPr>
      <w:r w:rsidRPr="00E3764E">
        <w:rPr>
          <w:rFonts w:ascii="Times New Roman" w:eastAsia="Gulim" w:hAnsi="Times New Roman"/>
          <w:kern w:val="0"/>
          <w14:ligatures w14:val="none"/>
        </w:rPr>
        <w:t>Expanded: dA/dt = β (y + σ A) - η (1 + ψ) A.</w:t>
      </w:r>
    </w:p>
    <w:p w14:paraId="49F43B6C" w14:textId="77777777" w:rsidR="00A97F04" w:rsidRPr="00E3764E" w:rsidRDefault="00A97F04" w:rsidP="00A97F04">
      <w:pPr>
        <w:numPr>
          <w:ilvl w:val="1"/>
          <w:numId w:val="2"/>
        </w:numPr>
        <w:spacing w:before="100" w:beforeAutospacing="1" w:after="100" w:afterAutospacing="1" w:line="480" w:lineRule="auto"/>
        <w:jc w:val="both"/>
        <w:rPr>
          <w:rFonts w:ascii="Times New Roman" w:eastAsia="Gulim" w:hAnsi="Times New Roman"/>
          <w:kern w:val="0"/>
          <w14:ligatures w14:val="none"/>
        </w:rPr>
      </w:pPr>
      <w:r w:rsidRPr="00E3764E">
        <w:rPr>
          <w:rFonts w:ascii="Times New Roman" w:eastAsia="Gulim" w:hAnsi="Times New Roman"/>
          <w:kern w:val="0"/>
          <w14:ligatures w14:val="none"/>
        </w:rPr>
        <w:t>Output equation: y = ca</w:t>
      </w:r>
      <w:r w:rsidRPr="00E3764E">
        <w:rPr>
          <w:rFonts w:ascii="Times New Roman" w:eastAsia="Gulim" w:hAnsi="Times New Roman"/>
          <w:kern w:val="0"/>
          <w:vertAlign w:val="superscript"/>
          <w14:ligatures w14:val="none"/>
        </w:rPr>
        <w:t>α</w:t>
      </w:r>
      <w:r w:rsidRPr="00E3764E">
        <w:rPr>
          <w:rFonts w:ascii="Times New Roman" w:eastAsia="Gulim" w:hAnsi="Times New Roman"/>
          <w:kern w:val="0"/>
          <w14:ligatures w14:val="none"/>
        </w:rPr>
        <w:t>, where ca = k · A</w:t>
      </w:r>
      <w:r w:rsidRPr="00E3764E">
        <w:rPr>
          <w:rFonts w:ascii="Times New Roman" w:eastAsia="Gulim" w:hAnsi="Times New Roman"/>
          <w:kern w:val="0"/>
          <w:vertAlign w:val="superscript"/>
          <w14:ligatures w14:val="none"/>
        </w:rPr>
        <w:t>γ</w:t>
      </w:r>
      <w:r w:rsidRPr="00E3764E">
        <w:rPr>
          <w:rFonts w:ascii="Times New Roman" w:eastAsia="Gulim" w:hAnsi="Times New Roman"/>
          <w:kern w:val="0"/>
          <w14:ligatures w14:val="none"/>
        </w:rPr>
        <w:t>, y is per capita output, A is technology stock, ca is per capita corporate assets, k is per capita capital, and 0 &lt; α &lt; 1, 0 &lt; γ &lt; 1.</w:t>
      </w:r>
    </w:p>
    <w:p w14:paraId="39987082" w14:textId="77777777" w:rsidR="00A97F04" w:rsidRPr="00E3764E" w:rsidRDefault="00A97F04" w:rsidP="00A97F04">
      <w:pPr>
        <w:spacing w:before="100" w:beforeAutospacing="1" w:after="100" w:afterAutospacing="1" w:line="480" w:lineRule="auto"/>
        <w:jc w:val="both"/>
        <w:rPr>
          <w:rFonts w:ascii="Times New Roman" w:eastAsia="Gulim" w:hAnsi="Times New Roman"/>
          <w:kern w:val="0"/>
          <w14:ligatures w14:val="none"/>
        </w:rPr>
      </w:pPr>
      <w:r w:rsidRPr="00E3764E">
        <w:rPr>
          <w:rFonts w:ascii="Times New Roman" w:eastAsia="Gulim" w:hAnsi="Times New Roman"/>
          <w:kern w:val="0"/>
          <w14:ligatures w14:val="none"/>
        </w:rPr>
        <w:t>Per capita output (y) is driven by corporate assets (ca), which aggregate capital (k) and technology (A). This reflects GTED’s corporate-led shared growth paradigm, distinct from the empirical function Y = f(ca, Gini-ratio, X) used in Section V’s regressions.</w:t>
      </w:r>
    </w:p>
    <w:p w14:paraId="2820EFA3" w14:textId="77777777" w:rsidR="00A97F04" w:rsidRPr="00E3764E" w:rsidRDefault="00A97F04" w:rsidP="00A97F04">
      <w:pPr>
        <w:spacing w:before="100" w:beforeAutospacing="1" w:after="100" w:afterAutospacing="1" w:line="480" w:lineRule="auto"/>
        <w:jc w:val="both"/>
        <w:rPr>
          <w:rFonts w:ascii="Times New Roman" w:eastAsia="Gulim" w:hAnsi="Times New Roman"/>
          <w:kern w:val="0"/>
          <w14:ligatures w14:val="none"/>
        </w:rPr>
      </w:pPr>
      <w:r w:rsidRPr="00E3764E">
        <w:rPr>
          <w:rFonts w:ascii="Times New Roman" w:eastAsia="Gulim" w:hAnsi="Times New Roman"/>
          <w:kern w:val="0"/>
          <w14:ligatures w14:val="none"/>
        </w:rPr>
        <w:t>GTED models economic differentiation (ED) via β (reward rate) and σ (amplification), economic egalitarianism (EE) via η (drag), and free-riding via ψ, with ϕ capturing net free-</w:t>
      </w:r>
      <w:r w:rsidRPr="00E3764E">
        <w:rPr>
          <w:rFonts w:ascii="Times New Roman" w:eastAsia="Gulim" w:hAnsi="Times New Roman"/>
          <w:kern w:val="0"/>
          <w14:ligatures w14:val="none"/>
        </w:rPr>
        <w:lastRenderedPageBreak/>
        <w:t>riding effects. It creates a dynamic loop (β · y links output to technology, and A feeds back into y), amplifying growth beyond IRS (σ · β · A).</w:t>
      </w:r>
    </w:p>
    <w:p w14:paraId="129613D7" w14:textId="77777777" w:rsidR="00A97F04" w:rsidRPr="00E3764E" w:rsidRDefault="00A97F04" w:rsidP="00A97F04">
      <w:pPr>
        <w:numPr>
          <w:ilvl w:val="0"/>
          <w:numId w:val="3"/>
        </w:numPr>
        <w:spacing w:before="100" w:beforeAutospacing="1" w:after="100" w:afterAutospacing="1" w:line="480" w:lineRule="auto"/>
        <w:jc w:val="both"/>
        <w:rPr>
          <w:rFonts w:ascii="Times New Roman" w:eastAsia="Gulim" w:hAnsi="Times New Roman"/>
          <w:b/>
          <w:kern w:val="0"/>
          <w14:ligatures w14:val="none"/>
        </w:rPr>
      </w:pPr>
      <w:r w:rsidRPr="00E3764E">
        <w:rPr>
          <w:rFonts w:ascii="Times New Roman" w:eastAsia="Gulim" w:hAnsi="Times New Roman"/>
          <w:b/>
          <w:kern w:val="0"/>
          <w14:ligatures w14:val="none"/>
        </w:rPr>
        <w:t xml:space="preserve">Comparison to New Institutional Economics (NIE) </w:t>
      </w:r>
    </w:p>
    <w:p w14:paraId="2283C77E" w14:textId="77777777" w:rsidR="00A97F04" w:rsidRPr="00E3764E" w:rsidRDefault="00A97F04" w:rsidP="00A97F04">
      <w:pPr>
        <w:spacing w:before="100" w:beforeAutospacing="1" w:after="100" w:afterAutospacing="1" w:line="480" w:lineRule="auto"/>
        <w:jc w:val="both"/>
        <w:rPr>
          <w:rFonts w:ascii="Times New Roman" w:eastAsia="Gulim" w:hAnsi="Times New Roman"/>
          <w:kern w:val="0"/>
          <w14:ligatures w14:val="none"/>
        </w:rPr>
      </w:pPr>
      <w:r w:rsidRPr="00E3764E">
        <w:rPr>
          <w:rFonts w:ascii="Times New Roman" w:eastAsia="Gulim" w:hAnsi="Times New Roman"/>
          <w:kern w:val="0"/>
          <w14:ligatures w14:val="none"/>
        </w:rPr>
        <w:t>NIE (North, 1990) focuses on institutions reducing transaction costs but lacks a mathematical model for technology dynamics. NIE (Acemoglu &amp; Robinson, 2012) emphasizes property rights and inclusive institutions but does not formalize growth equations.</w:t>
      </w:r>
    </w:p>
    <w:p w14:paraId="348902F1" w14:textId="77777777" w:rsidR="00A97F04" w:rsidRPr="00E3764E" w:rsidRDefault="00A97F04" w:rsidP="00A97F04">
      <w:pPr>
        <w:numPr>
          <w:ilvl w:val="0"/>
          <w:numId w:val="4"/>
        </w:numPr>
        <w:spacing w:before="100" w:beforeAutospacing="1" w:after="100" w:afterAutospacing="1" w:line="480" w:lineRule="auto"/>
        <w:jc w:val="both"/>
        <w:rPr>
          <w:rFonts w:ascii="Times New Roman" w:eastAsia="Gulim" w:hAnsi="Times New Roman"/>
          <w:kern w:val="0"/>
          <w14:ligatures w14:val="none"/>
        </w:rPr>
      </w:pPr>
      <w:r w:rsidRPr="00E3764E">
        <w:rPr>
          <w:rFonts w:ascii="Times New Roman" w:eastAsia="Gulim" w:hAnsi="Times New Roman"/>
          <w:kern w:val="0"/>
          <w14:ligatures w14:val="none"/>
        </w:rPr>
        <w:t>NIE Approach: Institutions shape incentives, but technology is exogenous or implicit (no explicit dA/dt).</w:t>
      </w:r>
    </w:p>
    <w:p w14:paraId="0742AD0C" w14:textId="77777777" w:rsidR="00A97F04" w:rsidRPr="00E3764E" w:rsidRDefault="00A97F04" w:rsidP="00A97F04">
      <w:pPr>
        <w:numPr>
          <w:ilvl w:val="0"/>
          <w:numId w:val="4"/>
        </w:numPr>
        <w:spacing w:before="100" w:beforeAutospacing="1" w:after="100" w:afterAutospacing="1" w:line="480" w:lineRule="auto"/>
        <w:jc w:val="both"/>
        <w:rPr>
          <w:rFonts w:ascii="Times New Roman" w:eastAsia="Gulim" w:hAnsi="Times New Roman"/>
          <w:kern w:val="0"/>
          <w14:ligatures w14:val="none"/>
        </w:rPr>
      </w:pPr>
      <w:r w:rsidRPr="00E3764E">
        <w:rPr>
          <w:rFonts w:ascii="Times New Roman" w:eastAsia="Gulim" w:hAnsi="Times New Roman"/>
          <w:kern w:val="0"/>
          <w14:ligatures w14:val="none"/>
        </w:rPr>
        <w:t>GTED Added Values: GTED endogenizes technology with institutional parameters (β, σ for ED; η, ψ for EE), distinguishing ED (growth-enhancing) from EE (drag-inducing). GTED quantifies NIE’s institutional focus, explaining why inclusive institutions alone fail in MDM (e.g., -1.627**</w:t>
      </w:r>
      <w:r w:rsidRPr="00E3764E">
        <w:rPr>
          <w:rFonts w:ascii="Times New Roman" w:eastAsia="Gulim" w:hAnsi="Times New Roman"/>
          <w:b/>
          <w:kern w:val="0"/>
          <w14:ligatures w14:val="none"/>
        </w:rPr>
        <w:t xml:space="preserve"> </w:t>
      </w:r>
      <w:r w:rsidRPr="00E3764E">
        <w:rPr>
          <w:rFonts w:ascii="Times New Roman" w:eastAsia="Gulim" w:hAnsi="Times New Roman"/>
          <w:kern w:val="0"/>
          <w14:ligatures w14:val="none"/>
        </w:rPr>
        <w:t>and -1.592***</w:t>
      </w:r>
      <w:r w:rsidRPr="00E3764E">
        <w:rPr>
          <w:rFonts w:ascii="Times New Roman" w:eastAsia="Gulim" w:hAnsi="Times New Roman"/>
          <w:b/>
          <w:kern w:val="0"/>
          <w14:ligatures w14:val="none"/>
        </w:rPr>
        <w:t xml:space="preserve"> </w:t>
      </w:r>
      <w:r w:rsidRPr="00E3764E">
        <w:rPr>
          <w:rFonts w:ascii="Times New Roman" w:eastAsia="Gulim" w:hAnsi="Times New Roman"/>
          <w:kern w:val="0"/>
          <w14:ligatures w14:val="none"/>
        </w:rPr>
        <w:t>for welfare effect on output, Table 4 and 5, respectively), as EE erodes incentives.</w:t>
      </w:r>
    </w:p>
    <w:p w14:paraId="23F56281" w14:textId="77777777" w:rsidR="00A97F04" w:rsidRPr="00E3764E" w:rsidRDefault="00A97F04" w:rsidP="00A97F04">
      <w:pPr>
        <w:numPr>
          <w:ilvl w:val="0"/>
          <w:numId w:val="5"/>
        </w:numPr>
        <w:spacing w:before="100" w:beforeAutospacing="1" w:line="480" w:lineRule="auto"/>
        <w:jc w:val="both"/>
        <w:rPr>
          <w:rFonts w:ascii="Times New Roman" w:eastAsia="Gulim" w:hAnsi="Times New Roman"/>
          <w:b/>
          <w:kern w:val="0"/>
          <w14:ligatures w14:val="none"/>
        </w:rPr>
      </w:pPr>
      <w:r w:rsidRPr="00E3764E">
        <w:rPr>
          <w:rFonts w:ascii="Times New Roman" w:eastAsia="Gulim" w:hAnsi="Times New Roman"/>
          <w:b/>
          <w:kern w:val="0"/>
          <w14:ligatures w14:val="none"/>
        </w:rPr>
        <w:t>Comparison to Endogenous Growth Theory (EGT)</w:t>
      </w:r>
    </w:p>
    <w:p w14:paraId="17D0AABC" w14:textId="77777777" w:rsidR="00A97F04" w:rsidRPr="00E3764E" w:rsidRDefault="00A97F04" w:rsidP="00A97F04">
      <w:pPr>
        <w:spacing w:before="100" w:beforeAutospacing="1" w:after="100" w:afterAutospacing="1" w:line="480" w:lineRule="auto"/>
        <w:jc w:val="both"/>
        <w:rPr>
          <w:rFonts w:ascii="Times New Roman" w:eastAsia="Gulim" w:hAnsi="Times New Roman"/>
          <w:kern w:val="0"/>
          <w14:ligatures w14:val="none"/>
        </w:rPr>
      </w:pPr>
      <w:r w:rsidRPr="00E3764E">
        <w:rPr>
          <w:rFonts w:ascii="Times New Roman" w:eastAsia="Gulim" w:hAnsi="Times New Roman"/>
          <w:kern w:val="0"/>
          <w14:ligatures w14:val="none"/>
        </w:rPr>
        <w:t>EGT (Romer, 1990; Lucas, 1988) endogenizes technology via human capital and R&amp;D, with Romer’s model as a benchmark.</w:t>
      </w:r>
    </w:p>
    <w:p w14:paraId="3B32A6CB" w14:textId="77777777" w:rsidR="00A97F04" w:rsidRPr="00E3764E" w:rsidRDefault="00A97F04" w:rsidP="00A97F04">
      <w:pPr>
        <w:numPr>
          <w:ilvl w:val="0"/>
          <w:numId w:val="6"/>
        </w:numPr>
        <w:spacing w:before="100" w:beforeAutospacing="1" w:after="100" w:afterAutospacing="1" w:line="480" w:lineRule="auto"/>
        <w:jc w:val="both"/>
        <w:rPr>
          <w:rFonts w:ascii="Times New Roman" w:eastAsia="Gulim" w:hAnsi="Times New Roman"/>
          <w:kern w:val="0"/>
          <w14:ligatures w14:val="none"/>
        </w:rPr>
      </w:pPr>
      <w:r w:rsidRPr="00E3764E">
        <w:rPr>
          <w:rFonts w:ascii="Times New Roman" w:eastAsia="Gulim" w:hAnsi="Times New Roman"/>
          <w:kern w:val="0"/>
          <w14:ligatures w14:val="none"/>
        </w:rPr>
        <w:t xml:space="preserve">Romer’s Equations: </w:t>
      </w:r>
    </w:p>
    <w:p w14:paraId="213591F0" w14:textId="77777777" w:rsidR="00A97F04" w:rsidRPr="00E3764E" w:rsidRDefault="00A97F04" w:rsidP="00A97F04">
      <w:pPr>
        <w:numPr>
          <w:ilvl w:val="1"/>
          <w:numId w:val="6"/>
        </w:numPr>
        <w:spacing w:before="100" w:beforeAutospacing="1" w:after="100" w:afterAutospacing="1" w:line="480" w:lineRule="auto"/>
        <w:jc w:val="both"/>
        <w:rPr>
          <w:rFonts w:ascii="Times New Roman" w:eastAsia="Gulim" w:hAnsi="Times New Roman"/>
          <w:kern w:val="0"/>
          <w14:ligatures w14:val="none"/>
        </w:rPr>
      </w:pPr>
      <w:r w:rsidRPr="00E3764E">
        <w:rPr>
          <w:rFonts w:ascii="Times New Roman" w:eastAsia="Gulim" w:hAnsi="Times New Roman"/>
          <w:kern w:val="0"/>
          <w14:ligatures w14:val="none"/>
        </w:rPr>
        <w:t>Technology: dA/dt = δ · H</w:t>
      </w:r>
      <w:r w:rsidRPr="00E3764E">
        <w:rPr>
          <w:rFonts w:ascii="Times New Roman" w:eastAsia="Gulim" w:hAnsi="Times New Roman"/>
          <w:kern w:val="0"/>
          <w:vertAlign w:val="subscript"/>
          <w14:ligatures w14:val="none"/>
        </w:rPr>
        <w:t>A</w:t>
      </w:r>
      <w:r w:rsidRPr="00E3764E">
        <w:rPr>
          <w:rFonts w:ascii="Times New Roman" w:eastAsia="Gulim" w:hAnsi="Times New Roman"/>
          <w:kern w:val="0"/>
          <w14:ligatures w14:val="none"/>
        </w:rPr>
        <w:t xml:space="preserve"> · A, where H</w:t>
      </w:r>
      <w:r w:rsidRPr="00E3764E">
        <w:rPr>
          <w:rFonts w:ascii="Times New Roman" w:eastAsia="Gulim" w:hAnsi="Times New Roman"/>
          <w:kern w:val="0"/>
          <w:vertAlign w:val="subscript"/>
          <w14:ligatures w14:val="none"/>
        </w:rPr>
        <w:t>A</w:t>
      </w:r>
      <w:r w:rsidRPr="00E3764E">
        <w:rPr>
          <w:rFonts w:ascii="Times New Roman" w:eastAsia="Gulim" w:hAnsi="Times New Roman"/>
          <w:kern w:val="0"/>
          <w14:ligatures w14:val="none"/>
        </w:rPr>
        <w:t xml:space="preserve"> is R&amp;D human capital (underscore for R&amp;D specificity), δ is R&amp;D productivity.</w:t>
      </w:r>
    </w:p>
    <w:p w14:paraId="1F2C7603" w14:textId="77777777" w:rsidR="00A97F04" w:rsidRPr="00E3764E" w:rsidRDefault="00A97F04" w:rsidP="00A97F04">
      <w:pPr>
        <w:numPr>
          <w:ilvl w:val="1"/>
          <w:numId w:val="6"/>
        </w:numPr>
        <w:spacing w:before="100" w:beforeAutospacing="1" w:after="100" w:afterAutospacing="1" w:line="480" w:lineRule="auto"/>
        <w:jc w:val="both"/>
        <w:rPr>
          <w:rFonts w:ascii="Times New Roman" w:eastAsia="Gulim" w:hAnsi="Times New Roman"/>
          <w:kern w:val="0"/>
          <w14:ligatures w14:val="none"/>
        </w:rPr>
      </w:pPr>
      <w:r w:rsidRPr="00E3764E">
        <w:rPr>
          <w:rFonts w:ascii="Times New Roman" w:eastAsia="Gulim" w:hAnsi="Times New Roman"/>
          <w:kern w:val="0"/>
          <w14:ligatures w14:val="none"/>
        </w:rPr>
        <w:t xml:space="preserve">Production: Y = A · K </w:t>
      </w:r>
      <w:r w:rsidRPr="00E3764E">
        <w:rPr>
          <w:rFonts w:ascii="Times New Roman" w:eastAsia="Gulim" w:hAnsi="Times New Roman"/>
          <w:kern w:val="0"/>
          <w:vertAlign w:val="superscript"/>
          <w14:ligatures w14:val="none"/>
        </w:rPr>
        <w:t xml:space="preserve">α </w:t>
      </w:r>
      <w:r w:rsidRPr="00E3764E">
        <w:rPr>
          <w:rFonts w:ascii="Times New Roman" w:eastAsia="Gulim" w:hAnsi="Times New Roman"/>
          <w:kern w:val="0"/>
          <w14:ligatures w14:val="none"/>
        </w:rPr>
        <w:t>· H</w:t>
      </w:r>
      <w:r w:rsidRPr="00E3764E">
        <w:rPr>
          <w:rFonts w:ascii="Times New Roman" w:eastAsia="Gulim" w:hAnsi="Times New Roman"/>
          <w:kern w:val="0"/>
          <w:vertAlign w:val="subscript"/>
          <w14:ligatures w14:val="none"/>
        </w:rPr>
        <w:t xml:space="preserve">Y </w:t>
      </w:r>
      <w:r w:rsidRPr="00E3764E">
        <w:rPr>
          <w:rFonts w:ascii="Times New Roman" w:eastAsia="Gulim" w:hAnsi="Times New Roman"/>
          <w:kern w:val="0"/>
          <w:vertAlign w:val="superscript"/>
          <w14:ligatures w14:val="none"/>
        </w:rPr>
        <w:t>(1-α)</w:t>
      </w:r>
      <w:r w:rsidRPr="00E3764E">
        <w:rPr>
          <w:rFonts w:ascii="Times New Roman" w:eastAsia="Gulim" w:hAnsi="Times New Roman"/>
          <w:kern w:val="0"/>
          <w14:ligatures w14:val="none"/>
        </w:rPr>
        <w:t>, where Y is output, K is capital, H</w:t>
      </w:r>
      <w:r w:rsidRPr="00E3764E">
        <w:rPr>
          <w:rFonts w:ascii="Times New Roman" w:eastAsia="Gulim" w:hAnsi="Times New Roman"/>
          <w:kern w:val="0"/>
          <w:vertAlign w:val="subscript"/>
          <w14:ligatures w14:val="none"/>
        </w:rPr>
        <w:t>Y</w:t>
      </w:r>
      <w:r w:rsidRPr="00E3764E">
        <w:rPr>
          <w:rFonts w:ascii="Times New Roman" w:eastAsia="Gulim" w:hAnsi="Times New Roman"/>
          <w:kern w:val="0"/>
          <w14:ligatures w14:val="none"/>
        </w:rPr>
        <w:t xml:space="preserve"> is production human capital.</w:t>
      </w:r>
    </w:p>
    <w:p w14:paraId="07B8120E" w14:textId="77777777" w:rsidR="00A97F04" w:rsidRPr="00E3764E" w:rsidRDefault="00A97F04" w:rsidP="00A97F04">
      <w:pPr>
        <w:numPr>
          <w:ilvl w:val="0"/>
          <w:numId w:val="6"/>
        </w:numPr>
        <w:spacing w:before="100" w:beforeAutospacing="1" w:after="100" w:afterAutospacing="1" w:line="480" w:lineRule="auto"/>
        <w:jc w:val="both"/>
        <w:rPr>
          <w:rFonts w:ascii="Times New Roman" w:eastAsia="Gulim" w:hAnsi="Times New Roman"/>
          <w:kern w:val="0"/>
          <w14:ligatures w14:val="none"/>
        </w:rPr>
      </w:pPr>
      <w:r w:rsidRPr="00E3764E">
        <w:rPr>
          <w:rFonts w:ascii="Times New Roman" w:eastAsia="Gulim" w:hAnsi="Times New Roman"/>
          <w:kern w:val="0"/>
          <w14:ligatures w14:val="none"/>
        </w:rPr>
        <w:lastRenderedPageBreak/>
        <w:t>Lucas’s Equation (human capital model): dH/dt = φ · H · (1 - u), where H is human capital, φ is learning efficiency, u is time in production.</w:t>
      </w:r>
    </w:p>
    <w:p w14:paraId="3B996912" w14:textId="77777777" w:rsidR="00A97F04" w:rsidRPr="00E3764E" w:rsidRDefault="00A97F04" w:rsidP="00A97F04">
      <w:pPr>
        <w:numPr>
          <w:ilvl w:val="0"/>
          <w:numId w:val="6"/>
        </w:numPr>
        <w:spacing w:before="100" w:beforeAutospacing="1" w:after="100" w:afterAutospacing="1" w:line="480" w:lineRule="auto"/>
        <w:jc w:val="both"/>
        <w:rPr>
          <w:rFonts w:ascii="Times New Roman" w:eastAsia="Gulim" w:hAnsi="Times New Roman"/>
          <w:kern w:val="0"/>
          <w14:ligatures w14:val="none"/>
        </w:rPr>
      </w:pPr>
      <w:r w:rsidRPr="00E3764E">
        <w:rPr>
          <w:rFonts w:ascii="Times New Roman" w:eastAsia="Gulim" w:hAnsi="Times New Roman"/>
          <w:kern w:val="0"/>
          <w14:ligatures w14:val="none"/>
        </w:rPr>
        <w:t>Commonalities: Both GTE</w:t>
      </w:r>
      <w:r>
        <w:rPr>
          <w:rFonts w:ascii="Times New Roman" w:eastAsia="Gulim" w:hAnsi="Times New Roman"/>
          <w:kern w:val="0"/>
          <w14:ligatures w14:val="none"/>
        </w:rPr>
        <w:t xml:space="preserve">D and EGT endogenize technology </w:t>
      </w:r>
      <w:r w:rsidRPr="00E3764E">
        <w:rPr>
          <w:rFonts w:ascii="Times New Roman" w:eastAsia="Gulim" w:hAnsi="Times New Roman"/>
          <w:kern w:val="0"/>
          <w14:ligatures w14:val="none"/>
        </w:rPr>
        <w:t>A, model IRS (GTED’s σ · β · A; Romer’s A in dA/dt), and link technology to output (GTED’s A in y; Romer’s A in Y).</w:t>
      </w:r>
    </w:p>
    <w:p w14:paraId="0760A40B" w14:textId="77777777" w:rsidR="00A97F04" w:rsidRPr="00E3764E" w:rsidRDefault="00A97F04" w:rsidP="00A97F04">
      <w:pPr>
        <w:numPr>
          <w:ilvl w:val="0"/>
          <w:numId w:val="6"/>
        </w:numPr>
        <w:spacing w:before="100" w:beforeAutospacing="1" w:after="100" w:afterAutospacing="1" w:line="480" w:lineRule="auto"/>
        <w:jc w:val="both"/>
        <w:rPr>
          <w:rFonts w:ascii="Times New Roman" w:eastAsia="Gulim" w:hAnsi="Times New Roman"/>
          <w:kern w:val="0"/>
          <w14:ligatures w14:val="none"/>
        </w:rPr>
      </w:pPr>
      <w:r w:rsidRPr="00E3764E">
        <w:rPr>
          <w:rFonts w:ascii="Times New Roman" w:eastAsia="Gulim" w:hAnsi="Times New Roman"/>
          <w:kern w:val="0"/>
          <w14:ligatures w14:val="none"/>
        </w:rPr>
        <w:t xml:space="preserve">Differences: </w:t>
      </w:r>
    </w:p>
    <w:p w14:paraId="2181FEEF" w14:textId="77777777" w:rsidR="00A97F04" w:rsidRPr="00E3764E" w:rsidRDefault="00A97F04" w:rsidP="00A97F04">
      <w:pPr>
        <w:pStyle w:val="ListParagraph"/>
        <w:numPr>
          <w:ilvl w:val="1"/>
          <w:numId w:val="6"/>
        </w:numPr>
        <w:spacing w:line="480" w:lineRule="auto"/>
        <w:jc w:val="both"/>
        <w:rPr>
          <w:rFonts w:ascii="Times New Roman" w:eastAsia="Gulim" w:hAnsi="Times New Roman"/>
          <w:kern w:val="0"/>
          <w14:ligatures w14:val="none"/>
        </w:rPr>
      </w:pPr>
      <w:r w:rsidRPr="00E3764E">
        <w:rPr>
          <w:rFonts w:ascii="Times New Roman" w:eastAsia="Gulim" w:hAnsi="Times New Roman"/>
          <w:kern w:val="0"/>
          <w14:ligatures w14:val="none"/>
        </w:rPr>
        <w:t xml:space="preserve">Dynamic Loop Effect: GTED’s β · y links output to dA/dt, creating a loop where y drives A, and A drives y via ca = k · A </w:t>
      </w:r>
      <w:r w:rsidRPr="00E3764E">
        <w:rPr>
          <w:rFonts w:ascii="Times New Roman" w:eastAsia="Gulim" w:hAnsi="Times New Roman"/>
          <w:kern w:val="0"/>
          <w:vertAlign w:val="superscript"/>
          <w14:ligatures w14:val="none"/>
        </w:rPr>
        <w:t>γ</w:t>
      </w:r>
      <w:r w:rsidRPr="00E3764E">
        <w:rPr>
          <w:rFonts w:ascii="Times New Roman" w:eastAsia="Gulim" w:hAnsi="Times New Roman"/>
          <w:kern w:val="0"/>
          <w14:ligatures w14:val="none"/>
        </w:rPr>
        <w:t xml:space="preserve"> in y = ca </w:t>
      </w:r>
      <w:r w:rsidRPr="00E3764E">
        <w:rPr>
          <w:rFonts w:ascii="Times New Roman" w:eastAsia="Gulim" w:hAnsi="Times New Roman"/>
          <w:kern w:val="0"/>
          <w:vertAlign w:val="superscript"/>
          <w14:ligatures w14:val="none"/>
        </w:rPr>
        <w:t>α</w:t>
      </w:r>
      <w:r w:rsidRPr="00E3764E">
        <w:rPr>
          <w:rFonts w:ascii="Times New Roman" w:eastAsia="Gulim" w:hAnsi="Times New Roman"/>
          <w:kern w:val="0"/>
          <w14:ligatures w14:val="none"/>
        </w:rPr>
        <w:t>, amplifying growth beyond IRS (e.g., China’s phenomenal ED-driven corporate growth under socialist authoritarianism, Lin, 2010; ca’s 0.361*** in YDM, Table 4). Romer/Lucas lack output feedback, limiting amplification to IRS.</w:t>
      </w:r>
    </w:p>
    <w:p w14:paraId="131DCE80" w14:textId="77777777" w:rsidR="00A97F04" w:rsidRPr="00E3764E" w:rsidRDefault="00A97F04" w:rsidP="00A97F04">
      <w:pPr>
        <w:numPr>
          <w:ilvl w:val="1"/>
          <w:numId w:val="6"/>
        </w:numPr>
        <w:spacing w:before="100" w:beforeAutospacing="1" w:after="100" w:afterAutospacing="1" w:line="480" w:lineRule="auto"/>
        <w:jc w:val="both"/>
        <w:rPr>
          <w:rFonts w:ascii="Times New Roman" w:eastAsia="Gulim" w:hAnsi="Times New Roman"/>
          <w:kern w:val="0"/>
          <w14:ligatures w14:val="none"/>
        </w:rPr>
      </w:pPr>
      <w:r w:rsidRPr="00E3764E">
        <w:rPr>
          <w:rFonts w:ascii="Times New Roman" w:eastAsia="Gulim" w:hAnsi="Times New Roman"/>
          <w:kern w:val="0"/>
          <w14:ligatures w14:val="none"/>
        </w:rPr>
        <w:t>Free-Riding: EGT ignores free-riding in spillovers; GTED models it via ψ · η in ϕ, countered by σ · β (e.g., MDM stagnation, -1.627**and -1.592***, Table 4 and 5).</w:t>
      </w:r>
    </w:p>
    <w:p w14:paraId="7987B666" w14:textId="77777777" w:rsidR="00A97F04" w:rsidRPr="00E3764E" w:rsidRDefault="00A97F04" w:rsidP="00A97F04">
      <w:pPr>
        <w:numPr>
          <w:ilvl w:val="1"/>
          <w:numId w:val="6"/>
        </w:numPr>
        <w:spacing w:before="100" w:beforeAutospacing="1" w:after="100" w:afterAutospacing="1" w:line="480" w:lineRule="auto"/>
        <w:jc w:val="both"/>
        <w:rPr>
          <w:rFonts w:ascii="Times New Roman" w:eastAsia="Gulim" w:hAnsi="Times New Roman"/>
          <w:kern w:val="0"/>
          <w14:ligatures w14:val="none"/>
        </w:rPr>
      </w:pPr>
      <w:r w:rsidRPr="00E3764E">
        <w:rPr>
          <w:rFonts w:ascii="Times New Roman" w:eastAsia="Gulim" w:hAnsi="Times New Roman"/>
          <w:kern w:val="0"/>
          <w14:ligatures w14:val="none"/>
        </w:rPr>
        <w:t>Institutions: EGT focuses on R&amp;D/human capital (H</w:t>
      </w:r>
      <w:r w:rsidRPr="00E3764E">
        <w:rPr>
          <w:rFonts w:ascii="Times New Roman" w:eastAsia="Gulim" w:hAnsi="Times New Roman"/>
          <w:kern w:val="0"/>
          <w:vertAlign w:val="subscript"/>
          <w14:ligatures w14:val="none"/>
        </w:rPr>
        <w:t>A</w:t>
      </w:r>
      <w:r w:rsidRPr="00E3764E">
        <w:rPr>
          <w:rFonts w:ascii="Times New Roman" w:eastAsia="Gulim" w:hAnsi="Times New Roman"/>
          <w:kern w:val="0"/>
          <w14:ligatures w14:val="none"/>
        </w:rPr>
        <w:t>, H); GTED integrates ED/EE via β, σ, η, ψ, explaining regime outcomes (e.g., post-1987 Korea, Jwa, 2024b).</w:t>
      </w:r>
    </w:p>
    <w:p w14:paraId="666D6635" w14:textId="77777777" w:rsidR="00A97F04" w:rsidRPr="00E3764E" w:rsidRDefault="00A97F04" w:rsidP="00A97F04">
      <w:pPr>
        <w:numPr>
          <w:ilvl w:val="0"/>
          <w:numId w:val="6"/>
        </w:numPr>
        <w:spacing w:before="100" w:beforeAutospacing="1" w:after="100" w:afterAutospacing="1" w:line="480" w:lineRule="auto"/>
        <w:jc w:val="both"/>
        <w:rPr>
          <w:rFonts w:ascii="Times New Roman" w:eastAsia="Gulim" w:hAnsi="Times New Roman"/>
          <w:kern w:val="0"/>
          <w14:ligatures w14:val="none"/>
        </w:rPr>
      </w:pPr>
      <w:r w:rsidRPr="00E3764E">
        <w:rPr>
          <w:rFonts w:ascii="Times New Roman" w:eastAsia="Gulim" w:hAnsi="Times New Roman"/>
          <w:kern w:val="0"/>
          <w14:ligatures w14:val="none"/>
        </w:rPr>
        <w:t>GTED Added Values: GTED resolves EGT’s gaps in free-riding and institutions, with the dynamic loop enabling emergent growth, validated by Section V’s results.</w:t>
      </w:r>
    </w:p>
    <w:p w14:paraId="0DF6E28A" w14:textId="77777777" w:rsidR="00A97F04" w:rsidRPr="00E3764E" w:rsidRDefault="00A97F04" w:rsidP="00A97F04">
      <w:pPr>
        <w:numPr>
          <w:ilvl w:val="0"/>
          <w:numId w:val="7"/>
        </w:numPr>
        <w:spacing w:before="100" w:beforeAutospacing="1" w:line="480" w:lineRule="auto"/>
        <w:jc w:val="both"/>
        <w:rPr>
          <w:rFonts w:ascii="Times New Roman" w:eastAsia="Gulim" w:hAnsi="Times New Roman"/>
          <w:b/>
          <w:kern w:val="0"/>
          <w14:ligatures w14:val="none"/>
        </w:rPr>
      </w:pPr>
      <w:r w:rsidRPr="00E3764E">
        <w:rPr>
          <w:rFonts w:ascii="Times New Roman" w:eastAsia="Gulim" w:hAnsi="Times New Roman"/>
          <w:b/>
          <w:kern w:val="0"/>
          <w14:ligatures w14:val="none"/>
        </w:rPr>
        <w:t xml:space="preserve">Comparison to Complexity Economics </w:t>
      </w:r>
    </w:p>
    <w:p w14:paraId="535D6F18" w14:textId="77777777" w:rsidR="00A97F04" w:rsidRPr="00E3764E" w:rsidRDefault="00A97F04" w:rsidP="00A97F04">
      <w:pPr>
        <w:spacing w:before="100" w:beforeAutospacing="1" w:after="100" w:afterAutospacing="1" w:line="480" w:lineRule="auto"/>
        <w:jc w:val="both"/>
        <w:rPr>
          <w:rFonts w:ascii="Times New Roman" w:eastAsia="Gulim" w:hAnsi="Times New Roman"/>
          <w:kern w:val="0"/>
          <w14:ligatures w14:val="none"/>
        </w:rPr>
      </w:pPr>
      <w:r w:rsidRPr="00E3764E">
        <w:rPr>
          <w:rFonts w:ascii="Times New Roman" w:eastAsia="Gulim" w:hAnsi="Times New Roman"/>
          <w:kern w:val="0"/>
          <w14:ligatures w14:val="none"/>
        </w:rPr>
        <w:t>Complexity Economics (Beinhocker, 2006; Arthur, 2014) models economies as evolving systems with emergent properties but lacks a unified growth equation, focusing on agent-based simulations or qualitative insights.</w:t>
      </w:r>
    </w:p>
    <w:p w14:paraId="427BD6F1" w14:textId="77777777" w:rsidR="00A97F04" w:rsidRPr="00E3764E" w:rsidRDefault="00A97F04" w:rsidP="00A97F04">
      <w:pPr>
        <w:numPr>
          <w:ilvl w:val="0"/>
          <w:numId w:val="8"/>
        </w:numPr>
        <w:spacing w:before="100" w:beforeAutospacing="1" w:after="100" w:afterAutospacing="1" w:line="480" w:lineRule="auto"/>
        <w:jc w:val="both"/>
        <w:rPr>
          <w:rFonts w:ascii="Times New Roman" w:eastAsia="Gulim" w:hAnsi="Times New Roman"/>
          <w:kern w:val="0"/>
          <w14:ligatures w14:val="none"/>
        </w:rPr>
      </w:pPr>
      <w:r w:rsidRPr="00E3764E">
        <w:rPr>
          <w:rFonts w:ascii="Times New Roman" w:eastAsia="Gulim" w:hAnsi="Times New Roman"/>
          <w:kern w:val="0"/>
          <w14:ligatures w14:val="none"/>
        </w:rPr>
        <w:lastRenderedPageBreak/>
        <w:t>Complexity Approach: No standard equation; emphasizes non-linear interactions, e.g., dA/dt as emergent from agent behaviors, without explicit institutional parameters.</w:t>
      </w:r>
    </w:p>
    <w:p w14:paraId="23F1B29F" w14:textId="77777777" w:rsidR="00A97F04" w:rsidRPr="00E3764E" w:rsidRDefault="00A97F04" w:rsidP="00A97F04">
      <w:pPr>
        <w:numPr>
          <w:ilvl w:val="0"/>
          <w:numId w:val="8"/>
        </w:numPr>
        <w:spacing w:before="100" w:beforeAutospacing="1" w:after="100" w:afterAutospacing="1" w:line="480" w:lineRule="auto"/>
        <w:jc w:val="both"/>
        <w:rPr>
          <w:rFonts w:ascii="Times New Roman" w:eastAsia="Gulim" w:hAnsi="Times New Roman"/>
          <w:kern w:val="0"/>
          <w14:ligatures w14:val="none"/>
        </w:rPr>
      </w:pPr>
      <w:r w:rsidRPr="00E3764E">
        <w:rPr>
          <w:rFonts w:ascii="Times New Roman" w:eastAsia="Gulim" w:hAnsi="Times New Roman"/>
          <w:kern w:val="0"/>
          <w14:ligatures w14:val="none"/>
        </w:rPr>
        <w:t>GTED Added Values: GTED adopts complexity’s emergent perspective (e.g., loop in β · y and σ · β · A) but quantifies it mathematically, with institutional parameters (β, σ for ED; η, ψ for EE) explaining emergent IRS and stagnation. GTED bridges complexity’s qualitative insights with analytical rigor, as in China’s ED-driven growth (Lin, 2010).</w:t>
      </w:r>
    </w:p>
    <w:p w14:paraId="0A5E33CA" w14:textId="77777777" w:rsidR="00A97F04" w:rsidRPr="00E3764E" w:rsidRDefault="00A97F04" w:rsidP="00A97F04">
      <w:pPr>
        <w:spacing w:before="100" w:beforeAutospacing="1" w:after="100" w:afterAutospacing="1" w:line="480" w:lineRule="auto"/>
        <w:jc w:val="both"/>
        <w:rPr>
          <w:rFonts w:ascii="Times New Roman" w:eastAsia="Gulim" w:hAnsi="Times New Roman"/>
          <w:b/>
          <w:kern w:val="0"/>
          <w14:ligatures w14:val="none"/>
        </w:rPr>
      </w:pPr>
      <w:r w:rsidRPr="00E3764E">
        <w:rPr>
          <w:rFonts w:ascii="Times New Roman" w:eastAsia="Gulim" w:hAnsi="Times New Roman"/>
          <w:b/>
          <w:kern w:val="0"/>
          <w14:ligatures w14:val="none"/>
        </w:rPr>
        <w:t xml:space="preserve">Conclusion </w:t>
      </w:r>
    </w:p>
    <w:p w14:paraId="5AF57E6F" w14:textId="77777777" w:rsidR="00A97F04" w:rsidRPr="00E3764E" w:rsidRDefault="00A97F04" w:rsidP="00A97F04">
      <w:pPr>
        <w:spacing w:before="100" w:beforeAutospacing="1" w:after="100" w:afterAutospacing="1" w:line="480" w:lineRule="auto"/>
        <w:jc w:val="both"/>
        <w:rPr>
          <w:rFonts w:ascii="Times New Roman" w:eastAsia="Gulim" w:hAnsi="Times New Roman"/>
          <w:kern w:val="0"/>
          <w14:ligatures w14:val="none"/>
        </w:rPr>
      </w:pPr>
      <w:r w:rsidRPr="00E3764E">
        <w:rPr>
          <w:rFonts w:ascii="Times New Roman" w:eastAsia="Gulim" w:hAnsi="Times New Roman"/>
          <w:kern w:val="0"/>
          <w14:ligatures w14:val="none"/>
        </w:rPr>
        <w:t>GTED adds value by integrating NIE’s institutions, EGT’s endogeneity, and complexity’s emergence into a unified model with a dynamic loop, institutional asymmetry, and free-riding resolution, explaining growth and stagnation across regimes, as supported by empirical results (Section V) and cases (Section VI).</w:t>
      </w:r>
    </w:p>
    <w:p w14:paraId="17004F0E" w14:textId="77777777" w:rsidR="00A97F04" w:rsidRPr="00E3764E" w:rsidRDefault="00A97F04" w:rsidP="00A97F04">
      <w:pPr>
        <w:spacing w:before="100" w:beforeAutospacing="1" w:after="100" w:afterAutospacing="1" w:line="480" w:lineRule="auto"/>
        <w:jc w:val="both"/>
        <w:rPr>
          <w:rFonts w:ascii="Times New Roman" w:eastAsia="Gulim" w:hAnsi="Times New Roman"/>
          <w:kern w:val="0"/>
          <w14:ligatures w14:val="none"/>
        </w:rPr>
      </w:pPr>
      <w:r w:rsidRPr="00E3764E">
        <w:rPr>
          <w:rFonts w:ascii="Times New Roman" w:eastAsia="Gulim" w:hAnsi="Times New Roman"/>
          <w:i/>
          <w:iCs/>
          <w:kern w:val="0"/>
          <w14:ligatures w14:val="none"/>
        </w:rPr>
        <w:t>Reservation: Comparisons highlight GTED's strengths, but model imperfections (e.g., over-determination, unbounded Mgini) mirror economics' unresolved questions on equilibria and inequality bounds; readers evaluate amid debates on emergent systems.</w:t>
      </w:r>
    </w:p>
    <w:p w14:paraId="01E580B1" w14:textId="77777777" w:rsidR="00A97F04" w:rsidRPr="00E3764E" w:rsidRDefault="00A97F04" w:rsidP="00A97F04">
      <w:pPr>
        <w:spacing w:before="100" w:beforeAutospacing="1" w:after="100" w:afterAutospacing="1" w:line="480" w:lineRule="auto"/>
        <w:jc w:val="both"/>
        <w:rPr>
          <w:rFonts w:ascii="Times New Roman" w:eastAsia="Gulim" w:hAnsi="Times New Roman"/>
          <w:kern w:val="0"/>
          <w14:ligatures w14:val="none"/>
        </w:rPr>
      </w:pPr>
    </w:p>
    <w:p w14:paraId="5C86A70B" w14:textId="77777777" w:rsidR="00A97F04" w:rsidRPr="00E3764E" w:rsidRDefault="00A97F04" w:rsidP="00A97F04">
      <w:pPr>
        <w:spacing w:before="240"/>
        <w:rPr>
          <w:rFonts w:ascii="Times New Roman" w:hAnsi="Times New Roman"/>
          <w:b/>
          <w:bCs/>
        </w:rPr>
      </w:pPr>
      <w:r w:rsidRPr="00E3764E">
        <w:rPr>
          <w:rFonts w:ascii="Times New Roman" w:hAnsi="Times New Roman"/>
          <w:b/>
          <w:bCs/>
        </w:rPr>
        <w:t>2. Appendix Table 1. Diagnostic Tests for Full Interaction Models, EQs Y-2 and G-2</w:t>
      </w:r>
    </w:p>
    <w:tbl>
      <w:tblPr>
        <w:tblStyle w:val="11"/>
        <w:tblpPr w:leftFromText="142" w:rightFromText="142" w:vertAnchor="text" w:tblpY="268"/>
        <w:tblW w:w="0" w:type="auto"/>
        <w:tblLook w:val="04A0" w:firstRow="1" w:lastRow="0" w:firstColumn="1" w:lastColumn="0" w:noHBand="0" w:noVBand="1"/>
      </w:tblPr>
      <w:tblGrid>
        <w:gridCol w:w="2250"/>
        <w:gridCol w:w="1666"/>
        <w:gridCol w:w="1672"/>
        <w:gridCol w:w="3408"/>
      </w:tblGrid>
      <w:tr w:rsidR="00A97F04" w:rsidRPr="00E3764E" w14:paraId="036CEDE1" w14:textId="77777777" w:rsidTr="00A539E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Borders>
              <w:top w:val="double" w:sz="4" w:space="0" w:color="auto"/>
              <w:left w:val="double" w:sz="4" w:space="0" w:color="auto"/>
              <w:right w:val="double" w:sz="4" w:space="0" w:color="auto"/>
            </w:tcBorders>
            <w:hideMark/>
          </w:tcPr>
          <w:p w14:paraId="34C3394D" w14:textId="77777777" w:rsidR="00A97F04" w:rsidRPr="00E3764E" w:rsidRDefault="00A97F04" w:rsidP="00A539E9">
            <w:pPr>
              <w:jc w:val="both"/>
              <w:rPr>
                <w:rFonts w:ascii="Times New Roman" w:hAnsi="Times New Roman"/>
              </w:rPr>
            </w:pPr>
            <w:r w:rsidRPr="00E3764E">
              <w:rPr>
                <w:rFonts w:ascii="Times New Roman" w:hAnsi="Times New Roman"/>
              </w:rPr>
              <w:t>Diagnostic Test</w:t>
            </w:r>
          </w:p>
        </w:tc>
        <w:tc>
          <w:tcPr>
            <w:tcW w:w="0" w:type="auto"/>
            <w:tcBorders>
              <w:top w:val="double" w:sz="4" w:space="0" w:color="auto"/>
              <w:left w:val="double" w:sz="4" w:space="0" w:color="auto"/>
              <w:right w:val="single" w:sz="12" w:space="0" w:color="auto"/>
            </w:tcBorders>
            <w:hideMark/>
          </w:tcPr>
          <w:p w14:paraId="407A0375" w14:textId="77777777" w:rsidR="00A97F04" w:rsidRPr="00E3764E" w:rsidRDefault="00A97F04" w:rsidP="00A539E9">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rPr>
            </w:pPr>
            <w:r w:rsidRPr="00E3764E">
              <w:rPr>
                <w:rFonts w:ascii="Times New Roman" w:hAnsi="Times New Roman"/>
              </w:rPr>
              <w:t>EQ Y-2 Result</w:t>
            </w:r>
          </w:p>
        </w:tc>
        <w:tc>
          <w:tcPr>
            <w:tcW w:w="0" w:type="auto"/>
            <w:tcBorders>
              <w:top w:val="double" w:sz="4" w:space="0" w:color="auto"/>
              <w:left w:val="single" w:sz="12" w:space="0" w:color="auto"/>
              <w:right w:val="single" w:sz="12" w:space="0" w:color="auto"/>
            </w:tcBorders>
            <w:hideMark/>
          </w:tcPr>
          <w:p w14:paraId="23E37A18" w14:textId="77777777" w:rsidR="00A97F04" w:rsidRPr="00E3764E" w:rsidRDefault="00A97F04" w:rsidP="00A539E9">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rPr>
            </w:pPr>
            <w:r w:rsidRPr="00E3764E">
              <w:rPr>
                <w:rFonts w:ascii="Times New Roman" w:hAnsi="Times New Roman"/>
              </w:rPr>
              <w:t>EQ G-2 Result</w:t>
            </w:r>
          </w:p>
        </w:tc>
        <w:tc>
          <w:tcPr>
            <w:tcW w:w="0" w:type="auto"/>
            <w:tcBorders>
              <w:top w:val="double" w:sz="4" w:space="0" w:color="auto"/>
              <w:left w:val="single" w:sz="12" w:space="0" w:color="auto"/>
              <w:right w:val="double" w:sz="4" w:space="0" w:color="auto"/>
            </w:tcBorders>
            <w:hideMark/>
          </w:tcPr>
          <w:p w14:paraId="68CFB558" w14:textId="77777777" w:rsidR="00A97F04" w:rsidRPr="00E3764E" w:rsidRDefault="00A97F04" w:rsidP="00A539E9">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rPr>
            </w:pPr>
            <w:r w:rsidRPr="00E3764E">
              <w:rPr>
                <w:rFonts w:ascii="Times New Roman" w:hAnsi="Times New Roman"/>
              </w:rPr>
              <w:t>Evaluation &amp; Implication</w:t>
            </w:r>
          </w:p>
        </w:tc>
      </w:tr>
      <w:tr w:rsidR="00A97F04" w:rsidRPr="00E3764E" w14:paraId="30A80ADB" w14:textId="77777777" w:rsidTr="00A539E9">
        <w:tc>
          <w:tcPr>
            <w:cnfStyle w:val="001000000000" w:firstRow="0" w:lastRow="0" w:firstColumn="1" w:lastColumn="0" w:oddVBand="0" w:evenVBand="0" w:oddHBand="0" w:evenHBand="0" w:firstRowFirstColumn="0" w:firstRowLastColumn="0" w:lastRowFirstColumn="0" w:lastRowLastColumn="0"/>
            <w:tcW w:w="0" w:type="auto"/>
            <w:tcBorders>
              <w:left w:val="double" w:sz="4" w:space="0" w:color="auto"/>
              <w:right w:val="double" w:sz="4" w:space="0" w:color="auto"/>
            </w:tcBorders>
            <w:hideMark/>
          </w:tcPr>
          <w:p w14:paraId="04EE7C5A" w14:textId="77777777" w:rsidR="00A97F04" w:rsidRPr="00E3764E" w:rsidRDefault="00A97F04" w:rsidP="00A539E9">
            <w:pPr>
              <w:rPr>
                <w:rFonts w:ascii="Times New Roman" w:hAnsi="Times New Roman"/>
              </w:rPr>
            </w:pPr>
            <w:r w:rsidRPr="00E3764E">
              <w:rPr>
                <w:rFonts w:ascii="Times New Roman" w:hAnsi="Times New Roman"/>
              </w:rPr>
              <w:t>Wooldridge Test for Autocorrelation</w:t>
            </w:r>
          </w:p>
        </w:tc>
        <w:tc>
          <w:tcPr>
            <w:tcW w:w="0" w:type="auto"/>
            <w:tcBorders>
              <w:left w:val="double" w:sz="4" w:space="0" w:color="auto"/>
              <w:right w:val="single" w:sz="12" w:space="0" w:color="auto"/>
            </w:tcBorders>
            <w:hideMark/>
          </w:tcPr>
          <w:p w14:paraId="4C25313B" w14:textId="77777777" w:rsidR="00A97F04" w:rsidRPr="00E3764E" w:rsidRDefault="00A97F04" w:rsidP="00A539E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E3764E">
              <w:rPr>
                <w:rFonts w:ascii="Times New Roman" w:hAnsi="Times New Roman"/>
              </w:rPr>
              <w:t>F(1, 62) = 119.944, p = 0.000</w:t>
            </w:r>
          </w:p>
        </w:tc>
        <w:tc>
          <w:tcPr>
            <w:tcW w:w="0" w:type="auto"/>
            <w:tcBorders>
              <w:left w:val="single" w:sz="12" w:space="0" w:color="auto"/>
              <w:right w:val="single" w:sz="12" w:space="0" w:color="auto"/>
            </w:tcBorders>
            <w:hideMark/>
          </w:tcPr>
          <w:p w14:paraId="49DE888A" w14:textId="77777777" w:rsidR="00A97F04" w:rsidRPr="00E3764E" w:rsidRDefault="00A97F04" w:rsidP="00A539E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E3764E">
              <w:rPr>
                <w:rFonts w:ascii="Times New Roman" w:hAnsi="Times New Roman"/>
              </w:rPr>
              <w:t>F(1, 62) = 171.316, p = 0.000</w:t>
            </w:r>
          </w:p>
        </w:tc>
        <w:tc>
          <w:tcPr>
            <w:tcW w:w="0" w:type="auto"/>
            <w:tcBorders>
              <w:left w:val="single" w:sz="12" w:space="0" w:color="auto"/>
              <w:right w:val="double" w:sz="4" w:space="0" w:color="auto"/>
            </w:tcBorders>
            <w:hideMark/>
          </w:tcPr>
          <w:p w14:paraId="7928E361" w14:textId="77777777" w:rsidR="00A97F04" w:rsidRPr="00E3764E" w:rsidRDefault="00A97F04" w:rsidP="00A539E9">
            <w:pP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E3764E">
              <w:rPr>
                <w:rFonts w:ascii="Times New Roman" w:hAnsi="Times New Roman"/>
              </w:rPr>
              <w:t>Serial correlation detected, addressed with cluster-robust standard errors.</w:t>
            </w:r>
          </w:p>
        </w:tc>
      </w:tr>
      <w:tr w:rsidR="00A97F04" w:rsidRPr="00E3764E" w14:paraId="23D03C39" w14:textId="77777777" w:rsidTr="00A539E9">
        <w:tc>
          <w:tcPr>
            <w:cnfStyle w:val="001000000000" w:firstRow="0" w:lastRow="0" w:firstColumn="1" w:lastColumn="0" w:oddVBand="0" w:evenVBand="0" w:oddHBand="0" w:evenHBand="0" w:firstRowFirstColumn="0" w:firstRowLastColumn="0" w:lastRowFirstColumn="0" w:lastRowLastColumn="0"/>
            <w:tcW w:w="0" w:type="auto"/>
            <w:tcBorders>
              <w:left w:val="double" w:sz="4" w:space="0" w:color="auto"/>
              <w:right w:val="double" w:sz="4" w:space="0" w:color="auto"/>
            </w:tcBorders>
            <w:hideMark/>
          </w:tcPr>
          <w:p w14:paraId="39B54EE6" w14:textId="77777777" w:rsidR="00A97F04" w:rsidRPr="00E3764E" w:rsidRDefault="00A97F04" w:rsidP="00A539E9">
            <w:pPr>
              <w:rPr>
                <w:rFonts w:ascii="Times New Roman" w:hAnsi="Times New Roman"/>
              </w:rPr>
            </w:pPr>
            <w:r w:rsidRPr="00E3764E">
              <w:rPr>
                <w:rFonts w:ascii="Times New Roman" w:hAnsi="Times New Roman"/>
              </w:rPr>
              <w:t>RESET Test (Cubic term)</w:t>
            </w:r>
          </w:p>
        </w:tc>
        <w:tc>
          <w:tcPr>
            <w:tcW w:w="0" w:type="auto"/>
            <w:tcBorders>
              <w:left w:val="double" w:sz="4" w:space="0" w:color="auto"/>
              <w:right w:val="single" w:sz="12" w:space="0" w:color="auto"/>
            </w:tcBorders>
            <w:hideMark/>
          </w:tcPr>
          <w:p w14:paraId="7BA09123" w14:textId="77777777" w:rsidR="00A97F04" w:rsidRPr="00E3764E" w:rsidRDefault="00A97F04" w:rsidP="00A539E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E3764E">
              <w:rPr>
                <w:rFonts w:ascii="Times New Roman" w:hAnsi="Times New Roman"/>
              </w:rPr>
              <w:t>F(1, 62) = 1.66, p = 0.2022</w:t>
            </w:r>
          </w:p>
        </w:tc>
        <w:tc>
          <w:tcPr>
            <w:tcW w:w="0" w:type="auto"/>
            <w:tcBorders>
              <w:left w:val="single" w:sz="12" w:space="0" w:color="auto"/>
              <w:right w:val="single" w:sz="12" w:space="0" w:color="auto"/>
            </w:tcBorders>
            <w:hideMark/>
          </w:tcPr>
          <w:p w14:paraId="59ECE5C6" w14:textId="77777777" w:rsidR="00A97F04" w:rsidRPr="00E3764E" w:rsidRDefault="00A97F04" w:rsidP="00A539E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E3764E">
              <w:rPr>
                <w:rFonts w:ascii="Times New Roman" w:hAnsi="Times New Roman"/>
              </w:rPr>
              <w:t>F(1, 62) = 1.69, p = 0.1988</w:t>
            </w:r>
          </w:p>
        </w:tc>
        <w:tc>
          <w:tcPr>
            <w:tcW w:w="0" w:type="auto"/>
            <w:tcBorders>
              <w:left w:val="single" w:sz="12" w:space="0" w:color="auto"/>
              <w:right w:val="double" w:sz="4" w:space="0" w:color="auto"/>
            </w:tcBorders>
            <w:hideMark/>
          </w:tcPr>
          <w:p w14:paraId="7037B2B8" w14:textId="77777777" w:rsidR="00A97F04" w:rsidRPr="00E3764E" w:rsidRDefault="00A97F04" w:rsidP="00A539E9">
            <w:pP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E3764E">
              <w:rPr>
                <w:rFonts w:ascii="Times New Roman" w:hAnsi="Times New Roman"/>
              </w:rPr>
              <w:t>No functional misspecification.</w:t>
            </w:r>
          </w:p>
        </w:tc>
      </w:tr>
      <w:tr w:rsidR="00A97F04" w:rsidRPr="00E3764E" w14:paraId="5FBC6924" w14:textId="77777777" w:rsidTr="00A539E9">
        <w:tc>
          <w:tcPr>
            <w:cnfStyle w:val="001000000000" w:firstRow="0" w:lastRow="0" w:firstColumn="1" w:lastColumn="0" w:oddVBand="0" w:evenVBand="0" w:oddHBand="0" w:evenHBand="0" w:firstRowFirstColumn="0" w:firstRowLastColumn="0" w:lastRowFirstColumn="0" w:lastRowLastColumn="0"/>
            <w:tcW w:w="0" w:type="auto"/>
            <w:tcBorders>
              <w:left w:val="double" w:sz="4" w:space="0" w:color="auto"/>
              <w:right w:val="double" w:sz="4" w:space="0" w:color="auto"/>
            </w:tcBorders>
            <w:hideMark/>
          </w:tcPr>
          <w:p w14:paraId="06A32875" w14:textId="77777777" w:rsidR="00A97F04" w:rsidRPr="00E3764E" w:rsidRDefault="00A97F04" w:rsidP="00A539E9">
            <w:pPr>
              <w:rPr>
                <w:rFonts w:ascii="Times New Roman" w:hAnsi="Times New Roman"/>
              </w:rPr>
            </w:pPr>
            <w:r w:rsidRPr="00E3764E">
              <w:rPr>
                <w:rFonts w:ascii="Times New Roman" w:hAnsi="Times New Roman"/>
              </w:rPr>
              <w:t>Variance Inflation Factor (VIF)</w:t>
            </w:r>
          </w:p>
        </w:tc>
        <w:tc>
          <w:tcPr>
            <w:tcW w:w="0" w:type="auto"/>
            <w:tcBorders>
              <w:left w:val="double" w:sz="4" w:space="0" w:color="auto"/>
              <w:right w:val="single" w:sz="12" w:space="0" w:color="auto"/>
            </w:tcBorders>
            <w:hideMark/>
          </w:tcPr>
          <w:p w14:paraId="3C53CA80" w14:textId="77777777" w:rsidR="00A97F04" w:rsidRPr="00E3764E" w:rsidRDefault="00A97F04" w:rsidP="00A539E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E3764E">
              <w:rPr>
                <w:rFonts w:ascii="Times New Roman" w:hAnsi="Times New Roman"/>
              </w:rPr>
              <w:t>mean = 24.14, max = 92.57, min = 1.57</w:t>
            </w:r>
          </w:p>
        </w:tc>
        <w:tc>
          <w:tcPr>
            <w:tcW w:w="0" w:type="auto"/>
            <w:tcBorders>
              <w:left w:val="single" w:sz="12" w:space="0" w:color="auto"/>
              <w:right w:val="single" w:sz="12" w:space="0" w:color="auto"/>
            </w:tcBorders>
            <w:hideMark/>
          </w:tcPr>
          <w:p w14:paraId="758C5A9A" w14:textId="77777777" w:rsidR="00A97F04" w:rsidRPr="00E3764E" w:rsidRDefault="00A97F04" w:rsidP="00A539E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E3764E">
              <w:rPr>
                <w:rFonts w:ascii="Times New Roman" w:hAnsi="Times New Roman"/>
              </w:rPr>
              <w:t>mean = 24.14, max = 92.57, min = 1.57</w:t>
            </w:r>
          </w:p>
        </w:tc>
        <w:tc>
          <w:tcPr>
            <w:tcW w:w="0" w:type="auto"/>
            <w:tcBorders>
              <w:left w:val="single" w:sz="12" w:space="0" w:color="auto"/>
              <w:right w:val="double" w:sz="4" w:space="0" w:color="auto"/>
            </w:tcBorders>
            <w:hideMark/>
          </w:tcPr>
          <w:p w14:paraId="247CB870" w14:textId="77777777" w:rsidR="00A97F04" w:rsidRPr="00E3764E" w:rsidRDefault="00A97F04" w:rsidP="00A539E9">
            <w:pP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E3764E">
              <w:rPr>
                <w:rFonts w:ascii="Times New Roman" w:hAnsi="Times New Roman"/>
              </w:rPr>
              <w:t>High multicollinearity due to interaction terms; robust estimates confirmed by partial models.</w:t>
            </w:r>
          </w:p>
        </w:tc>
      </w:tr>
      <w:tr w:rsidR="00A97F04" w:rsidRPr="00E3764E" w14:paraId="5AE9E5B1" w14:textId="77777777" w:rsidTr="00A539E9">
        <w:tc>
          <w:tcPr>
            <w:cnfStyle w:val="001000000000" w:firstRow="0" w:lastRow="0" w:firstColumn="1" w:lastColumn="0" w:oddVBand="0" w:evenVBand="0" w:oddHBand="0" w:evenHBand="0" w:firstRowFirstColumn="0" w:firstRowLastColumn="0" w:lastRowFirstColumn="0" w:lastRowLastColumn="0"/>
            <w:tcW w:w="0" w:type="auto"/>
            <w:tcBorders>
              <w:left w:val="double" w:sz="4" w:space="0" w:color="auto"/>
              <w:bottom w:val="double" w:sz="4" w:space="0" w:color="auto"/>
              <w:right w:val="double" w:sz="4" w:space="0" w:color="auto"/>
            </w:tcBorders>
            <w:hideMark/>
          </w:tcPr>
          <w:p w14:paraId="5A1A7CB8" w14:textId="77777777" w:rsidR="00A97F04" w:rsidRPr="00E3764E" w:rsidRDefault="00A97F04" w:rsidP="00A539E9">
            <w:pPr>
              <w:rPr>
                <w:rFonts w:ascii="Times New Roman" w:hAnsi="Times New Roman"/>
              </w:rPr>
            </w:pPr>
            <w:r w:rsidRPr="00E3764E">
              <w:rPr>
                <w:rFonts w:ascii="Times New Roman" w:hAnsi="Times New Roman"/>
              </w:rPr>
              <w:lastRenderedPageBreak/>
              <w:t>Chi²-Statistic for Endogeneity (IV test)</w:t>
            </w:r>
          </w:p>
        </w:tc>
        <w:tc>
          <w:tcPr>
            <w:tcW w:w="0" w:type="auto"/>
            <w:tcBorders>
              <w:left w:val="double" w:sz="4" w:space="0" w:color="auto"/>
              <w:bottom w:val="double" w:sz="4" w:space="0" w:color="auto"/>
              <w:right w:val="single" w:sz="12" w:space="0" w:color="auto"/>
            </w:tcBorders>
            <w:hideMark/>
          </w:tcPr>
          <w:p w14:paraId="452F753C" w14:textId="77777777" w:rsidR="00A97F04" w:rsidRPr="00E3764E" w:rsidRDefault="00A97F04" w:rsidP="00A539E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E3764E">
              <w:rPr>
                <w:rFonts w:ascii="Times New Roman" w:hAnsi="Times New Roman"/>
              </w:rPr>
              <w:t>Chi²(1) = 0.155, p = 0.6939</w:t>
            </w:r>
          </w:p>
        </w:tc>
        <w:tc>
          <w:tcPr>
            <w:tcW w:w="0" w:type="auto"/>
            <w:tcBorders>
              <w:left w:val="single" w:sz="12" w:space="0" w:color="auto"/>
              <w:bottom w:val="double" w:sz="4" w:space="0" w:color="auto"/>
              <w:right w:val="single" w:sz="12" w:space="0" w:color="auto"/>
            </w:tcBorders>
            <w:hideMark/>
          </w:tcPr>
          <w:p w14:paraId="48B16932" w14:textId="77777777" w:rsidR="00A97F04" w:rsidRPr="00E3764E" w:rsidRDefault="00A97F04" w:rsidP="00A539E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E3764E">
              <w:rPr>
                <w:rFonts w:ascii="Times New Roman" w:hAnsi="Times New Roman"/>
              </w:rPr>
              <w:t>Chi²(1) = 1.837, p = 0.1753</w:t>
            </w:r>
          </w:p>
        </w:tc>
        <w:tc>
          <w:tcPr>
            <w:tcW w:w="0" w:type="auto"/>
            <w:tcBorders>
              <w:left w:val="single" w:sz="12" w:space="0" w:color="auto"/>
              <w:bottom w:val="double" w:sz="4" w:space="0" w:color="auto"/>
              <w:right w:val="double" w:sz="4" w:space="0" w:color="auto"/>
            </w:tcBorders>
            <w:hideMark/>
          </w:tcPr>
          <w:p w14:paraId="591D7A4E" w14:textId="77777777" w:rsidR="00A97F04" w:rsidRPr="00E3764E" w:rsidRDefault="00A97F04" w:rsidP="00A539E9">
            <w:pP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E3764E">
              <w:rPr>
                <w:rFonts w:ascii="Times New Roman" w:hAnsi="Times New Roman"/>
              </w:rPr>
              <w:t>No endogeneity detected.</w:t>
            </w:r>
          </w:p>
        </w:tc>
      </w:tr>
    </w:tbl>
    <w:p w14:paraId="5A1D8B98" w14:textId="77777777" w:rsidR="00A97F04" w:rsidRPr="00E3764E" w:rsidRDefault="00A97F04" w:rsidP="00A97F04">
      <w:pPr>
        <w:jc w:val="both"/>
        <w:rPr>
          <w:rFonts w:ascii="Times New Roman" w:hAnsi="Times New Roman"/>
        </w:rPr>
      </w:pPr>
      <w:r w:rsidRPr="00E3764E">
        <w:rPr>
          <w:rFonts w:ascii="Times New Roman" w:hAnsi="Times New Roman"/>
        </w:rPr>
        <w:t>Notes: Diagnostics confirm the validity of EQ Y-2 and G-2. Year fixed effects control for external shocks like the 2008 crisis, reinforcing the structural reliability of findings.</w:t>
      </w:r>
    </w:p>
    <w:p w14:paraId="3A812D52" w14:textId="77777777" w:rsidR="00A97F04" w:rsidRPr="00E3764E" w:rsidRDefault="00A97F04" w:rsidP="00A97F04">
      <w:pPr>
        <w:spacing w:line="360" w:lineRule="auto"/>
        <w:jc w:val="both"/>
        <w:rPr>
          <w:rFonts w:ascii="Times New Roman" w:hAnsi="Times New Roman"/>
        </w:rPr>
      </w:pPr>
    </w:p>
    <w:p w14:paraId="08B47A3C" w14:textId="77777777" w:rsidR="00A97F04" w:rsidRPr="00E3764E" w:rsidRDefault="00A97F04" w:rsidP="00A97F04">
      <w:pPr>
        <w:jc w:val="both"/>
        <w:rPr>
          <w:rFonts w:ascii="Times New Roman" w:hAnsi="Times New Roman"/>
          <w:b/>
          <w:bCs/>
        </w:rPr>
      </w:pPr>
      <w:r w:rsidRPr="00E3764E">
        <w:rPr>
          <w:rFonts w:ascii="Times New Roman" w:hAnsi="Times New Roman"/>
          <w:b/>
          <w:bCs/>
        </w:rPr>
        <w:t>3. Appendix Table 2. Classification of 69 Sample Countries Based on OECD Membership and the Economist Intelligence Unit’s Democracy Index</w:t>
      </w:r>
    </w:p>
    <w:p w14:paraId="0EC2024D" w14:textId="77777777" w:rsidR="00A97F04" w:rsidRPr="00E3764E" w:rsidRDefault="00A97F04" w:rsidP="00A97F04">
      <w:pPr>
        <w:spacing w:line="360" w:lineRule="auto"/>
        <w:jc w:val="both"/>
        <w:rPr>
          <w:rFonts w:ascii="Times New Roman" w:hAnsi="Times New Roman"/>
          <w:b/>
          <w:bCs/>
        </w:rPr>
      </w:pPr>
    </w:p>
    <w:tbl>
      <w:tblPr>
        <w:tblStyle w:val="11"/>
        <w:tblW w:w="0" w:type="auto"/>
        <w:tblLook w:val="04A0" w:firstRow="1" w:lastRow="0" w:firstColumn="1" w:lastColumn="0" w:noHBand="0" w:noVBand="1"/>
      </w:tblPr>
      <w:tblGrid>
        <w:gridCol w:w="3919"/>
        <w:gridCol w:w="5077"/>
      </w:tblGrid>
      <w:tr w:rsidR="00A97F04" w:rsidRPr="00E3764E" w14:paraId="0257E956" w14:textId="77777777" w:rsidTr="00A539E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Borders>
              <w:top w:val="double" w:sz="4" w:space="0" w:color="auto"/>
              <w:left w:val="double" w:sz="4" w:space="0" w:color="auto"/>
              <w:right w:val="double" w:sz="4" w:space="0" w:color="auto"/>
            </w:tcBorders>
            <w:hideMark/>
          </w:tcPr>
          <w:p w14:paraId="43DF07C8" w14:textId="77777777" w:rsidR="00A97F04" w:rsidRPr="00E3764E" w:rsidRDefault="00A97F04" w:rsidP="00A539E9">
            <w:pPr>
              <w:jc w:val="both"/>
              <w:rPr>
                <w:rFonts w:ascii="Times New Roman" w:hAnsi="Times New Roman"/>
              </w:rPr>
            </w:pPr>
            <w:r w:rsidRPr="00E3764E">
              <w:rPr>
                <w:rFonts w:ascii="Times New Roman" w:hAnsi="Times New Roman"/>
              </w:rPr>
              <w:t>Regime</w:t>
            </w:r>
          </w:p>
        </w:tc>
        <w:tc>
          <w:tcPr>
            <w:tcW w:w="0" w:type="auto"/>
            <w:tcBorders>
              <w:top w:val="double" w:sz="4" w:space="0" w:color="auto"/>
              <w:left w:val="double" w:sz="4" w:space="0" w:color="auto"/>
              <w:right w:val="double" w:sz="4" w:space="0" w:color="auto"/>
            </w:tcBorders>
            <w:hideMark/>
          </w:tcPr>
          <w:p w14:paraId="5E3A6C41" w14:textId="77777777" w:rsidR="00A97F04" w:rsidRPr="00E3764E" w:rsidRDefault="00A97F04" w:rsidP="00A539E9">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rPr>
            </w:pPr>
            <w:r w:rsidRPr="00E3764E">
              <w:rPr>
                <w:rFonts w:ascii="Times New Roman" w:hAnsi="Times New Roman"/>
              </w:rPr>
              <w:t>Countries</w:t>
            </w:r>
          </w:p>
        </w:tc>
      </w:tr>
      <w:tr w:rsidR="00A97F04" w:rsidRPr="00E3764E" w14:paraId="7ABE8F11" w14:textId="77777777" w:rsidTr="00A539E9">
        <w:tc>
          <w:tcPr>
            <w:cnfStyle w:val="001000000000" w:firstRow="0" w:lastRow="0" w:firstColumn="1" w:lastColumn="0" w:oddVBand="0" w:evenVBand="0" w:oddHBand="0" w:evenHBand="0" w:firstRowFirstColumn="0" w:firstRowLastColumn="0" w:lastRowFirstColumn="0" w:lastRowLastColumn="0"/>
            <w:tcW w:w="0" w:type="auto"/>
            <w:tcBorders>
              <w:left w:val="double" w:sz="4" w:space="0" w:color="auto"/>
              <w:right w:val="double" w:sz="4" w:space="0" w:color="auto"/>
            </w:tcBorders>
            <w:hideMark/>
          </w:tcPr>
          <w:p w14:paraId="019F350E" w14:textId="77777777" w:rsidR="00A97F04" w:rsidRPr="00E3764E" w:rsidRDefault="00A97F04" w:rsidP="00A539E9">
            <w:pPr>
              <w:rPr>
                <w:rFonts w:ascii="Times New Roman" w:hAnsi="Times New Roman"/>
              </w:rPr>
            </w:pPr>
            <w:r w:rsidRPr="00E3764E">
              <w:rPr>
                <w:rFonts w:ascii="Times New Roman" w:hAnsi="Times New Roman"/>
              </w:rPr>
              <w:t>Non-democracy-market system (NDM) (12 countries)</w:t>
            </w:r>
          </w:p>
        </w:tc>
        <w:tc>
          <w:tcPr>
            <w:tcW w:w="0" w:type="auto"/>
            <w:tcBorders>
              <w:left w:val="double" w:sz="4" w:space="0" w:color="auto"/>
              <w:right w:val="double" w:sz="4" w:space="0" w:color="auto"/>
            </w:tcBorders>
            <w:hideMark/>
          </w:tcPr>
          <w:p w14:paraId="53C2FF07" w14:textId="77777777" w:rsidR="00A97F04" w:rsidRPr="00E3764E" w:rsidRDefault="00A97F04" w:rsidP="00A539E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E3764E">
              <w:rPr>
                <w:rFonts w:ascii="Times New Roman" w:hAnsi="Times New Roman"/>
              </w:rPr>
              <w:t>Bangladesh, China, Egypt, Kazakhstan, Kenya, Lebanon, Morocco, Namibia, Nigeria, Pakistan, Thailand, Vietnam*</w:t>
            </w:r>
          </w:p>
        </w:tc>
      </w:tr>
      <w:tr w:rsidR="00A97F04" w:rsidRPr="00E3764E" w14:paraId="00B3E7BC" w14:textId="77777777" w:rsidTr="00A539E9">
        <w:tc>
          <w:tcPr>
            <w:cnfStyle w:val="001000000000" w:firstRow="0" w:lastRow="0" w:firstColumn="1" w:lastColumn="0" w:oddVBand="0" w:evenVBand="0" w:oddHBand="0" w:evenHBand="0" w:firstRowFirstColumn="0" w:firstRowLastColumn="0" w:lastRowFirstColumn="0" w:lastRowLastColumn="0"/>
            <w:tcW w:w="0" w:type="auto"/>
            <w:tcBorders>
              <w:left w:val="double" w:sz="4" w:space="0" w:color="auto"/>
              <w:right w:val="double" w:sz="4" w:space="0" w:color="auto"/>
            </w:tcBorders>
            <w:hideMark/>
          </w:tcPr>
          <w:p w14:paraId="7B8382F9" w14:textId="77777777" w:rsidR="00A97F04" w:rsidRPr="00E3764E" w:rsidRDefault="00A97F04" w:rsidP="00A539E9">
            <w:pPr>
              <w:rPr>
                <w:rFonts w:ascii="Times New Roman" w:hAnsi="Times New Roman"/>
              </w:rPr>
            </w:pPr>
            <w:r w:rsidRPr="00E3764E">
              <w:rPr>
                <w:rFonts w:ascii="Times New Roman" w:hAnsi="Times New Roman"/>
              </w:rPr>
              <w:t>Young democracy-market system (YDM) (20 countries) – Hybrid democracies not classified in other groups (including Colombia, OECD member since 2020)</w:t>
            </w:r>
          </w:p>
        </w:tc>
        <w:tc>
          <w:tcPr>
            <w:tcW w:w="0" w:type="auto"/>
            <w:tcBorders>
              <w:left w:val="double" w:sz="4" w:space="0" w:color="auto"/>
              <w:right w:val="double" w:sz="4" w:space="0" w:color="auto"/>
            </w:tcBorders>
            <w:hideMark/>
          </w:tcPr>
          <w:p w14:paraId="7F4477C6" w14:textId="77777777" w:rsidR="00A97F04" w:rsidRPr="00E3764E" w:rsidRDefault="00A97F04" w:rsidP="00A539E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E3764E">
              <w:rPr>
                <w:rFonts w:ascii="Times New Roman" w:hAnsi="Times New Roman"/>
              </w:rPr>
              <w:t>Argentina, Botswana, Brazil, Colombia, Croatia, Cyprus, Ecuador, Ghana, India, Indonesia, Malawi, Malaysia, Malta, Mauritius, Peru, Philippines, Romania, Serbia**, South Africa, Tunisia</w:t>
            </w:r>
          </w:p>
        </w:tc>
      </w:tr>
      <w:tr w:rsidR="00A97F04" w:rsidRPr="00E3764E" w14:paraId="07F24648" w14:textId="77777777" w:rsidTr="00A539E9">
        <w:tc>
          <w:tcPr>
            <w:cnfStyle w:val="001000000000" w:firstRow="0" w:lastRow="0" w:firstColumn="1" w:lastColumn="0" w:oddVBand="0" w:evenVBand="0" w:oddHBand="0" w:evenHBand="0" w:firstRowFirstColumn="0" w:firstRowLastColumn="0" w:lastRowFirstColumn="0" w:lastRowLastColumn="0"/>
            <w:tcW w:w="0" w:type="auto"/>
            <w:tcBorders>
              <w:left w:val="double" w:sz="4" w:space="0" w:color="auto"/>
              <w:right w:val="double" w:sz="4" w:space="0" w:color="auto"/>
            </w:tcBorders>
            <w:hideMark/>
          </w:tcPr>
          <w:p w14:paraId="10CDD411" w14:textId="77777777" w:rsidR="00A97F04" w:rsidRPr="00E3764E" w:rsidRDefault="00A97F04" w:rsidP="00A539E9">
            <w:pPr>
              <w:rPr>
                <w:rFonts w:ascii="Times New Roman" w:hAnsi="Times New Roman"/>
              </w:rPr>
            </w:pPr>
            <w:r w:rsidRPr="00E3764E">
              <w:rPr>
                <w:rFonts w:ascii="Times New Roman" w:hAnsi="Times New Roman"/>
              </w:rPr>
              <w:t>Advancing democracy-market system (ADM) (14 countries) – OECD members since 1994–2018 (12 countries), plus Turkey and Singapore</w:t>
            </w:r>
          </w:p>
        </w:tc>
        <w:tc>
          <w:tcPr>
            <w:tcW w:w="0" w:type="auto"/>
            <w:tcBorders>
              <w:left w:val="double" w:sz="4" w:space="0" w:color="auto"/>
              <w:right w:val="double" w:sz="4" w:space="0" w:color="auto"/>
            </w:tcBorders>
            <w:hideMark/>
          </w:tcPr>
          <w:p w14:paraId="434D4F91" w14:textId="77777777" w:rsidR="00A97F04" w:rsidRPr="00E3764E" w:rsidRDefault="00A97F04" w:rsidP="00A539E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E3764E">
              <w:rPr>
                <w:rFonts w:ascii="Times New Roman" w:hAnsi="Times New Roman"/>
              </w:rPr>
              <w:t>Chile, Czech Republic, Estonia**, Hungary, Israel, Korea, Latvia, Lithuania, Mexico, Poland, Singapore*, Slovakia, Slovenia, Turkey</w:t>
            </w:r>
          </w:p>
        </w:tc>
      </w:tr>
      <w:tr w:rsidR="00A97F04" w:rsidRPr="00E3764E" w14:paraId="284BCADB" w14:textId="77777777" w:rsidTr="00A539E9">
        <w:tc>
          <w:tcPr>
            <w:cnfStyle w:val="001000000000" w:firstRow="0" w:lastRow="0" w:firstColumn="1" w:lastColumn="0" w:oddVBand="0" w:evenVBand="0" w:oddHBand="0" w:evenHBand="0" w:firstRowFirstColumn="0" w:firstRowLastColumn="0" w:lastRowFirstColumn="0" w:lastRowLastColumn="0"/>
            <w:tcW w:w="0" w:type="auto"/>
            <w:tcBorders>
              <w:left w:val="double" w:sz="4" w:space="0" w:color="auto"/>
              <w:bottom w:val="double" w:sz="4" w:space="0" w:color="auto"/>
              <w:right w:val="double" w:sz="4" w:space="0" w:color="auto"/>
            </w:tcBorders>
            <w:hideMark/>
          </w:tcPr>
          <w:p w14:paraId="747EF6CB" w14:textId="77777777" w:rsidR="00A97F04" w:rsidRPr="00E3764E" w:rsidRDefault="00A97F04" w:rsidP="00A539E9">
            <w:pPr>
              <w:rPr>
                <w:rFonts w:ascii="Times New Roman" w:hAnsi="Times New Roman"/>
              </w:rPr>
            </w:pPr>
            <w:r w:rsidRPr="00E3764E">
              <w:rPr>
                <w:rFonts w:ascii="Times New Roman" w:hAnsi="Times New Roman"/>
              </w:rPr>
              <w:t>Mature democracy-market system (MDM (23 countries) – Original OECD members (1961–1973), excluding Turkey</w:t>
            </w:r>
          </w:p>
        </w:tc>
        <w:tc>
          <w:tcPr>
            <w:tcW w:w="0" w:type="auto"/>
            <w:tcBorders>
              <w:left w:val="double" w:sz="4" w:space="0" w:color="auto"/>
              <w:bottom w:val="double" w:sz="4" w:space="0" w:color="auto"/>
              <w:right w:val="double" w:sz="4" w:space="0" w:color="auto"/>
            </w:tcBorders>
            <w:hideMark/>
          </w:tcPr>
          <w:p w14:paraId="45CEC441" w14:textId="77777777" w:rsidR="00A97F04" w:rsidRPr="00E3764E" w:rsidRDefault="00A97F04" w:rsidP="00A539E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E3764E">
              <w:rPr>
                <w:rFonts w:ascii="Times New Roman" w:hAnsi="Times New Roman"/>
              </w:rPr>
              <w:t>Australia*, Austria, Belgium, Canada, Denmark, Finland, France, Germany, Greece, Iceland, Ireland, Italy, Japan, Luxembourg, Netherlands, New Zealand, Norway, Portugal, Spain, Sweden, Switzerland, United Kingdom, United States</w:t>
            </w:r>
          </w:p>
        </w:tc>
      </w:tr>
    </w:tbl>
    <w:p w14:paraId="7EB1F3D8" w14:textId="77777777" w:rsidR="00A97F04" w:rsidRPr="00E3764E" w:rsidRDefault="00A97F04" w:rsidP="00A97F04">
      <w:pPr>
        <w:spacing w:line="276" w:lineRule="auto"/>
        <w:jc w:val="both"/>
        <w:rPr>
          <w:rFonts w:ascii="Times New Roman" w:hAnsi="Times New Roman"/>
        </w:rPr>
      </w:pPr>
      <w:r w:rsidRPr="00E3764E">
        <w:rPr>
          <w:rFonts w:ascii="Times New Roman" w:hAnsi="Times New Roman" w:hint="eastAsia"/>
        </w:rPr>
        <w:t>Not</w:t>
      </w:r>
      <w:r w:rsidRPr="00E3764E">
        <w:rPr>
          <w:rFonts w:ascii="Times New Roman" w:hAnsi="Times New Roman"/>
        </w:rPr>
        <w:t>e</w:t>
      </w:r>
      <w:r w:rsidRPr="00E3764E">
        <w:rPr>
          <w:rFonts w:ascii="Times New Roman" w:hAnsi="Times New Roman" w:hint="eastAsia"/>
        </w:rPr>
        <w:t xml:space="preserve">: * </w:t>
      </w:r>
      <w:r w:rsidRPr="00E3764E">
        <w:rPr>
          <w:rFonts w:ascii="Times New Roman" w:hAnsi="Times New Roman"/>
        </w:rPr>
        <w:t>These countries were excluded from the panel regression analysis due to missing data on schooling. ** For these countries, the 2006 ca growth rate was excluded from the sample statistics due to outlier removal.</w:t>
      </w:r>
    </w:p>
    <w:p w14:paraId="0EC0D09B" w14:textId="77777777" w:rsidR="004E780C" w:rsidRDefault="004E780C"/>
    <w:sectPr w:rsidR="004E780C" w:rsidSect="00A97F04">
      <w:footerReference w:type="default" r:id="rId5"/>
      <w:pgSz w:w="11906" w:h="16838"/>
      <w:pgMar w:top="1701" w:right="1440" w:bottom="1440" w:left="1440" w:header="851" w:footer="992" w:gutter="0"/>
      <w:cols w:space="425"/>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Gulim">
    <w:altName w:val="굴림"/>
    <w:panose1 w:val="020B0600000101010101"/>
    <w:charset w:val="81"/>
    <w:family w:val="swiss"/>
    <w:pitch w:val="variable"/>
    <w:sig w:usb0="B00002AF" w:usb1="69D77CFB" w:usb2="00000030" w:usb3="00000000" w:csb0="0008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484429369"/>
      <w:docPartObj>
        <w:docPartGallery w:val="Page Numbers (Bottom of Page)"/>
        <w:docPartUnique/>
      </w:docPartObj>
    </w:sdtPr>
    <w:sdtContent>
      <w:p w14:paraId="0BE49FD5" w14:textId="77777777" w:rsidR="00000000" w:rsidRDefault="00000000">
        <w:pPr>
          <w:pStyle w:val="Footer"/>
          <w:jc w:val="center"/>
        </w:pPr>
        <w:r>
          <w:fldChar w:fldCharType="begin"/>
        </w:r>
        <w:r>
          <w:instrText>PAGE   \* MERGEFORMAT</w:instrText>
        </w:r>
        <w:r>
          <w:fldChar w:fldCharType="separate"/>
        </w:r>
        <w:r w:rsidRPr="00680E02">
          <w:rPr>
            <w:noProof/>
            <w:lang w:val="ko-KR"/>
          </w:rPr>
          <w:t>24</w:t>
        </w:r>
        <w:r>
          <w:fldChar w:fldCharType="end"/>
        </w:r>
      </w:p>
    </w:sdtContent>
  </w:sdt>
  <w:p w14:paraId="5CD45351" w14:textId="77777777" w:rsidR="00000000" w:rsidRDefault="00000000">
    <w:pPr>
      <w:pStyle w:val="Footer"/>
    </w:pP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0BD441A"/>
    <w:multiLevelType w:val="multilevel"/>
    <w:tmpl w:val="C900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F430667"/>
    <w:multiLevelType w:val="multilevel"/>
    <w:tmpl w:val="BC6AA294"/>
    <w:lvl w:ilvl="0">
      <w:start w:val="4"/>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2" w15:restartNumberingAfterBreak="0">
    <w:nsid w:val="2A541D2E"/>
    <w:multiLevelType w:val="multilevel"/>
    <w:tmpl w:val="45F066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A0F0BF9"/>
    <w:multiLevelType w:val="multilevel"/>
    <w:tmpl w:val="FBBC063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BD10AB7"/>
    <w:multiLevelType w:val="multilevel"/>
    <w:tmpl w:val="830E46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50A45B5"/>
    <w:multiLevelType w:val="multilevel"/>
    <w:tmpl w:val="FA5E8C5E"/>
    <w:lvl w:ilvl="0">
      <w:start w:val="2"/>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6" w15:restartNumberingAfterBreak="0">
    <w:nsid w:val="59ED16D7"/>
    <w:multiLevelType w:val="multilevel"/>
    <w:tmpl w:val="D5303DD4"/>
    <w:lvl w:ilvl="0">
      <w:start w:val="3"/>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7" w15:restartNumberingAfterBreak="0">
    <w:nsid w:val="6E451921"/>
    <w:multiLevelType w:val="multilevel"/>
    <w:tmpl w:val="70E69A62"/>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num w:numId="1" w16cid:durableId="421344426">
    <w:abstractNumId w:val="7"/>
  </w:num>
  <w:num w:numId="2" w16cid:durableId="758789164">
    <w:abstractNumId w:val="0"/>
  </w:num>
  <w:num w:numId="3" w16cid:durableId="193662176">
    <w:abstractNumId w:val="5"/>
  </w:num>
  <w:num w:numId="4" w16cid:durableId="177932070">
    <w:abstractNumId w:val="2"/>
  </w:num>
  <w:num w:numId="5" w16cid:durableId="59644742">
    <w:abstractNumId w:val="6"/>
  </w:num>
  <w:num w:numId="6" w16cid:durableId="2029408148">
    <w:abstractNumId w:val="3"/>
  </w:num>
  <w:num w:numId="7" w16cid:durableId="543251383">
    <w:abstractNumId w:val="1"/>
  </w:num>
  <w:num w:numId="8" w16cid:durableId="2788114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97F04"/>
    <w:rsid w:val="002978F5"/>
    <w:rsid w:val="003852CF"/>
    <w:rsid w:val="004E780C"/>
    <w:rsid w:val="00A279C7"/>
    <w:rsid w:val="00A97F04"/>
    <w:rsid w:val="00F50F1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73DF62"/>
  <w15:chartTrackingRefBased/>
  <w15:docId w15:val="{5906CAD6-0C6D-4DE3-8998-31F93A00A9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97F04"/>
    <w:pPr>
      <w:spacing w:after="0" w:line="240" w:lineRule="auto"/>
    </w:pPr>
    <w:rPr>
      <w:rFonts w:eastAsiaTheme="minorEastAsia" w:cs="Times New Roman"/>
      <w:lang w:eastAsia="ko-KR"/>
    </w:rPr>
  </w:style>
  <w:style w:type="paragraph" w:styleId="Heading1">
    <w:name w:val="heading 1"/>
    <w:basedOn w:val="Normal"/>
    <w:next w:val="Normal"/>
    <w:link w:val="Heading1Char"/>
    <w:uiPriority w:val="9"/>
    <w:qFormat/>
    <w:rsid w:val="00A97F0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97F0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97F0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97F0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97F0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97F04"/>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97F04"/>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97F04"/>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97F04"/>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97F0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97F0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97F0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97F0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97F0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97F0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97F0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97F0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97F04"/>
    <w:rPr>
      <w:rFonts w:eastAsiaTheme="majorEastAsia" w:cstheme="majorBidi"/>
      <w:color w:val="272727" w:themeColor="text1" w:themeTint="D8"/>
    </w:rPr>
  </w:style>
  <w:style w:type="paragraph" w:styleId="Title">
    <w:name w:val="Title"/>
    <w:basedOn w:val="Normal"/>
    <w:next w:val="Normal"/>
    <w:link w:val="TitleChar"/>
    <w:uiPriority w:val="10"/>
    <w:qFormat/>
    <w:rsid w:val="00A97F04"/>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97F0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97F0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97F0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97F04"/>
    <w:pPr>
      <w:spacing w:before="160"/>
      <w:jc w:val="center"/>
    </w:pPr>
    <w:rPr>
      <w:i/>
      <w:iCs/>
      <w:color w:val="404040" w:themeColor="text1" w:themeTint="BF"/>
    </w:rPr>
  </w:style>
  <w:style w:type="character" w:customStyle="1" w:styleId="QuoteChar">
    <w:name w:val="Quote Char"/>
    <w:basedOn w:val="DefaultParagraphFont"/>
    <w:link w:val="Quote"/>
    <w:uiPriority w:val="29"/>
    <w:rsid w:val="00A97F04"/>
    <w:rPr>
      <w:i/>
      <w:iCs/>
      <w:color w:val="404040" w:themeColor="text1" w:themeTint="BF"/>
    </w:rPr>
  </w:style>
  <w:style w:type="paragraph" w:styleId="ListParagraph">
    <w:name w:val="List Paragraph"/>
    <w:basedOn w:val="Normal"/>
    <w:uiPriority w:val="34"/>
    <w:qFormat/>
    <w:rsid w:val="00A97F04"/>
    <w:pPr>
      <w:ind w:left="720"/>
      <w:contextualSpacing/>
    </w:pPr>
  </w:style>
  <w:style w:type="character" w:styleId="IntenseEmphasis">
    <w:name w:val="Intense Emphasis"/>
    <w:basedOn w:val="DefaultParagraphFont"/>
    <w:uiPriority w:val="21"/>
    <w:qFormat/>
    <w:rsid w:val="00A97F04"/>
    <w:rPr>
      <w:i/>
      <w:iCs/>
      <w:color w:val="0F4761" w:themeColor="accent1" w:themeShade="BF"/>
    </w:rPr>
  </w:style>
  <w:style w:type="paragraph" w:styleId="IntenseQuote">
    <w:name w:val="Intense Quote"/>
    <w:basedOn w:val="Normal"/>
    <w:next w:val="Normal"/>
    <w:link w:val="IntenseQuoteChar"/>
    <w:uiPriority w:val="30"/>
    <w:qFormat/>
    <w:rsid w:val="00A97F0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97F04"/>
    <w:rPr>
      <w:i/>
      <w:iCs/>
      <w:color w:val="0F4761" w:themeColor="accent1" w:themeShade="BF"/>
    </w:rPr>
  </w:style>
  <w:style w:type="character" w:styleId="IntenseReference">
    <w:name w:val="Intense Reference"/>
    <w:basedOn w:val="DefaultParagraphFont"/>
    <w:uiPriority w:val="32"/>
    <w:qFormat/>
    <w:rsid w:val="00A97F04"/>
    <w:rPr>
      <w:b/>
      <w:bCs/>
      <w:smallCaps/>
      <w:color w:val="0F4761" w:themeColor="accent1" w:themeShade="BF"/>
      <w:spacing w:val="5"/>
    </w:rPr>
  </w:style>
  <w:style w:type="paragraph" w:styleId="Footer">
    <w:name w:val="footer"/>
    <w:basedOn w:val="Normal"/>
    <w:link w:val="FooterChar"/>
    <w:uiPriority w:val="99"/>
    <w:unhideWhenUsed/>
    <w:rsid w:val="00A97F04"/>
    <w:pPr>
      <w:tabs>
        <w:tab w:val="center" w:pos="4513"/>
        <w:tab w:val="right" w:pos="9026"/>
      </w:tabs>
      <w:snapToGrid w:val="0"/>
    </w:pPr>
  </w:style>
  <w:style w:type="character" w:customStyle="1" w:styleId="FooterChar">
    <w:name w:val="Footer Char"/>
    <w:basedOn w:val="DefaultParagraphFont"/>
    <w:link w:val="Footer"/>
    <w:uiPriority w:val="99"/>
    <w:rsid w:val="00A97F04"/>
    <w:rPr>
      <w:rFonts w:eastAsiaTheme="minorEastAsia" w:cs="Times New Roman"/>
      <w:lang w:eastAsia="ko-KR"/>
    </w:rPr>
  </w:style>
  <w:style w:type="table" w:customStyle="1" w:styleId="11">
    <w:name w:val="눈금 표 1 밝게1"/>
    <w:basedOn w:val="TableNormal"/>
    <w:next w:val="GridTable1Light"/>
    <w:uiPriority w:val="46"/>
    <w:rsid w:val="00A97F04"/>
    <w:pPr>
      <w:spacing w:after="0" w:line="240" w:lineRule="auto"/>
    </w:pPr>
    <w:rPr>
      <w:rFonts w:eastAsiaTheme="minorEastAsia" w:cs="Times New Roman"/>
      <w:sz w:val="22"/>
      <w:szCs w:val="22"/>
      <w:lang w:eastAsia="ko-KR"/>
    </w:r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GridTable1Light">
    <w:name w:val="Grid Table 1 Light"/>
    <w:basedOn w:val="TableNormal"/>
    <w:uiPriority w:val="46"/>
    <w:rsid w:val="00A97F04"/>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footer" Target="footer1.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1147</Words>
  <Characters>6538</Characters>
  <Application>Microsoft Office Word</Application>
  <DocSecurity>0</DocSecurity>
  <Lines>54</Lines>
  <Paragraphs>15</Paragraphs>
  <ScaleCrop>false</ScaleCrop>
  <Company/>
  <LinksUpToDate>false</LinksUpToDate>
  <CharactersWithSpaces>7670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Rohit Pandey</dc:creator>
  <cp:keywords/>
  <dc:description/>
  <cp:lastModifiedBy>Rohit Pandey</cp:lastModifiedBy>
  <cp:revision>1</cp:revision>
  <dcterms:created xsi:type="dcterms:W3CDTF">2025-08-28T15:47:00Z</dcterms:created>
  <dcterms:modified xsi:type="dcterms:W3CDTF">2025-08-28T15:47:00Z</dcterms:modified>
</cp:coreProperties>
</file>