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26AD5" w14:textId="77777777" w:rsidR="003B68DF" w:rsidRPr="003B68DF" w:rsidRDefault="003B68DF" w:rsidP="003B68DF">
      <w:pPr>
        <w:pStyle w:val="Heading2"/>
        <w:shd w:val="clear" w:color="auto" w:fill="FFFFFF"/>
        <w:spacing w:before="120" w:after="240" w:line="480" w:lineRule="auto"/>
        <w:rPr>
          <w:lang w:val="en-GB"/>
        </w:rPr>
      </w:pPr>
      <w:r w:rsidRPr="003B68DF">
        <w:rPr>
          <w:lang w:val="en-GB"/>
        </w:rPr>
        <w:t>Appendix</w:t>
      </w:r>
    </w:p>
    <w:p w14:paraId="62D94891" w14:textId="77777777" w:rsidR="003B68DF" w:rsidRDefault="003B68DF" w:rsidP="003B68DF">
      <w:pPr>
        <w:shd w:val="clear" w:color="auto" w:fill="FFFFFF"/>
        <w:spacing w:before="120" w:after="240" w:line="480" w:lineRule="auto"/>
        <w:rPr>
          <w:b/>
          <w:i/>
        </w:rPr>
      </w:pPr>
      <w:r>
        <w:rPr>
          <w:b/>
          <w:i/>
        </w:rPr>
        <w:t>Inter-rater reliability</w:t>
      </w:r>
    </w:p>
    <w:p w14:paraId="44C1BEB0" w14:textId="77777777" w:rsidR="003B68DF" w:rsidRDefault="003B68DF" w:rsidP="003B68DF">
      <w:pPr>
        <w:shd w:val="clear" w:color="auto" w:fill="FFFFFF"/>
        <w:spacing w:before="120" w:after="240" w:line="480" w:lineRule="auto"/>
      </w:pPr>
      <w:r>
        <w:t>To ensure data quality, all ROIs were drawn by one rater (AL) and compared with a second rater (AV). In cases of doubt or poor agreement, we discussed with a third rater and corrected as required (SQ). ROIs were reviewed visually for accuracy, avoidance of error (no inclusion of Gibbs ringing in the aqueduct ROI and no overlap of the Eddy current correction ROI with the aqueduct, Gibbs ringing nor other vessel/moving tissue). The velocity waveforms over the cardiac frames were reviewed to further confirm that there were no discontinuities or errors in the velocity calculations. 36 of the 42 healthy controls previously measured and published by SQ were also compared with repeat measurements from the first rater (AL)</w:t>
      </w:r>
      <w:r>
        <w:fldChar w:fldCharType="begin" w:fldLock="1"/>
      </w:r>
      <w:r>
        <w:instrText>ADDIN CSL_CITATION {"citationItems":[{"id":"ITEM-1","itemData":{"DOI":"10.1111/ane.12636","ISSN":"16000404","PMID":"27388230","abstract":"OBJECTIVES Increased aqueduct cerebrospinal fluid (CSF) flow pulsatility and, recently, a reversed CSF flow in the aqueduct have been suggested as hallmarks of idiopathic normal pressure hydrocephalus (INPH). However, these findings have not been adequately confirmed. Our objective was to investigate the flow of blood and CSF in INPH, as compared to healthy elderly, in order to clarify which flow parameters are related to the INPH pathophysiology. MATERIALS AND METHODS Sixteen INPH patients (73 years) and 35 healthy subjects (72 years) underwent phase-contrast magnetic resonance imaging (MRI). Measurements included aqueduct and cervical CSF flow, total arterial inflow (tCBF; i.e. carotid + vertebral arteries), and internal jugular vein flow. Flow pulsatility, net flow, and flow delays were compared (multiple linear regression, correcting for sex and age). RESULTS Aqueduct stroke volume was higher in INPH than healthy (148±95 vs 90±50 mL, P&lt;.05). Net aqueduct CSF flow was similar in magnitude and direction. The cervical CSF stroke volume was lower (P&lt;.05). The internal carotid artery net flow was lower in INPH (P&lt;.05), although tCBF was not. No differences were found in internal jugular vein flow or flow delays. CONCLUSIONS The typical flow of blood and CSF in INPH was mainly characterized by increased CSF pulsatility in the aqueduct and reduced cervical CSF pulsatility. The direction of mean net aqueduct CSF flow was from the third to the fourth ventricle. Our findings may reflect the altered distribution of intracranial CSF volume in INPH, although the causality of these relationships is unclear.","author":[{"dropping-particle":"","family":"Qvarlander","given":"S.","non-dropping-particle":"","parse-names":false,"suffix":""},{"dropping-particle":"","family":"Ambarki","given":"K.","non-dropping-particle":"","parse-names":false,"suffix":""},{"dropping-particle":"","family":"Wåhlin","given":"A.","non-dropping-particle":"","parse-names":false,"suffix":""},{"dropping-particle":"","family":"Jacobsson","given":"J.","non-dropping-particle":"","parse-names":false,"suffix":""},{"dropping-particle":"","family":"Birgander","given":"R.","non-dropping-particle":"","parse-names":false,"suffix":""},{"dropping-particle":"","family":"Malm","given":"J.","non-dropping-particle":"","parse-names":false,"suffix":""},{"dropping-particle":"","family":"Eklund","given":"A.","non-dropping-particle":"","parse-names":false,"suffix":""}],"container-title":"Acta Neurologica Scandinavica","id":"ITEM-1","issue":"5","issued":{"date-parts":[["2017"]]},"page":"576-584","title":"Cerebrospinal fluid and blood flow patterns in idiopathic normal pressure hydrocephalus","type":"article-journal","volume":"135"},"uris":["http://www.mendeley.com/documents/?uuid=8b1b5658-b0cb-4a31-a726-cf9d0fd113b4"]}],"mendeley":{"formattedCitation":"&lt;sup&gt;27&lt;/sup&gt;","plainTextFormattedCitation":"27","previouslyFormattedCitation":"&lt;sup&gt;27&lt;/sup&gt;"},"properties":{"noteIndex":0},"schema":"https://github.com/citation-style-language/schema/raw/master/csl-citation.json"}</w:instrText>
      </w:r>
      <w:r>
        <w:fldChar w:fldCharType="separate"/>
      </w:r>
      <w:r w:rsidRPr="008F736B">
        <w:rPr>
          <w:noProof/>
          <w:vertAlign w:val="superscript"/>
        </w:rPr>
        <w:t>27</w:t>
      </w:r>
      <w:r>
        <w:fldChar w:fldCharType="end"/>
      </w:r>
      <w:r>
        <w:t>.The inter-rater reliability for the 5 measured parameters was assessed between the raters using the two-way mixed effects model for intraclass correlation for measurements based on a single rater and consistency between raters.  The ICCs for the iNPH cohort were 0.99 (0.98-0.99) for SV, 0.81 (</w:t>
      </w:r>
      <w:r>
        <w:rPr>
          <w:highlight w:val="white"/>
        </w:rPr>
        <w:t>0.72-0.88) for peak systolic velocity, 0.69 (0.55-0.79) for peak diastolic velocity and 0.69 (0.56-0.79) for netflow. For the healthy cohort, 0.96 (0.93-0.98) for SV, 0.82 (0.68-0.90) for peak systolic velocity, 0.81 (0.68-0.90) for peak diastolic velocity and 0.43 (0.15-0.65) for netflow.</w:t>
      </w:r>
      <w:r>
        <w:t xml:space="preserve"> The final analysis was based on measurements from the first rater (AL), for both the iNPH patients and the healthy controls.</w:t>
      </w:r>
    </w:p>
    <w:p w14:paraId="57BD41E0" w14:textId="77777777" w:rsidR="003B68DF" w:rsidRDefault="003B68DF" w:rsidP="003B68DF">
      <w:pPr>
        <w:keepNext/>
        <w:shd w:val="clear" w:color="auto" w:fill="FFFFFF"/>
        <w:spacing w:before="120" w:after="240" w:line="480" w:lineRule="auto"/>
        <w:rPr>
          <w:b/>
        </w:rPr>
      </w:pPr>
      <w:r>
        <w:rPr>
          <w:b/>
        </w:rPr>
        <w:t>Post hoc analysis of outcome</w:t>
      </w:r>
    </w:p>
    <w:p w14:paraId="12950359" w14:textId="77777777" w:rsidR="003B68DF" w:rsidRDefault="003B68DF" w:rsidP="003B68DF">
      <w:pPr>
        <w:shd w:val="clear" w:color="auto" w:fill="FFFFFF"/>
        <w:spacing w:before="120" w:after="240" w:line="480" w:lineRule="auto"/>
      </w:pPr>
      <w:r>
        <w:t>Even though gait as the cardinal symptom of iNPH has been internationally agreed upon, there is evidence that classifies iNPH as a balance disorder as well</w:t>
      </w:r>
      <w:r>
        <w:fldChar w:fldCharType="begin" w:fldLock="1"/>
      </w:r>
      <w:r>
        <w:instrText>ADDIN CSL_CITATION {"citationItems":[{"id":"ITEM-1","itemData":{"DOI":"10.1212/CPJ.0b013e3182a78f6b","ISBN":"2163-0402 (Print)","ISSN":"21630402","PMID":"24175154","abstract":"The diagnosis and management of idiopathic normal-pressure hydrocephalus (iNPH), a disorder of gait impairment, incontinence, and dementia that affects elderly patients, incorporates an organized approach using familiar principles for neurologists. The starting point is a comprehensive history and neurologic examination, review of neuroimaging, and evaluation of the differential diagnosis. Coexisting disorders should be treated before specific iNPH testing is performed. Specific iNPH testing includes assessing patient response to temporary CSF removal and testing CSF hydrodynamics. In properly selected patients, all iNPH symptoms, including dementia, can improve after shunt surgery. The longitudinal care of iNPH patients with shunts includes evaluation of the differential diagnosis of worsening iNPH symptoms and treatment of coexisting disorders. Evaluation of shunt obstruction is often indicated, and if it is found, surgical correction is likely to result in symptomatic improvement.","author":[{"dropping-particle":"","family":"Williams","given":"Michael A.","non-dropping-particle":"","parse-names":false,"suffix":""},{"dropping-particle":"","family":"Relkin","given":"Norman R.","non-dropping-particle":"","parse-names":false,"suffix":""}],"container-title":"Neurology: Clinical Practice","id":"ITEM-1","issue":"5","issued":{"date-parts":[["2013"]]},"title":"Diagnosis and management of idiopathic normal-pressure hydrocephalus","type":"article-journal","volume":"3"},"uris":["http://www.mendeley.com/documents/?uuid=84b977fc-9c2b-370f-99e5-81a4de729687"]},{"id":"ITEM-2","itemData":{"DOI":"10.1111/j.1532-5415.2005.00479_9.x","ISSN":"0002-8614","PMID":"16274403","author":[{"dropping-particle":"","family":"Shore","given":"Wendy S","non-dropping-particle":"","parse-names":false,"suffix":""},{"dropping-particle":"","family":"DeLateur","given":"Barbara J","non-dropping-particle":"","parse-names":false,"suffix":""},{"dropping-particle":"V","family":"Kuhlemeier","given":"Keith","non-dropping-particle":"","parse-names":false,"suffix":""},{"dropping-particle":"","family":"Imteyaz","given":"Hejab","non-dropping-particle":"","parse-names":false,"suffix":""},{"dropping-particle":"","family":"Rose","given":"Gregory","non-dropping-particle":"","parse-names":false,"suffix":""},{"dropping-particle":"","family":"Williams","given":"Michael A","non-dropping-particle":"","parse-names":false,"suffix":""}],"container-title":"Journal of the American Geriatrics Society","id":"ITEM-2","issue":"11","issued":{"date-parts":[["2005","11"]]},"page":"2044-5","title":"A comparison of gait assessment methods: Tinetti and GAITRite electronic walkway.","type":"article-journal","volume":"53"},"uris":["http://www.mendeley.com/documents/?uuid=f5fb54da-1c9c-4ae4-ab3b-119511a1bebc"]},{"id":"ITEM-3","itemData":{"URL":"https://ishcsf.com/global-webinar-series-2024-2025-2/","author":[{"dropping-particle":"","family":"Tullberg","given":"Mats","non-dropping-particle":"","parse-names":false,"suffix":""}],"id":"ITEM-3","issued":{"date-parts":[["2024"]]},"title":"Global Webinar Series 2024-2025, International Society for Hydrocephalus and CSF Disorders","type":"webpage"},"uris":["http://www.mendeley.com/documents/?uuid=a01ce1b0-d0f4-4c33-98eb-ac4c4b4d9fbb"]}],"mendeley":{"formattedCitation":"&lt;sup&gt;39–41&lt;/sup&gt;","plainTextFormattedCitation":"39–41","previouslyFormattedCitation":"&lt;sup&gt;39–41&lt;/sup&gt;"},"properties":{"noteIndex":0},"schema":"https://github.com/citation-style-language/schema/raw/master/csl-citation.json"}</w:instrText>
      </w:r>
      <w:r>
        <w:fldChar w:fldCharType="separate"/>
      </w:r>
      <w:r w:rsidRPr="008F736B">
        <w:rPr>
          <w:noProof/>
          <w:vertAlign w:val="superscript"/>
        </w:rPr>
        <w:t>39–41</w:t>
      </w:r>
      <w:r>
        <w:fldChar w:fldCharType="end"/>
      </w:r>
      <w:r>
        <w:t xml:space="preserve">. As such, we performed a post hoc analysis to consider balance as a parameter in post-operative improvement, both separate to and in combination with the gait. To define outcome based on balance, a cut-off of 3 points for the Tinetti balance scale was used as a significant result </w:t>
      </w:r>
      <w:r>
        <w:lastRenderedPageBreak/>
        <w:t xml:space="preserve">that has consistently been described to be above the average measurement error of the scale and interrater variability </w:t>
      </w:r>
    </w:p>
    <w:p w14:paraId="79AE200E" w14:textId="77777777" w:rsidR="003B68DF" w:rsidRPr="000A6314" w:rsidRDefault="003B68DF" w:rsidP="003B68DF"/>
    <w:p w14:paraId="2810B82B" w14:textId="77777777" w:rsidR="003B68DF" w:rsidRPr="003B68DF" w:rsidRDefault="003B68DF" w:rsidP="003B68DF">
      <w:pPr>
        <w:pStyle w:val="Heading4"/>
        <w:spacing w:line="480" w:lineRule="auto"/>
        <w:rPr>
          <w:lang w:val="en-GB"/>
        </w:rPr>
      </w:pPr>
      <w:bookmarkStart w:id="0" w:name="_jy7pwzbjg9do" w:colFirst="0" w:colLast="0"/>
      <w:bookmarkEnd w:id="0"/>
      <w:r>
        <w:rPr>
          <w:noProof/>
        </w:rPr>
        <w:drawing>
          <wp:anchor distT="57150" distB="57150" distL="57150" distR="57150" simplePos="0" relativeHeight="251659264" behindDoc="0" locked="0" layoutInCell="1" hidden="0" allowOverlap="1" wp14:anchorId="1CD1CE05" wp14:editId="3936097C">
            <wp:simplePos x="0" y="0"/>
            <wp:positionH relativeFrom="page">
              <wp:posOffset>106200</wp:posOffset>
            </wp:positionH>
            <wp:positionV relativeFrom="page">
              <wp:posOffset>1752600</wp:posOffset>
            </wp:positionV>
            <wp:extent cx="7324725" cy="3376613"/>
            <wp:effectExtent l="0" t="0" r="0" b="0"/>
            <wp:wrapTopAndBottom distT="57150" distB="57150"/>
            <wp:docPr id="17" name="image2.png" descr="A comparison of a graph&#10;&#10;AI-generated content may be incorrect."/>
            <wp:cNvGraphicFramePr/>
            <a:graphic xmlns:a="http://schemas.openxmlformats.org/drawingml/2006/main">
              <a:graphicData uri="http://schemas.openxmlformats.org/drawingml/2006/picture">
                <pic:pic xmlns:pic="http://schemas.openxmlformats.org/drawingml/2006/picture">
                  <pic:nvPicPr>
                    <pic:cNvPr id="17" name="image2.png" descr="A comparison of a graph&#10;&#10;AI-generated content may be incorrect."/>
                    <pic:cNvPicPr preferRelativeResize="0"/>
                  </pic:nvPicPr>
                  <pic:blipFill>
                    <a:blip r:embed="rId5"/>
                    <a:srcRect t="10054"/>
                    <a:stretch>
                      <a:fillRect/>
                    </a:stretch>
                  </pic:blipFill>
                  <pic:spPr>
                    <a:xfrm>
                      <a:off x="0" y="0"/>
                      <a:ext cx="7324725" cy="3376613"/>
                    </a:xfrm>
                    <a:prstGeom prst="rect">
                      <a:avLst/>
                    </a:prstGeom>
                    <a:ln/>
                  </pic:spPr>
                </pic:pic>
              </a:graphicData>
            </a:graphic>
          </wp:anchor>
        </w:drawing>
      </w:r>
      <w:r w:rsidRPr="003B68DF">
        <w:rPr>
          <w:lang w:val="en-GB"/>
        </w:rPr>
        <w:t>Cardiac gating</w:t>
      </w:r>
    </w:p>
    <w:p w14:paraId="2475FF7F" w14:textId="77777777" w:rsidR="003B68DF" w:rsidRDefault="003B68DF" w:rsidP="003B68DF">
      <w:pPr>
        <w:spacing w:line="480" w:lineRule="auto"/>
      </w:pPr>
      <w:r>
        <w:rPr>
          <w:noProof/>
        </w:rPr>
        <w:drawing>
          <wp:anchor distT="57150" distB="57150" distL="57150" distR="57150" simplePos="0" relativeHeight="251660288" behindDoc="0" locked="0" layoutInCell="1" hidden="0" allowOverlap="1" wp14:anchorId="29642B50" wp14:editId="6916A44C">
            <wp:simplePos x="0" y="0"/>
            <wp:positionH relativeFrom="column">
              <wp:posOffset>-685799</wp:posOffset>
            </wp:positionH>
            <wp:positionV relativeFrom="paragraph">
              <wp:posOffset>3295650</wp:posOffset>
            </wp:positionV>
            <wp:extent cx="7243203" cy="2995527"/>
            <wp:effectExtent l="0" t="0" r="0" b="0"/>
            <wp:wrapTopAndBottom distT="57150" distB="57150"/>
            <wp:docPr id="6" name="image4.png" descr="A comparison of a diagram&#10;&#10;AI-generated content may be incorrect."/>
            <wp:cNvGraphicFramePr/>
            <a:graphic xmlns:a="http://schemas.openxmlformats.org/drawingml/2006/main">
              <a:graphicData uri="http://schemas.openxmlformats.org/drawingml/2006/picture">
                <pic:pic xmlns:pic="http://schemas.openxmlformats.org/drawingml/2006/picture">
                  <pic:nvPicPr>
                    <pic:cNvPr id="6" name="image4.png" descr="A comparison of a diagram&#10;&#10;AI-generated content may be incorrect."/>
                    <pic:cNvPicPr preferRelativeResize="0"/>
                  </pic:nvPicPr>
                  <pic:blipFill>
                    <a:blip r:embed="rId6"/>
                    <a:srcRect t="9252" r="1778"/>
                    <a:stretch>
                      <a:fillRect/>
                    </a:stretch>
                  </pic:blipFill>
                  <pic:spPr>
                    <a:xfrm>
                      <a:off x="0" y="0"/>
                      <a:ext cx="7243203" cy="2995527"/>
                    </a:xfrm>
                    <a:prstGeom prst="rect">
                      <a:avLst/>
                    </a:prstGeom>
                    <a:ln/>
                  </pic:spPr>
                </pic:pic>
              </a:graphicData>
            </a:graphic>
          </wp:anchor>
        </w:drawing>
      </w:r>
    </w:p>
    <w:p w14:paraId="5DD7759D" w14:textId="77777777" w:rsidR="003B68DF" w:rsidRDefault="003B68DF" w:rsidP="003B68DF">
      <w:pPr>
        <w:spacing w:line="480" w:lineRule="auto"/>
      </w:pPr>
    </w:p>
    <w:p w14:paraId="2DC7F701" w14:textId="77777777" w:rsidR="003B68DF" w:rsidRDefault="003B68DF" w:rsidP="003B68DF">
      <w:pPr>
        <w:spacing w:line="480" w:lineRule="auto"/>
      </w:pPr>
      <w:r>
        <w:lastRenderedPageBreak/>
        <w:t>Netflow, Stroke Volume and Peak Velocities in N=49 with retrospective vs N =43 with prospective cardiac gating</w:t>
      </w:r>
    </w:p>
    <w:p w14:paraId="6B5BBB93" w14:textId="77777777" w:rsidR="003B68DF" w:rsidRDefault="003B68DF" w:rsidP="003B68DF">
      <w:pPr>
        <w:pStyle w:val="Heading4"/>
        <w:shd w:val="clear" w:color="auto" w:fill="FFFFFF"/>
        <w:spacing w:before="120" w:after="240" w:line="480" w:lineRule="auto"/>
      </w:pPr>
      <w:bookmarkStart w:id="1" w:name="_7bnkt0py0drr" w:colFirst="0" w:colLast="0"/>
      <w:bookmarkEnd w:id="1"/>
      <w:r>
        <w:t>Comparison with age and sex</w:t>
      </w:r>
    </w:p>
    <w:p w14:paraId="3937EAEB" w14:textId="77777777" w:rsidR="003B68DF" w:rsidRDefault="003B68DF" w:rsidP="003B68DF">
      <w:pPr>
        <w:shd w:val="clear" w:color="auto" w:fill="FFFFFF"/>
        <w:spacing w:before="120" w:after="240" w:line="480" w:lineRule="auto"/>
      </w:pPr>
      <w:r>
        <w:rPr>
          <w:noProof/>
        </w:rPr>
        <w:drawing>
          <wp:inline distT="114300" distB="114300" distL="114300" distR="114300" wp14:anchorId="2719A1BC" wp14:editId="24A9F80A">
            <wp:extent cx="4087181" cy="3600450"/>
            <wp:effectExtent l="0" t="0" r="0" b="0"/>
            <wp:docPr id="12" name="image20.png" descr="A graph of numbers and a line&#10;&#10;AI-generated content may be incorrect."/>
            <wp:cNvGraphicFramePr/>
            <a:graphic xmlns:a="http://schemas.openxmlformats.org/drawingml/2006/main">
              <a:graphicData uri="http://schemas.openxmlformats.org/drawingml/2006/picture">
                <pic:pic xmlns:pic="http://schemas.openxmlformats.org/drawingml/2006/picture">
                  <pic:nvPicPr>
                    <pic:cNvPr id="12" name="image20.png" descr="A graph of numbers and a line&#10;&#10;AI-generated content may be incorrect."/>
                    <pic:cNvPicPr preferRelativeResize="0"/>
                  </pic:nvPicPr>
                  <pic:blipFill>
                    <a:blip r:embed="rId7"/>
                    <a:srcRect t="2667" r="51220"/>
                    <a:stretch>
                      <a:fillRect/>
                    </a:stretch>
                  </pic:blipFill>
                  <pic:spPr>
                    <a:xfrm>
                      <a:off x="0" y="0"/>
                      <a:ext cx="4087181" cy="3600450"/>
                    </a:xfrm>
                    <a:prstGeom prst="rect">
                      <a:avLst/>
                    </a:prstGeom>
                    <a:ln/>
                  </pic:spPr>
                </pic:pic>
              </a:graphicData>
            </a:graphic>
          </wp:inline>
        </w:drawing>
      </w:r>
    </w:p>
    <w:p w14:paraId="313BFE3B" w14:textId="77777777" w:rsidR="003B68DF" w:rsidRDefault="003B68DF" w:rsidP="003B68DF">
      <w:pPr>
        <w:shd w:val="clear" w:color="auto" w:fill="FFFFFF"/>
        <w:spacing w:before="120" w:after="240" w:line="480" w:lineRule="auto"/>
      </w:pPr>
      <w:r>
        <w:rPr>
          <w:noProof/>
        </w:rPr>
        <w:drawing>
          <wp:inline distT="114300" distB="114300" distL="114300" distR="114300" wp14:anchorId="4CC00B10" wp14:editId="279D57D9">
            <wp:extent cx="5800725" cy="2970472"/>
            <wp:effectExtent l="0" t="0" r="0" b="0"/>
            <wp:docPr id="20" name="image1.png" descr="A comparison of a graph&#10;&#10;AI-generated content may be incorrect."/>
            <wp:cNvGraphicFramePr/>
            <a:graphic xmlns:a="http://schemas.openxmlformats.org/drawingml/2006/main">
              <a:graphicData uri="http://schemas.openxmlformats.org/drawingml/2006/picture">
                <pic:pic xmlns:pic="http://schemas.openxmlformats.org/drawingml/2006/picture">
                  <pic:nvPicPr>
                    <pic:cNvPr id="20" name="image1.png" descr="A comparison of a graph&#10;&#10;AI-generated content may be incorrect."/>
                    <pic:cNvPicPr preferRelativeResize="0"/>
                  </pic:nvPicPr>
                  <pic:blipFill>
                    <a:blip r:embed="rId8"/>
                    <a:srcRect t="8700" r="2894" b="969"/>
                    <a:stretch>
                      <a:fillRect/>
                    </a:stretch>
                  </pic:blipFill>
                  <pic:spPr>
                    <a:xfrm>
                      <a:off x="0" y="0"/>
                      <a:ext cx="5800725" cy="2970472"/>
                    </a:xfrm>
                    <a:prstGeom prst="rect">
                      <a:avLst/>
                    </a:prstGeom>
                    <a:ln/>
                  </pic:spPr>
                </pic:pic>
              </a:graphicData>
            </a:graphic>
          </wp:inline>
        </w:drawing>
      </w:r>
    </w:p>
    <w:p w14:paraId="6594F480" w14:textId="5802367A" w:rsidR="003B68DF" w:rsidRDefault="003B68DF" w:rsidP="003B68DF">
      <w:pPr>
        <w:shd w:val="clear" w:color="auto" w:fill="FFFFFF"/>
        <w:spacing w:before="120" w:after="240" w:line="480" w:lineRule="auto"/>
        <w:rPr>
          <w:b/>
        </w:rPr>
      </w:pPr>
      <w:r>
        <w:lastRenderedPageBreak/>
        <w:t xml:space="preserve">Correlation of SV with age and comparison of stroke volume and netflow in men and women  </w:t>
      </w:r>
      <w:r>
        <w:t>(differences had previously been reported in Sartoretti et al</w:t>
      </w:r>
      <w:r>
        <w:rPr>
          <w:vertAlign w:val="superscript"/>
        </w:rPr>
        <w:t>14</w:t>
      </w:r>
      <w:r>
        <w:t>)</w:t>
      </w:r>
    </w:p>
    <w:p w14:paraId="1E74AEE4" w14:textId="77777777" w:rsidR="003B68DF" w:rsidRPr="003B68DF" w:rsidRDefault="003B68DF" w:rsidP="003B68DF">
      <w:pPr>
        <w:pStyle w:val="Heading4"/>
        <w:shd w:val="clear" w:color="auto" w:fill="FFFFFF"/>
        <w:spacing w:before="120" w:after="240" w:line="480" w:lineRule="auto"/>
        <w:rPr>
          <w:lang w:val="en-GB"/>
        </w:rPr>
      </w:pPr>
      <w:bookmarkStart w:id="2" w:name="_8u2107kheh7h" w:colFirst="0" w:colLast="0"/>
      <w:bookmarkEnd w:id="2"/>
      <w:r w:rsidRPr="003B68DF">
        <w:rPr>
          <w:lang w:val="en-GB"/>
        </w:rPr>
        <w:t>Correlation coefficients between the 5 CSF aqueductal flow parameters, preoperative gait velocity and postoperative gait changes.</w:t>
      </w:r>
    </w:p>
    <w:tbl>
      <w:tblPr>
        <w:tblW w:w="9240" w:type="dxa"/>
        <w:tblInd w:w="-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996"/>
        <w:gridCol w:w="1811"/>
        <w:gridCol w:w="1811"/>
        <w:gridCol w:w="1811"/>
        <w:gridCol w:w="1811"/>
      </w:tblGrid>
      <w:tr w:rsidR="003B68DF" w14:paraId="2A7F6233" w14:textId="77777777" w:rsidTr="00443AEE">
        <w:tc>
          <w:tcPr>
            <w:tcW w:w="1995" w:type="dxa"/>
            <w:shd w:val="clear" w:color="auto" w:fill="auto"/>
            <w:tcMar>
              <w:top w:w="100" w:type="dxa"/>
              <w:left w:w="100" w:type="dxa"/>
              <w:bottom w:w="100" w:type="dxa"/>
              <w:right w:w="100" w:type="dxa"/>
            </w:tcMar>
          </w:tcPr>
          <w:p w14:paraId="7D6612E0" w14:textId="77777777" w:rsidR="003B68DF" w:rsidRDefault="003B68DF" w:rsidP="00443AEE">
            <w:pPr>
              <w:widowControl w:val="0"/>
              <w:pBdr>
                <w:top w:val="nil"/>
                <w:left w:val="nil"/>
                <w:bottom w:val="nil"/>
                <w:right w:val="nil"/>
                <w:between w:val="nil"/>
              </w:pBdr>
              <w:spacing w:line="240" w:lineRule="auto"/>
              <w:rPr>
                <w:b/>
              </w:rPr>
            </w:pPr>
            <w:r>
              <w:rPr>
                <w:b/>
              </w:rPr>
              <w:t>Parameter</w:t>
            </w:r>
          </w:p>
        </w:tc>
        <w:tc>
          <w:tcPr>
            <w:tcW w:w="1811" w:type="dxa"/>
            <w:shd w:val="clear" w:color="auto" w:fill="auto"/>
            <w:tcMar>
              <w:top w:w="100" w:type="dxa"/>
              <w:left w:w="100" w:type="dxa"/>
              <w:bottom w:w="100" w:type="dxa"/>
              <w:right w:w="100" w:type="dxa"/>
            </w:tcMar>
          </w:tcPr>
          <w:p w14:paraId="4FEF2877" w14:textId="77777777" w:rsidR="003B68DF" w:rsidRDefault="003B68DF" w:rsidP="00443AEE">
            <w:pPr>
              <w:widowControl w:val="0"/>
              <w:pBdr>
                <w:top w:val="nil"/>
                <w:left w:val="nil"/>
                <w:bottom w:val="nil"/>
                <w:right w:val="nil"/>
                <w:between w:val="nil"/>
              </w:pBdr>
              <w:spacing w:line="240" w:lineRule="auto"/>
              <w:rPr>
                <w:b/>
              </w:rPr>
            </w:pPr>
            <w:r>
              <w:rPr>
                <w:b/>
              </w:rPr>
              <w:t>R with Gait preoperative</w:t>
            </w:r>
          </w:p>
        </w:tc>
        <w:tc>
          <w:tcPr>
            <w:tcW w:w="1811" w:type="dxa"/>
            <w:shd w:val="clear" w:color="auto" w:fill="auto"/>
            <w:tcMar>
              <w:top w:w="100" w:type="dxa"/>
              <w:left w:w="100" w:type="dxa"/>
              <w:bottom w:w="100" w:type="dxa"/>
              <w:right w:w="100" w:type="dxa"/>
            </w:tcMar>
          </w:tcPr>
          <w:p w14:paraId="24F03845" w14:textId="77777777" w:rsidR="003B68DF" w:rsidRDefault="003B68DF" w:rsidP="00443AEE">
            <w:pPr>
              <w:widowControl w:val="0"/>
              <w:spacing w:line="240" w:lineRule="auto"/>
              <w:rPr>
                <w:b/>
              </w:rPr>
            </w:pPr>
            <w:r>
              <w:rPr>
                <w:b/>
              </w:rPr>
              <w:t>p-value</w:t>
            </w:r>
          </w:p>
        </w:tc>
        <w:tc>
          <w:tcPr>
            <w:tcW w:w="1811" w:type="dxa"/>
            <w:shd w:val="clear" w:color="auto" w:fill="auto"/>
            <w:tcMar>
              <w:top w:w="100" w:type="dxa"/>
              <w:left w:w="100" w:type="dxa"/>
              <w:bottom w:w="100" w:type="dxa"/>
              <w:right w:w="100" w:type="dxa"/>
            </w:tcMar>
          </w:tcPr>
          <w:p w14:paraId="2EAB7D25" w14:textId="77777777" w:rsidR="003B68DF" w:rsidRDefault="003B68DF" w:rsidP="00443AEE">
            <w:pPr>
              <w:widowControl w:val="0"/>
              <w:pBdr>
                <w:top w:val="nil"/>
                <w:left w:val="nil"/>
                <w:bottom w:val="nil"/>
                <w:right w:val="nil"/>
                <w:between w:val="nil"/>
              </w:pBdr>
              <w:spacing w:line="240" w:lineRule="auto"/>
              <w:rPr>
                <w:b/>
              </w:rPr>
            </w:pPr>
            <w:r>
              <w:rPr>
                <w:b/>
              </w:rPr>
              <w:t>R with Gait changes postoperative</w:t>
            </w:r>
          </w:p>
        </w:tc>
        <w:tc>
          <w:tcPr>
            <w:tcW w:w="1811" w:type="dxa"/>
            <w:shd w:val="clear" w:color="auto" w:fill="auto"/>
            <w:tcMar>
              <w:top w:w="100" w:type="dxa"/>
              <w:left w:w="100" w:type="dxa"/>
              <w:bottom w:w="100" w:type="dxa"/>
              <w:right w:w="100" w:type="dxa"/>
            </w:tcMar>
          </w:tcPr>
          <w:p w14:paraId="03ECB243" w14:textId="77777777" w:rsidR="003B68DF" w:rsidRDefault="003B68DF" w:rsidP="00443AEE">
            <w:pPr>
              <w:widowControl w:val="0"/>
              <w:spacing w:line="240" w:lineRule="auto"/>
              <w:rPr>
                <w:b/>
              </w:rPr>
            </w:pPr>
            <w:r>
              <w:rPr>
                <w:b/>
              </w:rPr>
              <w:t>p-value</w:t>
            </w:r>
          </w:p>
        </w:tc>
      </w:tr>
      <w:tr w:rsidR="003B68DF" w14:paraId="37FDBA5E" w14:textId="77777777" w:rsidTr="00443AEE">
        <w:tc>
          <w:tcPr>
            <w:tcW w:w="1995" w:type="dxa"/>
            <w:shd w:val="clear" w:color="auto" w:fill="auto"/>
            <w:tcMar>
              <w:top w:w="100" w:type="dxa"/>
              <w:left w:w="100" w:type="dxa"/>
              <w:bottom w:w="100" w:type="dxa"/>
              <w:right w:w="100" w:type="dxa"/>
            </w:tcMar>
          </w:tcPr>
          <w:p w14:paraId="73E6F84B" w14:textId="77777777" w:rsidR="003B68DF" w:rsidRDefault="003B68DF" w:rsidP="00443AEE">
            <w:pPr>
              <w:widowControl w:val="0"/>
              <w:pBdr>
                <w:top w:val="nil"/>
                <w:left w:val="nil"/>
                <w:bottom w:val="nil"/>
                <w:right w:val="nil"/>
                <w:between w:val="nil"/>
              </w:pBdr>
              <w:spacing w:line="240" w:lineRule="auto"/>
              <w:rPr>
                <w:b/>
              </w:rPr>
            </w:pPr>
            <w:r>
              <w:rPr>
                <w:b/>
              </w:rPr>
              <w:t xml:space="preserve">SV </w:t>
            </w:r>
          </w:p>
        </w:tc>
        <w:tc>
          <w:tcPr>
            <w:tcW w:w="1811" w:type="dxa"/>
            <w:shd w:val="clear" w:color="auto" w:fill="auto"/>
            <w:tcMar>
              <w:top w:w="100" w:type="dxa"/>
              <w:left w:w="100" w:type="dxa"/>
              <w:bottom w:w="100" w:type="dxa"/>
              <w:right w:w="100" w:type="dxa"/>
            </w:tcMar>
          </w:tcPr>
          <w:p w14:paraId="7ED0572B" w14:textId="77777777" w:rsidR="003B68DF" w:rsidRDefault="003B68DF" w:rsidP="00443AEE">
            <w:pPr>
              <w:widowControl w:val="0"/>
              <w:spacing w:line="264" w:lineRule="auto"/>
            </w:pPr>
            <w:r>
              <w:rPr>
                <w:rFonts w:ascii="Consolas" w:eastAsia="Consolas" w:hAnsi="Consolas" w:cs="Consolas"/>
                <w:sz w:val="21"/>
                <w:szCs w:val="21"/>
                <w:highlight w:val="white"/>
              </w:rPr>
              <w:t>0.015</w:t>
            </w:r>
          </w:p>
        </w:tc>
        <w:tc>
          <w:tcPr>
            <w:tcW w:w="1811" w:type="dxa"/>
            <w:shd w:val="clear" w:color="auto" w:fill="auto"/>
            <w:tcMar>
              <w:top w:w="100" w:type="dxa"/>
              <w:left w:w="100" w:type="dxa"/>
              <w:bottom w:w="100" w:type="dxa"/>
              <w:right w:w="100" w:type="dxa"/>
            </w:tcMar>
          </w:tcPr>
          <w:p w14:paraId="19AD0BA1" w14:textId="77777777" w:rsidR="003B68DF" w:rsidRDefault="003B68DF" w:rsidP="00443AEE">
            <w:pPr>
              <w:widowControl w:val="0"/>
              <w:spacing w:line="264" w:lineRule="auto"/>
              <w:rPr>
                <w:rFonts w:ascii="Consolas" w:eastAsia="Consolas" w:hAnsi="Consolas" w:cs="Consolas"/>
                <w:sz w:val="21"/>
                <w:szCs w:val="21"/>
                <w:highlight w:val="white"/>
              </w:rPr>
            </w:pPr>
            <w:r>
              <w:rPr>
                <w:rFonts w:ascii="Consolas" w:eastAsia="Consolas" w:hAnsi="Consolas" w:cs="Consolas"/>
                <w:sz w:val="21"/>
                <w:szCs w:val="21"/>
                <w:highlight w:val="white"/>
              </w:rPr>
              <w:t>0.884</w:t>
            </w:r>
          </w:p>
        </w:tc>
        <w:tc>
          <w:tcPr>
            <w:tcW w:w="1811" w:type="dxa"/>
            <w:shd w:val="clear" w:color="auto" w:fill="auto"/>
            <w:tcMar>
              <w:top w:w="100" w:type="dxa"/>
              <w:left w:w="100" w:type="dxa"/>
              <w:bottom w:w="100" w:type="dxa"/>
              <w:right w:w="100" w:type="dxa"/>
            </w:tcMar>
          </w:tcPr>
          <w:p w14:paraId="1EA3CE78" w14:textId="77777777" w:rsidR="003B68DF" w:rsidRDefault="003B68DF" w:rsidP="00443AEE">
            <w:pPr>
              <w:widowControl w:val="0"/>
              <w:spacing w:line="264" w:lineRule="auto"/>
            </w:pPr>
            <w:r>
              <w:rPr>
                <w:rFonts w:ascii="Consolas" w:eastAsia="Consolas" w:hAnsi="Consolas" w:cs="Consolas"/>
                <w:sz w:val="21"/>
                <w:szCs w:val="21"/>
                <w:highlight w:val="white"/>
              </w:rPr>
              <w:t>-0.092</w:t>
            </w:r>
          </w:p>
        </w:tc>
        <w:tc>
          <w:tcPr>
            <w:tcW w:w="1811" w:type="dxa"/>
            <w:shd w:val="clear" w:color="auto" w:fill="auto"/>
            <w:tcMar>
              <w:top w:w="100" w:type="dxa"/>
              <w:left w:w="100" w:type="dxa"/>
              <w:bottom w:w="100" w:type="dxa"/>
              <w:right w:w="100" w:type="dxa"/>
            </w:tcMar>
          </w:tcPr>
          <w:p w14:paraId="0D34A72A" w14:textId="77777777" w:rsidR="003B68DF" w:rsidRDefault="003B68DF" w:rsidP="00443AEE">
            <w:pPr>
              <w:widowControl w:val="0"/>
              <w:spacing w:line="264" w:lineRule="auto"/>
              <w:rPr>
                <w:rFonts w:ascii="Consolas" w:eastAsia="Consolas" w:hAnsi="Consolas" w:cs="Consolas"/>
                <w:sz w:val="21"/>
                <w:szCs w:val="21"/>
                <w:highlight w:val="white"/>
              </w:rPr>
            </w:pPr>
            <w:r>
              <w:rPr>
                <w:rFonts w:ascii="Consolas" w:eastAsia="Consolas" w:hAnsi="Consolas" w:cs="Consolas"/>
                <w:sz w:val="21"/>
                <w:szCs w:val="21"/>
                <w:highlight w:val="white"/>
              </w:rPr>
              <w:t>0.3819</w:t>
            </w:r>
          </w:p>
        </w:tc>
      </w:tr>
      <w:tr w:rsidR="003B68DF" w14:paraId="7B9E7630" w14:textId="77777777" w:rsidTr="00443AEE">
        <w:tc>
          <w:tcPr>
            <w:tcW w:w="1995" w:type="dxa"/>
            <w:shd w:val="clear" w:color="auto" w:fill="auto"/>
            <w:tcMar>
              <w:top w:w="100" w:type="dxa"/>
              <w:left w:w="100" w:type="dxa"/>
              <w:bottom w:w="100" w:type="dxa"/>
              <w:right w:w="100" w:type="dxa"/>
            </w:tcMar>
          </w:tcPr>
          <w:p w14:paraId="1BE38643" w14:textId="77777777" w:rsidR="003B68DF" w:rsidRDefault="003B68DF" w:rsidP="00443AEE">
            <w:pPr>
              <w:widowControl w:val="0"/>
              <w:pBdr>
                <w:top w:val="nil"/>
                <w:left w:val="nil"/>
                <w:bottom w:val="nil"/>
                <w:right w:val="nil"/>
                <w:between w:val="nil"/>
              </w:pBdr>
              <w:spacing w:line="240" w:lineRule="auto"/>
              <w:rPr>
                <w:b/>
              </w:rPr>
            </w:pPr>
            <w:r>
              <w:rPr>
                <w:b/>
              </w:rPr>
              <w:t xml:space="preserve">Peak Systolic Velocity </w:t>
            </w:r>
          </w:p>
        </w:tc>
        <w:tc>
          <w:tcPr>
            <w:tcW w:w="1811" w:type="dxa"/>
            <w:shd w:val="clear" w:color="auto" w:fill="auto"/>
            <w:tcMar>
              <w:top w:w="100" w:type="dxa"/>
              <w:left w:w="100" w:type="dxa"/>
              <w:bottom w:w="100" w:type="dxa"/>
              <w:right w:w="100" w:type="dxa"/>
            </w:tcMar>
          </w:tcPr>
          <w:p w14:paraId="02A27137" w14:textId="77777777" w:rsidR="003B68DF" w:rsidRDefault="003B68DF" w:rsidP="00443AEE">
            <w:pPr>
              <w:widowControl w:val="0"/>
              <w:spacing w:line="264" w:lineRule="auto"/>
              <w:rPr>
                <w:rFonts w:ascii="Consolas" w:eastAsia="Consolas" w:hAnsi="Consolas" w:cs="Consolas"/>
                <w:sz w:val="21"/>
                <w:szCs w:val="21"/>
                <w:highlight w:val="white"/>
              </w:rPr>
            </w:pPr>
            <w:r>
              <w:rPr>
                <w:rFonts w:ascii="Consolas" w:eastAsia="Consolas" w:hAnsi="Consolas" w:cs="Consolas"/>
                <w:sz w:val="21"/>
                <w:szCs w:val="21"/>
                <w:highlight w:val="white"/>
              </w:rPr>
              <w:t>0.09</w:t>
            </w:r>
          </w:p>
        </w:tc>
        <w:tc>
          <w:tcPr>
            <w:tcW w:w="1811" w:type="dxa"/>
            <w:shd w:val="clear" w:color="auto" w:fill="auto"/>
            <w:tcMar>
              <w:top w:w="100" w:type="dxa"/>
              <w:left w:w="100" w:type="dxa"/>
              <w:bottom w:w="100" w:type="dxa"/>
              <w:right w:w="100" w:type="dxa"/>
            </w:tcMar>
          </w:tcPr>
          <w:p w14:paraId="2CDDF94A" w14:textId="77777777" w:rsidR="003B68DF" w:rsidRDefault="003B68DF" w:rsidP="00443AEE">
            <w:pPr>
              <w:widowControl w:val="0"/>
              <w:spacing w:line="264" w:lineRule="auto"/>
              <w:rPr>
                <w:rFonts w:ascii="Consolas" w:eastAsia="Consolas" w:hAnsi="Consolas" w:cs="Consolas"/>
                <w:sz w:val="21"/>
                <w:szCs w:val="21"/>
                <w:highlight w:val="white"/>
              </w:rPr>
            </w:pPr>
            <w:r>
              <w:rPr>
                <w:rFonts w:ascii="Consolas" w:eastAsia="Consolas" w:hAnsi="Consolas" w:cs="Consolas"/>
                <w:sz w:val="21"/>
                <w:szCs w:val="21"/>
                <w:highlight w:val="white"/>
              </w:rPr>
              <w:t>0.3906</w:t>
            </w:r>
          </w:p>
        </w:tc>
        <w:tc>
          <w:tcPr>
            <w:tcW w:w="1811" w:type="dxa"/>
            <w:shd w:val="clear" w:color="auto" w:fill="auto"/>
            <w:tcMar>
              <w:top w:w="100" w:type="dxa"/>
              <w:left w:w="100" w:type="dxa"/>
              <w:bottom w:w="100" w:type="dxa"/>
              <w:right w:w="100" w:type="dxa"/>
            </w:tcMar>
          </w:tcPr>
          <w:p w14:paraId="5AB1491A" w14:textId="77777777" w:rsidR="003B68DF" w:rsidRDefault="003B68DF" w:rsidP="00443AEE">
            <w:pPr>
              <w:widowControl w:val="0"/>
              <w:spacing w:line="264" w:lineRule="auto"/>
            </w:pPr>
            <w:r>
              <w:rPr>
                <w:rFonts w:ascii="Consolas" w:eastAsia="Consolas" w:hAnsi="Consolas" w:cs="Consolas"/>
                <w:sz w:val="21"/>
                <w:szCs w:val="21"/>
                <w:highlight w:val="white"/>
              </w:rPr>
              <w:t>-0.05</w:t>
            </w:r>
          </w:p>
        </w:tc>
        <w:tc>
          <w:tcPr>
            <w:tcW w:w="1811" w:type="dxa"/>
            <w:shd w:val="clear" w:color="auto" w:fill="auto"/>
            <w:tcMar>
              <w:top w:w="100" w:type="dxa"/>
              <w:left w:w="100" w:type="dxa"/>
              <w:bottom w:w="100" w:type="dxa"/>
              <w:right w:w="100" w:type="dxa"/>
            </w:tcMar>
          </w:tcPr>
          <w:p w14:paraId="5E4E4448" w14:textId="77777777" w:rsidR="003B68DF" w:rsidRDefault="003B68DF" w:rsidP="00443AEE">
            <w:pPr>
              <w:widowControl w:val="0"/>
              <w:spacing w:line="264" w:lineRule="auto"/>
              <w:rPr>
                <w:rFonts w:ascii="Consolas" w:eastAsia="Consolas" w:hAnsi="Consolas" w:cs="Consolas"/>
                <w:sz w:val="21"/>
                <w:szCs w:val="21"/>
                <w:highlight w:val="white"/>
              </w:rPr>
            </w:pPr>
            <w:r>
              <w:rPr>
                <w:rFonts w:ascii="Consolas" w:eastAsia="Consolas" w:hAnsi="Consolas" w:cs="Consolas"/>
                <w:sz w:val="21"/>
                <w:szCs w:val="21"/>
                <w:highlight w:val="white"/>
              </w:rPr>
              <w:t>0.6388</w:t>
            </w:r>
          </w:p>
        </w:tc>
      </w:tr>
      <w:tr w:rsidR="003B68DF" w14:paraId="198F25C4" w14:textId="77777777" w:rsidTr="00443AEE">
        <w:tc>
          <w:tcPr>
            <w:tcW w:w="1995" w:type="dxa"/>
            <w:shd w:val="clear" w:color="auto" w:fill="auto"/>
            <w:tcMar>
              <w:top w:w="100" w:type="dxa"/>
              <w:left w:w="100" w:type="dxa"/>
              <w:bottom w:w="100" w:type="dxa"/>
              <w:right w:w="100" w:type="dxa"/>
            </w:tcMar>
          </w:tcPr>
          <w:p w14:paraId="09290F32" w14:textId="77777777" w:rsidR="003B68DF" w:rsidRDefault="003B68DF" w:rsidP="00443AEE">
            <w:pPr>
              <w:widowControl w:val="0"/>
              <w:spacing w:line="240" w:lineRule="auto"/>
              <w:rPr>
                <w:b/>
              </w:rPr>
            </w:pPr>
            <w:r>
              <w:rPr>
                <w:b/>
              </w:rPr>
              <w:t xml:space="preserve">Peak Diastolic Velocity </w:t>
            </w:r>
          </w:p>
        </w:tc>
        <w:tc>
          <w:tcPr>
            <w:tcW w:w="1811" w:type="dxa"/>
            <w:shd w:val="clear" w:color="auto" w:fill="auto"/>
            <w:tcMar>
              <w:top w:w="100" w:type="dxa"/>
              <w:left w:w="100" w:type="dxa"/>
              <w:bottom w:w="100" w:type="dxa"/>
              <w:right w:w="100" w:type="dxa"/>
            </w:tcMar>
          </w:tcPr>
          <w:p w14:paraId="0738991B" w14:textId="77777777" w:rsidR="003B68DF" w:rsidRDefault="003B68DF" w:rsidP="00443AEE">
            <w:pPr>
              <w:widowControl w:val="0"/>
              <w:spacing w:line="264" w:lineRule="auto"/>
              <w:rPr>
                <w:rFonts w:ascii="Consolas" w:eastAsia="Consolas" w:hAnsi="Consolas" w:cs="Consolas"/>
                <w:sz w:val="21"/>
                <w:szCs w:val="21"/>
                <w:highlight w:val="white"/>
              </w:rPr>
            </w:pPr>
            <w:r>
              <w:rPr>
                <w:rFonts w:ascii="Consolas" w:eastAsia="Consolas" w:hAnsi="Consolas" w:cs="Consolas"/>
                <w:sz w:val="21"/>
                <w:szCs w:val="21"/>
                <w:highlight w:val="white"/>
              </w:rPr>
              <w:t>-0.10</w:t>
            </w:r>
          </w:p>
        </w:tc>
        <w:tc>
          <w:tcPr>
            <w:tcW w:w="1811" w:type="dxa"/>
            <w:shd w:val="clear" w:color="auto" w:fill="auto"/>
            <w:tcMar>
              <w:top w:w="100" w:type="dxa"/>
              <w:left w:w="100" w:type="dxa"/>
              <w:bottom w:w="100" w:type="dxa"/>
              <w:right w:w="100" w:type="dxa"/>
            </w:tcMar>
          </w:tcPr>
          <w:p w14:paraId="21564D2B" w14:textId="77777777" w:rsidR="003B68DF" w:rsidRDefault="003B68DF" w:rsidP="00443AEE">
            <w:pPr>
              <w:widowControl w:val="0"/>
              <w:spacing w:line="264" w:lineRule="auto"/>
              <w:rPr>
                <w:rFonts w:ascii="Consolas" w:eastAsia="Consolas" w:hAnsi="Consolas" w:cs="Consolas"/>
                <w:sz w:val="21"/>
                <w:szCs w:val="21"/>
                <w:highlight w:val="white"/>
              </w:rPr>
            </w:pPr>
            <w:r>
              <w:rPr>
                <w:rFonts w:ascii="Consolas" w:eastAsia="Consolas" w:hAnsi="Consolas" w:cs="Consolas"/>
                <w:sz w:val="21"/>
                <w:szCs w:val="21"/>
                <w:highlight w:val="white"/>
              </w:rPr>
              <w:t>0.3339</w:t>
            </w:r>
          </w:p>
        </w:tc>
        <w:tc>
          <w:tcPr>
            <w:tcW w:w="1811" w:type="dxa"/>
            <w:shd w:val="clear" w:color="auto" w:fill="auto"/>
            <w:tcMar>
              <w:top w:w="100" w:type="dxa"/>
              <w:left w:w="100" w:type="dxa"/>
              <w:bottom w:w="100" w:type="dxa"/>
              <w:right w:w="100" w:type="dxa"/>
            </w:tcMar>
          </w:tcPr>
          <w:p w14:paraId="06DB327B" w14:textId="77777777" w:rsidR="003B68DF" w:rsidRDefault="003B68DF" w:rsidP="00443AEE">
            <w:pPr>
              <w:widowControl w:val="0"/>
              <w:spacing w:line="264" w:lineRule="auto"/>
              <w:rPr>
                <w:rFonts w:ascii="Consolas" w:eastAsia="Consolas" w:hAnsi="Consolas" w:cs="Consolas"/>
                <w:sz w:val="21"/>
                <w:szCs w:val="21"/>
                <w:highlight w:val="white"/>
              </w:rPr>
            </w:pPr>
            <w:r>
              <w:rPr>
                <w:rFonts w:ascii="Consolas" w:eastAsia="Consolas" w:hAnsi="Consolas" w:cs="Consolas"/>
                <w:sz w:val="21"/>
                <w:szCs w:val="21"/>
                <w:highlight w:val="white"/>
              </w:rPr>
              <w:t>0.06</w:t>
            </w:r>
          </w:p>
        </w:tc>
        <w:tc>
          <w:tcPr>
            <w:tcW w:w="1811" w:type="dxa"/>
            <w:shd w:val="clear" w:color="auto" w:fill="auto"/>
            <w:tcMar>
              <w:top w:w="100" w:type="dxa"/>
              <w:left w:w="100" w:type="dxa"/>
              <w:bottom w:w="100" w:type="dxa"/>
              <w:right w:w="100" w:type="dxa"/>
            </w:tcMar>
          </w:tcPr>
          <w:p w14:paraId="222C5394" w14:textId="77777777" w:rsidR="003B68DF" w:rsidRDefault="003B68DF" w:rsidP="00443AEE">
            <w:pPr>
              <w:widowControl w:val="0"/>
              <w:spacing w:line="264" w:lineRule="auto"/>
              <w:rPr>
                <w:rFonts w:ascii="Consolas" w:eastAsia="Consolas" w:hAnsi="Consolas" w:cs="Consolas"/>
                <w:sz w:val="21"/>
                <w:szCs w:val="21"/>
                <w:highlight w:val="white"/>
              </w:rPr>
            </w:pPr>
            <w:r>
              <w:rPr>
                <w:rFonts w:ascii="Consolas" w:eastAsia="Consolas" w:hAnsi="Consolas" w:cs="Consolas"/>
                <w:sz w:val="21"/>
                <w:szCs w:val="21"/>
                <w:highlight w:val="white"/>
              </w:rPr>
              <w:t>0.53</w:t>
            </w:r>
          </w:p>
        </w:tc>
      </w:tr>
      <w:tr w:rsidR="003B68DF" w14:paraId="05845679" w14:textId="77777777" w:rsidTr="00443AEE">
        <w:tc>
          <w:tcPr>
            <w:tcW w:w="1995" w:type="dxa"/>
            <w:shd w:val="clear" w:color="auto" w:fill="auto"/>
            <w:tcMar>
              <w:top w:w="100" w:type="dxa"/>
              <w:left w:w="100" w:type="dxa"/>
              <w:bottom w:w="100" w:type="dxa"/>
              <w:right w:w="100" w:type="dxa"/>
            </w:tcMar>
          </w:tcPr>
          <w:p w14:paraId="23A8913E" w14:textId="77777777" w:rsidR="003B68DF" w:rsidRDefault="003B68DF" w:rsidP="00443AEE">
            <w:pPr>
              <w:widowControl w:val="0"/>
              <w:pBdr>
                <w:top w:val="nil"/>
                <w:left w:val="nil"/>
                <w:bottom w:val="nil"/>
                <w:right w:val="nil"/>
                <w:between w:val="nil"/>
              </w:pBdr>
              <w:spacing w:line="240" w:lineRule="auto"/>
              <w:rPr>
                <w:b/>
              </w:rPr>
            </w:pPr>
            <w:r>
              <w:rPr>
                <w:b/>
              </w:rPr>
              <w:t xml:space="preserve">Netflow </w:t>
            </w:r>
          </w:p>
        </w:tc>
        <w:tc>
          <w:tcPr>
            <w:tcW w:w="1811" w:type="dxa"/>
            <w:shd w:val="clear" w:color="auto" w:fill="auto"/>
            <w:tcMar>
              <w:top w:w="100" w:type="dxa"/>
              <w:left w:w="100" w:type="dxa"/>
              <w:bottom w:w="100" w:type="dxa"/>
              <w:right w:w="100" w:type="dxa"/>
            </w:tcMar>
          </w:tcPr>
          <w:p w14:paraId="14D8C47A" w14:textId="77777777" w:rsidR="003B68DF" w:rsidRDefault="003B68DF" w:rsidP="00443AEE">
            <w:pPr>
              <w:widowControl w:val="0"/>
              <w:spacing w:line="264" w:lineRule="auto"/>
              <w:rPr>
                <w:rFonts w:ascii="Consolas" w:eastAsia="Consolas" w:hAnsi="Consolas" w:cs="Consolas"/>
                <w:sz w:val="21"/>
                <w:szCs w:val="21"/>
                <w:highlight w:val="white"/>
              </w:rPr>
            </w:pPr>
            <w:r>
              <w:rPr>
                <w:rFonts w:ascii="Consolas" w:eastAsia="Consolas" w:hAnsi="Consolas" w:cs="Consolas"/>
                <w:sz w:val="21"/>
                <w:szCs w:val="21"/>
                <w:highlight w:val="white"/>
              </w:rPr>
              <w:t>-0.03</w:t>
            </w:r>
          </w:p>
          <w:p w14:paraId="5AF644B3" w14:textId="77777777" w:rsidR="003B68DF" w:rsidRDefault="003B68DF" w:rsidP="00443AEE">
            <w:pPr>
              <w:widowControl w:val="0"/>
              <w:pBdr>
                <w:top w:val="nil"/>
                <w:left w:val="nil"/>
                <w:bottom w:val="nil"/>
                <w:right w:val="nil"/>
                <w:between w:val="nil"/>
              </w:pBdr>
              <w:spacing w:line="240" w:lineRule="auto"/>
            </w:pPr>
          </w:p>
        </w:tc>
        <w:tc>
          <w:tcPr>
            <w:tcW w:w="1811" w:type="dxa"/>
            <w:shd w:val="clear" w:color="auto" w:fill="auto"/>
            <w:tcMar>
              <w:top w:w="100" w:type="dxa"/>
              <w:left w:w="100" w:type="dxa"/>
              <w:bottom w:w="100" w:type="dxa"/>
              <w:right w:w="100" w:type="dxa"/>
            </w:tcMar>
          </w:tcPr>
          <w:p w14:paraId="34B672B3" w14:textId="77777777" w:rsidR="003B68DF" w:rsidRDefault="003B68DF" w:rsidP="00443AEE">
            <w:pPr>
              <w:widowControl w:val="0"/>
              <w:spacing w:line="264" w:lineRule="auto"/>
              <w:rPr>
                <w:rFonts w:ascii="Consolas" w:eastAsia="Consolas" w:hAnsi="Consolas" w:cs="Consolas"/>
                <w:sz w:val="21"/>
                <w:szCs w:val="21"/>
                <w:highlight w:val="white"/>
              </w:rPr>
            </w:pPr>
            <w:r>
              <w:rPr>
                <w:rFonts w:ascii="Consolas" w:eastAsia="Consolas" w:hAnsi="Consolas" w:cs="Consolas"/>
                <w:sz w:val="21"/>
                <w:szCs w:val="21"/>
                <w:highlight w:val="white"/>
              </w:rPr>
              <w:t>0.7499</w:t>
            </w:r>
          </w:p>
          <w:p w14:paraId="565B178A" w14:textId="77777777" w:rsidR="003B68DF" w:rsidRDefault="003B68DF" w:rsidP="00443AEE">
            <w:pPr>
              <w:widowControl w:val="0"/>
              <w:spacing w:line="240" w:lineRule="auto"/>
            </w:pPr>
          </w:p>
        </w:tc>
        <w:tc>
          <w:tcPr>
            <w:tcW w:w="1811" w:type="dxa"/>
            <w:shd w:val="clear" w:color="auto" w:fill="auto"/>
            <w:tcMar>
              <w:top w:w="100" w:type="dxa"/>
              <w:left w:w="100" w:type="dxa"/>
              <w:bottom w:w="100" w:type="dxa"/>
              <w:right w:w="100" w:type="dxa"/>
            </w:tcMar>
          </w:tcPr>
          <w:p w14:paraId="7FA2F327" w14:textId="77777777" w:rsidR="003B68DF" w:rsidRDefault="003B68DF" w:rsidP="00443AEE">
            <w:pPr>
              <w:widowControl w:val="0"/>
              <w:spacing w:line="264" w:lineRule="auto"/>
              <w:rPr>
                <w:rFonts w:ascii="Consolas" w:eastAsia="Consolas" w:hAnsi="Consolas" w:cs="Consolas"/>
                <w:sz w:val="21"/>
                <w:szCs w:val="21"/>
                <w:highlight w:val="white"/>
              </w:rPr>
            </w:pPr>
            <w:r>
              <w:rPr>
                <w:rFonts w:ascii="Consolas" w:eastAsia="Consolas" w:hAnsi="Consolas" w:cs="Consolas"/>
                <w:sz w:val="21"/>
                <w:szCs w:val="21"/>
                <w:highlight w:val="white"/>
              </w:rPr>
              <w:t>-0.07</w:t>
            </w:r>
          </w:p>
          <w:p w14:paraId="29572032" w14:textId="77777777" w:rsidR="003B68DF" w:rsidRDefault="003B68DF" w:rsidP="00443AEE">
            <w:pPr>
              <w:widowControl w:val="0"/>
              <w:pBdr>
                <w:top w:val="nil"/>
                <w:left w:val="nil"/>
                <w:bottom w:val="nil"/>
                <w:right w:val="nil"/>
                <w:between w:val="nil"/>
              </w:pBdr>
              <w:spacing w:line="240" w:lineRule="auto"/>
            </w:pPr>
          </w:p>
        </w:tc>
        <w:tc>
          <w:tcPr>
            <w:tcW w:w="1811" w:type="dxa"/>
            <w:shd w:val="clear" w:color="auto" w:fill="auto"/>
            <w:tcMar>
              <w:top w:w="100" w:type="dxa"/>
              <w:left w:w="100" w:type="dxa"/>
              <w:bottom w:w="100" w:type="dxa"/>
              <w:right w:w="100" w:type="dxa"/>
            </w:tcMar>
          </w:tcPr>
          <w:p w14:paraId="0E7AEFEA" w14:textId="77777777" w:rsidR="003B68DF" w:rsidRDefault="003B68DF" w:rsidP="00443AEE">
            <w:pPr>
              <w:widowControl w:val="0"/>
              <w:spacing w:line="264" w:lineRule="auto"/>
              <w:rPr>
                <w:rFonts w:ascii="Consolas" w:eastAsia="Consolas" w:hAnsi="Consolas" w:cs="Consolas"/>
                <w:sz w:val="21"/>
                <w:szCs w:val="21"/>
                <w:highlight w:val="white"/>
              </w:rPr>
            </w:pPr>
            <w:r>
              <w:rPr>
                <w:rFonts w:ascii="Consolas" w:eastAsia="Consolas" w:hAnsi="Consolas" w:cs="Consolas"/>
                <w:sz w:val="21"/>
                <w:szCs w:val="21"/>
                <w:highlight w:val="white"/>
              </w:rPr>
              <w:t>0.4709</w:t>
            </w:r>
          </w:p>
          <w:p w14:paraId="1D529E01" w14:textId="77777777" w:rsidR="003B68DF" w:rsidRDefault="003B68DF" w:rsidP="00443AEE">
            <w:pPr>
              <w:widowControl w:val="0"/>
              <w:pBdr>
                <w:top w:val="nil"/>
                <w:left w:val="nil"/>
                <w:bottom w:val="nil"/>
                <w:right w:val="nil"/>
                <w:between w:val="nil"/>
              </w:pBdr>
              <w:spacing w:line="240" w:lineRule="auto"/>
            </w:pPr>
          </w:p>
        </w:tc>
      </w:tr>
      <w:tr w:rsidR="003B68DF" w14:paraId="746D4974" w14:textId="77777777" w:rsidTr="00443AEE">
        <w:tc>
          <w:tcPr>
            <w:tcW w:w="1995" w:type="dxa"/>
            <w:shd w:val="clear" w:color="auto" w:fill="auto"/>
            <w:tcMar>
              <w:top w:w="100" w:type="dxa"/>
              <w:left w:w="100" w:type="dxa"/>
              <w:bottom w:w="100" w:type="dxa"/>
              <w:right w:w="100" w:type="dxa"/>
            </w:tcMar>
          </w:tcPr>
          <w:p w14:paraId="40F605B9" w14:textId="77777777" w:rsidR="003B68DF" w:rsidRDefault="003B68DF" w:rsidP="00443AEE">
            <w:pPr>
              <w:widowControl w:val="0"/>
              <w:pBdr>
                <w:top w:val="nil"/>
                <w:left w:val="nil"/>
                <w:bottom w:val="nil"/>
                <w:right w:val="nil"/>
                <w:between w:val="nil"/>
              </w:pBdr>
              <w:spacing w:line="240" w:lineRule="auto"/>
              <w:rPr>
                <w:b/>
              </w:rPr>
            </w:pPr>
            <w:r>
              <w:rPr>
                <w:b/>
              </w:rPr>
              <w:t>Absolute Flow</w:t>
            </w:r>
          </w:p>
        </w:tc>
        <w:tc>
          <w:tcPr>
            <w:tcW w:w="1811" w:type="dxa"/>
            <w:shd w:val="clear" w:color="auto" w:fill="auto"/>
            <w:tcMar>
              <w:top w:w="100" w:type="dxa"/>
              <w:left w:w="100" w:type="dxa"/>
              <w:bottom w:w="100" w:type="dxa"/>
              <w:right w:w="100" w:type="dxa"/>
            </w:tcMar>
          </w:tcPr>
          <w:p w14:paraId="394652AA" w14:textId="77777777" w:rsidR="003B68DF" w:rsidRDefault="003B68DF" w:rsidP="00443AEE">
            <w:pPr>
              <w:widowControl w:val="0"/>
              <w:spacing w:line="264" w:lineRule="auto"/>
              <w:rPr>
                <w:rFonts w:ascii="Consolas" w:eastAsia="Consolas" w:hAnsi="Consolas" w:cs="Consolas"/>
                <w:sz w:val="21"/>
                <w:szCs w:val="21"/>
                <w:highlight w:val="white"/>
              </w:rPr>
            </w:pPr>
            <w:r>
              <w:rPr>
                <w:rFonts w:ascii="Consolas" w:eastAsia="Consolas" w:hAnsi="Consolas" w:cs="Consolas"/>
                <w:sz w:val="21"/>
                <w:szCs w:val="21"/>
                <w:highlight w:val="white"/>
              </w:rPr>
              <w:t>-0.016</w:t>
            </w:r>
          </w:p>
          <w:p w14:paraId="59DE1009" w14:textId="77777777" w:rsidR="003B68DF" w:rsidRDefault="003B68DF" w:rsidP="00443AEE">
            <w:pPr>
              <w:widowControl w:val="0"/>
              <w:pBdr>
                <w:top w:val="nil"/>
                <w:left w:val="nil"/>
                <w:bottom w:val="nil"/>
                <w:right w:val="nil"/>
                <w:between w:val="nil"/>
              </w:pBdr>
              <w:spacing w:line="240" w:lineRule="auto"/>
            </w:pPr>
          </w:p>
        </w:tc>
        <w:tc>
          <w:tcPr>
            <w:tcW w:w="1811" w:type="dxa"/>
            <w:shd w:val="clear" w:color="auto" w:fill="auto"/>
            <w:tcMar>
              <w:top w:w="100" w:type="dxa"/>
              <w:left w:w="100" w:type="dxa"/>
              <w:bottom w:w="100" w:type="dxa"/>
              <w:right w:w="100" w:type="dxa"/>
            </w:tcMar>
          </w:tcPr>
          <w:p w14:paraId="3719FFAA" w14:textId="77777777" w:rsidR="003B68DF" w:rsidRDefault="003B68DF" w:rsidP="00443AEE">
            <w:pPr>
              <w:widowControl w:val="0"/>
              <w:spacing w:line="264" w:lineRule="auto"/>
            </w:pPr>
            <w:r>
              <w:rPr>
                <w:rFonts w:ascii="Consolas" w:eastAsia="Consolas" w:hAnsi="Consolas" w:cs="Consolas"/>
                <w:sz w:val="21"/>
                <w:szCs w:val="21"/>
                <w:highlight w:val="white"/>
              </w:rPr>
              <w:t>0.8755</w:t>
            </w:r>
          </w:p>
        </w:tc>
        <w:tc>
          <w:tcPr>
            <w:tcW w:w="1811" w:type="dxa"/>
            <w:shd w:val="clear" w:color="auto" w:fill="auto"/>
            <w:tcMar>
              <w:top w:w="100" w:type="dxa"/>
              <w:left w:w="100" w:type="dxa"/>
              <w:bottom w:w="100" w:type="dxa"/>
              <w:right w:w="100" w:type="dxa"/>
            </w:tcMar>
          </w:tcPr>
          <w:p w14:paraId="7B71E0CA" w14:textId="77777777" w:rsidR="003B68DF" w:rsidRDefault="003B68DF" w:rsidP="00443AEE">
            <w:pPr>
              <w:widowControl w:val="0"/>
              <w:spacing w:line="264" w:lineRule="auto"/>
              <w:rPr>
                <w:rFonts w:ascii="Consolas" w:eastAsia="Consolas" w:hAnsi="Consolas" w:cs="Consolas"/>
                <w:sz w:val="21"/>
                <w:szCs w:val="21"/>
                <w:highlight w:val="white"/>
              </w:rPr>
            </w:pPr>
            <w:r>
              <w:rPr>
                <w:rFonts w:ascii="Consolas" w:eastAsia="Consolas" w:hAnsi="Consolas" w:cs="Consolas"/>
                <w:sz w:val="21"/>
                <w:szCs w:val="21"/>
                <w:highlight w:val="white"/>
              </w:rPr>
              <w:t>-0.08</w:t>
            </w:r>
          </w:p>
        </w:tc>
        <w:tc>
          <w:tcPr>
            <w:tcW w:w="1811" w:type="dxa"/>
            <w:shd w:val="clear" w:color="auto" w:fill="auto"/>
            <w:tcMar>
              <w:top w:w="100" w:type="dxa"/>
              <w:left w:w="100" w:type="dxa"/>
              <w:bottom w:w="100" w:type="dxa"/>
              <w:right w:w="100" w:type="dxa"/>
            </w:tcMar>
          </w:tcPr>
          <w:p w14:paraId="5AC9A2E3" w14:textId="77777777" w:rsidR="003B68DF" w:rsidRDefault="003B68DF" w:rsidP="00443AEE">
            <w:pPr>
              <w:widowControl w:val="0"/>
              <w:spacing w:line="264" w:lineRule="auto"/>
              <w:rPr>
                <w:rFonts w:ascii="Consolas" w:eastAsia="Consolas" w:hAnsi="Consolas" w:cs="Consolas"/>
                <w:sz w:val="21"/>
                <w:szCs w:val="21"/>
                <w:highlight w:val="white"/>
              </w:rPr>
            </w:pPr>
            <w:r>
              <w:rPr>
                <w:rFonts w:ascii="Consolas" w:eastAsia="Consolas" w:hAnsi="Consolas" w:cs="Consolas"/>
                <w:sz w:val="21"/>
                <w:szCs w:val="21"/>
                <w:highlight w:val="white"/>
              </w:rPr>
              <w:t>0.4248</w:t>
            </w:r>
          </w:p>
          <w:p w14:paraId="047AC1E6" w14:textId="77777777" w:rsidR="003B68DF" w:rsidRDefault="003B68DF" w:rsidP="00443AEE">
            <w:pPr>
              <w:widowControl w:val="0"/>
              <w:pBdr>
                <w:top w:val="nil"/>
                <w:left w:val="nil"/>
                <w:bottom w:val="nil"/>
                <w:right w:val="nil"/>
                <w:between w:val="nil"/>
              </w:pBdr>
              <w:spacing w:line="240" w:lineRule="auto"/>
            </w:pPr>
          </w:p>
        </w:tc>
      </w:tr>
    </w:tbl>
    <w:p w14:paraId="1FA7CA20" w14:textId="77777777" w:rsidR="003B68DF" w:rsidRDefault="003B68DF" w:rsidP="003B68DF">
      <w:pPr>
        <w:shd w:val="clear" w:color="auto" w:fill="FFFFFF"/>
        <w:spacing w:before="120" w:after="240" w:line="480" w:lineRule="auto"/>
        <w:rPr>
          <w:b/>
        </w:rPr>
      </w:pPr>
    </w:p>
    <w:p w14:paraId="0301DF28" w14:textId="77777777" w:rsidR="003B68DF" w:rsidRPr="003B68DF" w:rsidRDefault="003B68DF" w:rsidP="003B68DF">
      <w:pPr>
        <w:pStyle w:val="Heading4"/>
        <w:shd w:val="clear" w:color="auto" w:fill="FFFFFF"/>
        <w:spacing w:before="120" w:after="240" w:line="480" w:lineRule="auto"/>
        <w:rPr>
          <w:b/>
          <w:lang w:val="en-GB"/>
        </w:rPr>
      </w:pPr>
      <w:bookmarkStart w:id="3" w:name="_izvczpm3ms5w" w:colFirst="0" w:colLast="0"/>
      <w:bookmarkEnd w:id="3"/>
      <w:r w:rsidRPr="003B68DF">
        <w:rPr>
          <w:lang w:val="en-GB"/>
        </w:rPr>
        <w:lastRenderedPageBreak/>
        <w:t xml:space="preserve">Outcome distribution based on Tinetti balance score - cutoff of 3 points. </w:t>
      </w:r>
    </w:p>
    <w:p w14:paraId="56BDBB22" w14:textId="5105C71F" w:rsidR="003B68DF" w:rsidRDefault="003B68DF" w:rsidP="003B68DF">
      <w:pPr>
        <w:shd w:val="clear" w:color="auto" w:fill="FFFFFF"/>
        <w:spacing w:before="120" w:after="240" w:line="480" w:lineRule="auto"/>
        <w:rPr>
          <w:b/>
        </w:rPr>
      </w:pPr>
      <w:r>
        <w:rPr>
          <w:b/>
          <w:noProof/>
        </w:rPr>
        <w:drawing>
          <wp:anchor distT="114300" distB="114300" distL="114300" distR="114300" simplePos="0" relativeHeight="251661312" behindDoc="0" locked="0" layoutInCell="1" hidden="0" allowOverlap="1" wp14:anchorId="748C6BD8" wp14:editId="5A3FECDB">
            <wp:simplePos x="0" y="0"/>
            <wp:positionH relativeFrom="page">
              <wp:posOffset>430050</wp:posOffset>
            </wp:positionH>
            <wp:positionV relativeFrom="page">
              <wp:posOffset>5771735</wp:posOffset>
            </wp:positionV>
            <wp:extent cx="6653213" cy="3541065"/>
            <wp:effectExtent l="0" t="0" r="0" b="0"/>
            <wp:wrapSquare wrapText="bothSides" distT="114300" distB="114300" distL="114300" distR="114300"/>
            <wp:docPr id="16" name="image16.png" descr="A comparison of a graph&#10;&#10;AI-generated content may be incorrect."/>
            <wp:cNvGraphicFramePr/>
            <a:graphic xmlns:a="http://schemas.openxmlformats.org/drawingml/2006/main">
              <a:graphicData uri="http://schemas.openxmlformats.org/drawingml/2006/picture">
                <pic:pic xmlns:pic="http://schemas.openxmlformats.org/drawingml/2006/picture">
                  <pic:nvPicPr>
                    <pic:cNvPr id="16" name="image16.png" descr="A comparison of a graph&#10;&#10;AI-generated content may be incorrect."/>
                    <pic:cNvPicPr preferRelativeResize="0"/>
                  </pic:nvPicPr>
                  <pic:blipFill>
                    <a:blip r:embed="rId9"/>
                    <a:srcRect t="9635" b="6856"/>
                    <a:stretch>
                      <a:fillRect/>
                    </a:stretch>
                  </pic:blipFill>
                  <pic:spPr>
                    <a:xfrm>
                      <a:off x="0" y="0"/>
                      <a:ext cx="6653213" cy="3541065"/>
                    </a:xfrm>
                    <a:prstGeom prst="rect">
                      <a:avLst/>
                    </a:prstGeom>
                    <a:ln/>
                  </pic:spPr>
                </pic:pic>
              </a:graphicData>
            </a:graphic>
          </wp:anchor>
        </w:drawing>
      </w:r>
      <w:r>
        <w:rPr>
          <w:noProof/>
        </w:rPr>
        <w:drawing>
          <wp:anchor distT="114300" distB="114300" distL="114300" distR="114300" simplePos="0" relativeHeight="251662336" behindDoc="0" locked="0" layoutInCell="1" hidden="0" allowOverlap="1" wp14:anchorId="36B299CE" wp14:editId="616E8345">
            <wp:simplePos x="0" y="0"/>
            <wp:positionH relativeFrom="column">
              <wp:posOffset>-306704</wp:posOffset>
            </wp:positionH>
            <wp:positionV relativeFrom="paragraph">
              <wp:posOffset>114300</wp:posOffset>
            </wp:positionV>
            <wp:extent cx="6740370" cy="3627105"/>
            <wp:effectExtent l="0" t="0" r="0" b="0"/>
            <wp:wrapSquare wrapText="bothSides" distT="114300" distB="114300" distL="114300" distR="114300"/>
            <wp:docPr id="10" name="image13.png" descr="A comparison of a graph&#10;&#10;AI-generated content may be incorrect."/>
            <wp:cNvGraphicFramePr/>
            <a:graphic xmlns:a="http://schemas.openxmlformats.org/drawingml/2006/main">
              <a:graphicData uri="http://schemas.openxmlformats.org/drawingml/2006/picture">
                <pic:pic xmlns:pic="http://schemas.openxmlformats.org/drawingml/2006/picture">
                  <pic:nvPicPr>
                    <pic:cNvPr id="10" name="image13.png" descr="A comparison of a graph&#10;&#10;AI-generated content may be incorrect."/>
                    <pic:cNvPicPr preferRelativeResize="0"/>
                  </pic:nvPicPr>
                  <pic:blipFill>
                    <a:blip r:embed="rId10"/>
                    <a:srcRect t="9114" b="6551"/>
                    <a:stretch>
                      <a:fillRect/>
                    </a:stretch>
                  </pic:blipFill>
                  <pic:spPr>
                    <a:xfrm>
                      <a:off x="0" y="0"/>
                      <a:ext cx="6740370" cy="3627105"/>
                    </a:xfrm>
                    <a:prstGeom prst="rect">
                      <a:avLst/>
                    </a:prstGeom>
                    <a:ln/>
                  </pic:spPr>
                </pic:pic>
              </a:graphicData>
            </a:graphic>
          </wp:anchor>
        </w:drawing>
      </w:r>
    </w:p>
    <w:p w14:paraId="47C0E2D7" w14:textId="77777777" w:rsidR="003B68DF" w:rsidRDefault="003B68DF" w:rsidP="003B68DF">
      <w:pPr>
        <w:shd w:val="clear" w:color="auto" w:fill="FFFFFF"/>
        <w:spacing w:before="120" w:after="240" w:line="480" w:lineRule="auto"/>
      </w:pPr>
      <w:r>
        <w:t xml:space="preserve">None of the differences were significant. </w:t>
      </w:r>
    </w:p>
    <w:p w14:paraId="4DCB23A0" w14:textId="77777777" w:rsidR="003B68DF" w:rsidRDefault="003B68DF" w:rsidP="003B68DF">
      <w:pPr>
        <w:spacing w:line="480" w:lineRule="auto"/>
      </w:pPr>
    </w:p>
    <w:p w14:paraId="0522A2F2" w14:textId="77777777" w:rsidR="003B68DF" w:rsidRDefault="003B68DF" w:rsidP="003B68DF">
      <w:pPr>
        <w:shd w:val="clear" w:color="auto" w:fill="FFFFFF"/>
        <w:spacing w:before="120" w:after="240" w:line="480" w:lineRule="auto"/>
      </w:pPr>
      <w:r>
        <w:t>When using a combination of gait and Tinetti to classify responders (gait change &gt;= 0.16 OR Tinetti change &gt;= 3), there were no differences in the results.</w:t>
      </w:r>
    </w:p>
    <w:p w14:paraId="76EAD07C" w14:textId="77777777" w:rsidR="003B68DF" w:rsidRDefault="003B68DF"/>
    <w:sectPr w:rsidR="003B68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8DF"/>
    <w:rsid w:val="003B68DF"/>
    <w:rsid w:val="006E24C4"/>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D28AA"/>
  <w15:chartTrackingRefBased/>
  <w15:docId w15:val="{E6C76BB8-FC7F-4486-9BC6-612B1ACB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l-GR"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8DF"/>
    <w:pPr>
      <w:spacing w:after="0" w:line="276" w:lineRule="auto"/>
    </w:pPr>
    <w:rPr>
      <w:rFonts w:ascii="Arial" w:eastAsia="Arial" w:hAnsi="Arial" w:cs="Arial"/>
      <w:kern w:val="0"/>
      <w:sz w:val="22"/>
      <w:szCs w:val="22"/>
      <w:lang w:val="en-GB"/>
      <w14:ligatures w14:val="none"/>
    </w:rPr>
  </w:style>
  <w:style w:type="paragraph" w:styleId="Heading1">
    <w:name w:val="heading 1"/>
    <w:basedOn w:val="Normal"/>
    <w:next w:val="Normal"/>
    <w:link w:val="Heading1Char"/>
    <w:uiPriority w:val="9"/>
    <w:qFormat/>
    <w:rsid w:val="003B68D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l-GR"/>
      <w14:ligatures w14:val="standardContextual"/>
    </w:rPr>
  </w:style>
  <w:style w:type="paragraph" w:styleId="Heading2">
    <w:name w:val="heading 2"/>
    <w:basedOn w:val="Normal"/>
    <w:next w:val="Normal"/>
    <w:link w:val="Heading2Char"/>
    <w:uiPriority w:val="9"/>
    <w:unhideWhenUsed/>
    <w:qFormat/>
    <w:rsid w:val="003B68D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l-GR"/>
      <w14:ligatures w14:val="standardContextual"/>
    </w:rPr>
  </w:style>
  <w:style w:type="paragraph" w:styleId="Heading3">
    <w:name w:val="heading 3"/>
    <w:basedOn w:val="Normal"/>
    <w:next w:val="Normal"/>
    <w:link w:val="Heading3Char"/>
    <w:uiPriority w:val="9"/>
    <w:semiHidden/>
    <w:unhideWhenUsed/>
    <w:qFormat/>
    <w:rsid w:val="003B68D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l-GR"/>
      <w14:ligatures w14:val="standardContextual"/>
    </w:rPr>
  </w:style>
  <w:style w:type="paragraph" w:styleId="Heading4">
    <w:name w:val="heading 4"/>
    <w:basedOn w:val="Normal"/>
    <w:next w:val="Normal"/>
    <w:link w:val="Heading4Char"/>
    <w:uiPriority w:val="9"/>
    <w:unhideWhenUsed/>
    <w:qFormat/>
    <w:rsid w:val="003B68D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l-GR"/>
      <w14:ligatures w14:val="standardContextual"/>
    </w:rPr>
  </w:style>
  <w:style w:type="paragraph" w:styleId="Heading5">
    <w:name w:val="heading 5"/>
    <w:basedOn w:val="Normal"/>
    <w:next w:val="Normal"/>
    <w:link w:val="Heading5Char"/>
    <w:uiPriority w:val="9"/>
    <w:semiHidden/>
    <w:unhideWhenUsed/>
    <w:qFormat/>
    <w:rsid w:val="003B68D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l-GR"/>
      <w14:ligatures w14:val="standardContextual"/>
    </w:rPr>
  </w:style>
  <w:style w:type="paragraph" w:styleId="Heading6">
    <w:name w:val="heading 6"/>
    <w:basedOn w:val="Normal"/>
    <w:next w:val="Normal"/>
    <w:link w:val="Heading6Char"/>
    <w:uiPriority w:val="9"/>
    <w:semiHidden/>
    <w:unhideWhenUsed/>
    <w:qFormat/>
    <w:rsid w:val="003B68DF"/>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l-GR"/>
      <w14:ligatures w14:val="standardContextual"/>
    </w:rPr>
  </w:style>
  <w:style w:type="paragraph" w:styleId="Heading7">
    <w:name w:val="heading 7"/>
    <w:basedOn w:val="Normal"/>
    <w:next w:val="Normal"/>
    <w:link w:val="Heading7Char"/>
    <w:uiPriority w:val="9"/>
    <w:semiHidden/>
    <w:unhideWhenUsed/>
    <w:qFormat/>
    <w:rsid w:val="003B68DF"/>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l-GR"/>
      <w14:ligatures w14:val="standardContextual"/>
    </w:rPr>
  </w:style>
  <w:style w:type="paragraph" w:styleId="Heading8">
    <w:name w:val="heading 8"/>
    <w:basedOn w:val="Normal"/>
    <w:next w:val="Normal"/>
    <w:link w:val="Heading8Char"/>
    <w:uiPriority w:val="9"/>
    <w:semiHidden/>
    <w:unhideWhenUsed/>
    <w:qFormat/>
    <w:rsid w:val="003B68DF"/>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l-GR"/>
      <w14:ligatures w14:val="standardContextual"/>
    </w:rPr>
  </w:style>
  <w:style w:type="paragraph" w:styleId="Heading9">
    <w:name w:val="heading 9"/>
    <w:basedOn w:val="Normal"/>
    <w:next w:val="Normal"/>
    <w:link w:val="Heading9Char"/>
    <w:uiPriority w:val="9"/>
    <w:semiHidden/>
    <w:unhideWhenUsed/>
    <w:qFormat/>
    <w:rsid w:val="003B68DF"/>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l-GR"/>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8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8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8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8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8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8DF"/>
    <w:rPr>
      <w:rFonts w:eastAsiaTheme="majorEastAsia" w:cstheme="majorBidi"/>
      <w:color w:val="272727" w:themeColor="text1" w:themeTint="D8"/>
    </w:rPr>
  </w:style>
  <w:style w:type="paragraph" w:styleId="Title">
    <w:name w:val="Title"/>
    <w:basedOn w:val="Normal"/>
    <w:next w:val="Normal"/>
    <w:link w:val="TitleChar"/>
    <w:uiPriority w:val="10"/>
    <w:qFormat/>
    <w:rsid w:val="003B68DF"/>
    <w:pPr>
      <w:spacing w:after="80" w:line="240" w:lineRule="auto"/>
      <w:contextualSpacing/>
    </w:pPr>
    <w:rPr>
      <w:rFonts w:asciiTheme="majorHAnsi" w:eastAsiaTheme="majorEastAsia" w:hAnsiTheme="majorHAnsi" w:cstheme="majorBidi"/>
      <w:spacing w:val="-10"/>
      <w:kern w:val="28"/>
      <w:sz w:val="56"/>
      <w:szCs w:val="56"/>
      <w:lang w:val="el-GR"/>
      <w14:ligatures w14:val="standardContextual"/>
    </w:rPr>
  </w:style>
  <w:style w:type="character" w:customStyle="1" w:styleId="TitleChar">
    <w:name w:val="Title Char"/>
    <w:basedOn w:val="DefaultParagraphFont"/>
    <w:link w:val="Title"/>
    <w:uiPriority w:val="10"/>
    <w:rsid w:val="003B6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8D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l-GR"/>
      <w14:ligatures w14:val="standardContextual"/>
    </w:rPr>
  </w:style>
  <w:style w:type="character" w:customStyle="1" w:styleId="SubtitleChar">
    <w:name w:val="Subtitle Char"/>
    <w:basedOn w:val="DefaultParagraphFont"/>
    <w:link w:val="Subtitle"/>
    <w:uiPriority w:val="11"/>
    <w:rsid w:val="003B6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8DF"/>
    <w:pPr>
      <w:spacing w:before="160" w:after="160" w:line="278" w:lineRule="auto"/>
      <w:jc w:val="center"/>
    </w:pPr>
    <w:rPr>
      <w:rFonts w:asciiTheme="minorHAnsi" w:eastAsiaTheme="minorEastAsia" w:hAnsiTheme="minorHAnsi" w:cstheme="minorBidi"/>
      <w:i/>
      <w:iCs/>
      <w:color w:val="404040" w:themeColor="text1" w:themeTint="BF"/>
      <w:kern w:val="2"/>
      <w:sz w:val="24"/>
      <w:szCs w:val="24"/>
      <w:lang w:val="el-GR"/>
      <w14:ligatures w14:val="standardContextual"/>
    </w:rPr>
  </w:style>
  <w:style w:type="character" w:customStyle="1" w:styleId="QuoteChar">
    <w:name w:val="Quote Char"/>
    <w:basedOn w:val="DefaultParagraphFont"/>
    <w:link w:val="Quote"/>
    <w:uiPriority w:val="29"/>
    <w:rsid w:val="003B68DF"/>
    <w:rPr>
      <w:i/>
      <w:iCs/>
      <w:color w:val="404040" w:themeColor="text1" w:themeTint="BF"/>
    </w:rPr>
  </w:style>
  <w:style w:type="paragraph" w:styleId="ListParagraph">
    <w:name w:val="List Paragraph"/>
    <w:basedOn w:val="Normal"/>
    <w:uiPriority w:val="34"/>
    <w:qFormat/>
    <w:rsid w:val="003B68DF"/>
    <w:pPr>
      <w:spacing w:after="160" w:line="278" w:lineRule="auto"/>
      <w:ind w:left="720"/>
      <w:contextualSpacing/>
    </w:pPr>
    <w:rPr>
      <w:rFonts w:asciiTheme="minorHAnsi" w:eastAsiaTheme="minorEastAsia" w:hAnsiTheme="minorHAnsi" w:cstheme="minorBidi"/>
      <w:kern w:val="2"/>
      <w:sz w:val="24"/>
      <w:szCs w:val="24"/>
      <w:lang w:val="el-GR"/>
      <w14:ligatures w14:val="standardContextual"/>
    </w:rPr>
  </w:style>
  <w:style w:type="character" w:styleId="IntenseEmphasis">
    <w:name w:val="Intense Emphasis"/>
    <w:basedOn w:val="DefaultParagraphFont"/>
    <w:uiPriority w:val="21"/>
    <w:qFormat/>
    <w:rsid w:val="003B68DF"/>
    <w:rPr>
      <w:i/>
      <w:iCs/>
      <w:color w:val="0F4761" w:themeColor="accent1" w:themeShade="BF"/>
    </w:rPr>
  </w:style>
  <w:style w:type="paragraph" w:styleId="IntenseQuote">
    <w:name w:val="Intense Quote"/>
    <w:basedOn w:val="Normal"/>
    <w:next w:val="Normal"/>
    <w:link w:val="IntenseQuoteChar"/>
    <w:uiPriority w:val="30"/>
    <w:qFormat/>
    <w:rsid w:val="003B68D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sz w:val="24"/>
      <w:szCs w:val="24"/>
      <w:lang w:val="el-GR"/>
      <w14:ligatures w14:val="standardContextual"/>
    </w:rPr>
  </w:style>
  <w:style w:type="character" w:customStyle="1" w:styleId="IntenseQuoteChar">
    <w:name w:val="Intense Quote Char"/>
    <w:basedOn w:val="DefaultParagraphFont"/>
    <w:link w:val="IntenseQuote"/>
    <w:uiPriority w:val="30"/>
    <w:rsid w:val="003B68DF"/>
    <w:rPr>
      <w:i/>
      <w:iCs/>
      <w:color w:val="0F4761" w:themeColor="accent1" w:themeShade="BF"/>
    </w:rPr>
  </w:style>
  <w:style w:type="character" w:styleId="IntenseReference">
    <w:name w:val="Intense Reference"/>
    <w:basedOn w:val="DefaultParagraphFont"/>
    <w:uiPriority w:val="32"/>
    <w:qFormat/>
    <w:rsid w:val="003B68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077D7-86E0-42DE-8BA0-F6841A088466}">
  <ds:schemaRefs>
    <ds:schemaRef ds:uri="http://schemas.openxmlformats.org/officeDocument/2006/bibliography"/>
  </ds:schemaRefs>
</ds:datastoreItem>
</file>

<file path=docMetadata/LabelInfo.xml><?xml version="1.0" encoding="utf-8"?>
<clbl:labelList xmlns:clbl="http://schemas.microsoft.com/office/2020/mipLabelMetadata">
  <clbl:label id="{da48a9ac-7937-4134-8b13-3620bf967764}" enabled="1" method="Privileged" siteId="{5a4ba6f9-f531-4f32-9467-398f19e69de4}"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6</Pages>
  <Words>1560</Words>
  <Characters>8425</Characters>
  <Application>Microsoft Office Word</Application>
  <DocSecurity>0</DocSecurity>
  <Lines>70</Lines>
  <Paragraphs>19</Paragraphs>
  <ScaleCrop>false</ScaleCrop>
  <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Afroditi Lalou</dc:creator>
  <cp:keywords/>
  <dc:description/>
  <cp:lastModifiedBy>Afroditi Lalou</cp:lastModifiedBy>
  <cp:revision>1</cp:revision>
  <dcterms:created xsi:type="dcterms:W3CDTF">2025-07-07T16:41:00Z</dcterms:created>
  <dcterms:modified xsi:type="dcterms:W3CDTF">2025-07-07T16:46:00Z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http://www.zotero.org/styles/acta-neurochirurgica</vt:lpwstr>
  </property>
  <property fmtid="{D5CDD505-2E9C-101B-9397-08002B2CF9AE}" pid="3" name="Mendeley Recent Style Name 0_1">
    <vt:lpwstr>Acta Neurochirurgica</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http://www.zotero.org/styles/ieee</vt:lpwstr>
  </property>
  <property fmtid="{D5CDD505-2E9C-101B-9397-08002B2CF9AE}" pid="9" name="Mendeley Recent Style Name 3_1">
    <vt:lpwstr>IEEE</vt:lpwstr>
  </property>
  <property fmtid="{D5CDD505-2E9C-101B-9397-08002B2CF9AE}" pid="10" name="Mendeley Recent Style Id 4_1">
    <vt:lpwstr>http://www.zotero.org/styles/journal-of-cerebral-blood-flow-and-metabolism</vt:lpwstr>
  </property>
  <property fmtid="{D5CDD505-2E9C-101B-9397-08002B2CF9AE}" pid="11" name="Mendeley Recent Style Name 4_1">
    <vt:lpwstr>Journal of Cerebral Blood Flow &amp; Metabolism</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http://www.zotero.org/styles/sage-vancouver</vt:lpwstr>
  </property>
  <property fmtid="{D5CDD505-2E9C-101B-9397-08002B2CF9AE}" pid="19" name="Mendeley Recent Style Name 8_1">
    <vt:lpwstr>SAGE - Vancouver</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dcf181d5-b356-343d-9896-44d744568f2b</vt:lpwstr>
  </property>
  <property fmtid="{D5CDD505-2E9C-101B-9397-08002B2CF9AE}" pid="24" name="Mendeley Citation Style_1">
    <vt:lpwstr>http://www.zotero.org/styles/sage-vancouver</vt:lpwstr>
  </property>
</Properties>
</file>