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3DE" w14:textId="4A31B856" w:rsidR="00B3695D" w:rsidRPr="00B3695D" w:rsidRDefault="006D5710" w:rsidP="00B3695D">
      <w:pPr>
        <w:spacing w:after="60" w:line="240" w:lineRule="auto"/>
        <w:jc w:val="center"/>
        <w:rPr>
          <w:rFonts w:cstheme="minorHAnsi"/>
          <w:b/>
          <w:bCs/>
          <w:lang w:val="en-US"/>
        </w:rPr>
      </w:pPr>
      <w:bookmarkStart w:id="0" w:name="_Hlk70804719"/>
      <w:r>
        <w:rPr>
          <w:rFonts w:cstheme="minorHAnsi"/>
          <w:b/>
          <w:bCs/>
          <w:lang w:val="en-US"/>
        </w:rPr>
        <w:t>SECTION</w:t>
      </w:r>
      <w:r w:rsidR="00B3695D" w:rsidRPr="00B3695D">
        <w:rPr>
          <w:rFonts w:cstheme="minorHAnsi"/>
          <w:b/>
          <w:bCs/>
          <w:lang w:val="en-US"/>
        </w:rPr>
        <w:t xml:space="preserve"> S</w:t>
      </w:r>
      <w:r w:rsidR="003A2FDA">
        <w:rPr>
          <w:rFonts w:cstheme="minorHAnsi"/>
          <w:b/>
          <w:bCs/>
          <w:lang w:val="en-US"/>
        </w:rPr>
        <w:t>2</w:t>
      </w:r>
      <w:r w:rsidR="00B3695D" w:rsidRPr="00B3695D">
        <w:rPr>
          <w:rFonts w:cstheme="minorHAnsi"/>
          <w:b/>
          <w:bCs/>
          <w:lang w:val="en-US"/>
        </w:rPr>
        <w:t>, SUPPLEMENTARY MATERIAL PREPARED FOR ARTICLE:</w:t>
      </w:r>
    </w:p>
    <w:p w14:paraId="4FC0BFA3" w14:textId="77777777" w:rsidR="00B3695D" w:rsidRPr="00B3695D" w:rsidRDefault="00B3695D" w:rsidP="00B3695D">
      <w:pPr>
        <w:spacing w:after="6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509502FD" w14:textId="7A6FD9EB" w:rsidR="006C3D20" w:rsidRPr="006C3D20" w:rsidRDefault="00B3695D" w:rsidP="006C3D20">
      <w:pPr>
        <w:spacing w:after="100" w:afterAutospacing="1" w:line="480" w:lineRule="auto"/>
        <w:rPr>
          <w:rFonts w:cstheme="minorHAnsi"/>
          <w:b/>
          <w:bCs/>
          <w:sz w:val="24"/>
          <w:szCs w:val="24"/>
          <w:lang w:val="en-US"/>
        </w:rPr>
      </w:pPr>
      <w:r w:rsidRPr="00B3695D">
        <w:rPr>
          <w:rFonts w:cstheme="minorHAnsi"/>
          <w:b/>
          <w:bCs/>
          <w:sz w:val="24"/>
          <w:szCs w:val="24"/>
          <w:lang w:val="en-US"/>
        </w:rPr>
        <w:t>‘</w:t>
      </w:r>
      <w:r w:rsidR="006C3D20" w:rsidRPr="006C3D20">
        <w:rPr>
          <w:rFonts w:cstheme="minorHAnsi"/>
          <w:b/>
          <w:bCs/>
          <w:sz w:val="24"/>
          <w:szCs w:val="24"/>
          <w:lang w:val="en-US"/>
        </w:rPr>
        <w:t>PRESENCE OF PESTICIDES AND VETERINARY MEDICINES IN DANDELIONS (</w:t>
      </w:r>
      <w:r w:rsidR="006C3D20" w:rsidRPr="006C3D20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TARAXACUM OFFICINALIS) </w:t>
      </w:r>
      <w:r w:rsidR="006C3D20" w:rsidRPr="006C3D20">
        <w:rPr>
          <w:rFonts w:cstheme="minorHAnsi"/>
          <w:b/>
          <w:bCs/>
          <w:sz w:val="24"/>
          <w:szCs w:val="24"/>
          <w:lang w:val="en-US"/>
        </w:rPr>
        <w:t>IN PUBLIC PARKS IN THE NETHERLANDS</w:t>
      </w:r>
      <w:r w:rsidR="006C3D20">
        <w:rPr>
          <w:rFonts w:cstheme="minorHAnsi"/>
          <w:b/>
          <w:bCs/>
          <w:sz w:val="24"/>
          <w:szCs w:val="24"/>
          <w:lang w:val="en-US"/>
        </w:rPr>
        <w:t>’</w:t>
      </w:r>
    </w:p>
    <w:p w14:paraId="3084B0F3" w14:textId="7FA08E74" w:rsidR="00B3695D" w:rsidRPr="00B3695D" w:rsidRDefault="00B3695D" w:rsidP="00B3695D">
      <w:pPr>
        <w:spacing w:after="60" w:line="240" w:lineRule="auto"/>
        <w:rPr>
          <w:rFonts w:cstheme="minorHAnsi"/>
          <w:b/>
          <w:bCs/>
          <w:sz w:val="24"/>
          <w:szCs w:val="24"/>
          <w:lang w:val="en-US"/>
        </w:rPr>
      </w:pPr>
    </w:p>
    <w:p w14:paraId="6D8520DB" w14:textId="77777777" w:rsidR="00B3695D" w:rsidRPr="00B3695D" w:rsidRDefault="00B3695D" w:rsidP="00B3695D">
      <w:pPr>
        <w:rPr>
          <w:rFonts w:cstheme="minorHAnsi"/>
          <w:sz w:val="24"/>
          <w:szCs w:val="24"/>
          <w:lang w:val="en-US"/>
        </w:rPr>
      </w:pPr>
    </w:p>
    <w:bookmarkEnd w:id="0"/>
    <w:p w14:paraId="274A75CF" w14:textId="77777777" w:rsidR="00B3695D" w:rsidRPr="00B3695D" w:rsidRDefault="00B3695D" w:rsidP="00B3695D">
      <w:pPr>
        <w:spacing w:after="0" w:line="480" w:lineRule="auto"/>
        <w:rPr>
          <w:rFonts w:cstheme="minorHAnsi"/>
          <w:sz w:val="24"/>
          <w:szCs w:val="24"/>
          <w:vertAlign w:val="superscript"/>
          <w:lang w:val="en-US"/>
        </w:rPr>
      </w:pPr>
      <w:r w:rsidRPr="00B3695D">
        <w:rPr>
          <w:rFonts w:cstheme="minorHAnsi"/>
          <w:sz w:val="24"/>
          <w:szCs w:val="24"/>
          <w:lang w:val="en-US"/>
        </w:rPr>
        <w:t xml:space="preserve">Jelmer </w:t>
      </w:r>
      <w:proofErr w:type="spellStart"/>
      <w:proofErr w:type="gramStart"/>
      <w:r w:rsidRPr="00B3695D">
        <w:rPr>
          <w:rFonts w:cstheme="minorHAnsi"/>
          <w:sz w:val="24"/>
          <w:szCs w:val="24"/>
          <w:lang w:val="en-US"/>
        </w:rPr>
        <w:t>Buijs</w:t>
      </w:r>
      <w:r w:rsidRPr="00B3695D">
        <w:rPr>
          <w:rFonts w:cstheme="minorHAnsi"/>
          <w:sz w:val="24"/>
          <w:szCs w:val="24"/>
          <w:vertAlign w:val="superscript"/>
          <w:lang w:val="en-US"/>
        </w:rPr>
        <w:t>a,b</w:t>
      </w:r>
      <w:proofErr w:type="spellEnd"/>
      <w:proofErr w:type="gramEnd"/>
      <w:r w:rsidRPr="00B3695D">
        <w:rPr>
          <w:rFonts w:cstheme="minorHAnsi"/>
          <w:sz w:val="24"/>
          <w:szCs w:val="24"/>
          <w:vertAlign w:val="superscript"/>
          <w:lang w:val="en-US"/>
        </w:rPr>
        <w:t>,</w:t>
      </w:r>
      <w:r w:rsidRPr="00B3695D">
        <w:rPr>
          <w:rFonts w:cstheme="minorHAnsi"/>
          <w:sz w:val="24"/>
          <w:szCs w:val="24"/>
          <w:lang w:val="en-US"/>
        </w:rPr>
        <w:t>*</w:t>
      </w:r>
      <w:proofErr w:type="gramStart"/>
      <w:r w:rsidRPr="00B3695D">
        <w:rPr>
          <w:rFonts w:cstheme="minorHAnsi"/>
          <w:sz w:val="24"/>
          <w:szCs w:val="24"/>
          <w:lang w:val="en-US"/>
        </w:rPr>
        <w:t>,  Ad</w:t>
      </w:r>
      <w:proofErr w:type="gramEnd"/>
      <w:r w:rsidRPr="00B3695D">
        <w:rPr>
          <w:rFonts w:cstheme="minorHAnsi"/>
          <w:sz w:val="24"/>
          <w:szCs w:val="24"/>
          <w:lang w:val="en-US"/>
        </w:rPr>
        <w:t xml:space="preserve"> M.J. Ragas</w:t>
      </w:r>
      <w:r w:rsidRPr="00B3695D">
        <w:rPr>
          <w:rFonts w:cstheme="minorHAnsi"/>
          <w:sz w:val="24"/>
          <w:szCs w:val="24"/>
          <w:vertAlign w:val="superscript"/>
          <w:lang w:val="en-US"/>
        </w:rPr>
        <w:t>a</w:t>
      </w:r>
      <w:r w:rsidRPr="00B3695D">
        <w:rPr>
          <w:rFonts w:cstheme="minorHAnsi"/>
          <w:sz w:val="24"/>
          <w:szCs w:val="24"/>
          <w:lang w:val="en-US"/>
        </w:rPr>
        <w:t>, A. Jan Hendriks</w:t>
      </w:r>
      <w:r w:rsidRPr="00B3695D">
        <w:rPr>
          <w:rFonts w:cstheme="minorHAnsi"/>
          <w:sz w:val="24"/>
          <w:szCs w:val="24"/>
          <w:vertAlign w:val="superscript"/>
          <w:lang w:val="en-US"/>
        </w:rPr>
        <w:t>a</w:t>
      </w:r>
      <w:r w:rsidRPr="00B3695D">
        <w:rPr>
          <w:rFonts w:cstheme="minorHAnsi"/>
          <w:sz w:val="24"/>
          <w:szCs w:val="24"/>
          <w:lang w:val="en-US"/>
        </w:rPr>
        <w:t xml:space="preserve"> &amp; Margriet </w:t>
      </w:r>
      <w:proofErr w:type="spellStart"/>
      <w:r w:rsidRPr="00B3695D">
        <w:rPr>
          <w:rFonts w:cstheme="minorHAnsi"/>
          <w:sz w:val="24"/>
          <w:szCs w:val="24"/>
          <w:lang w:val="en-US"/>
        </w:rPr>
        <w:t>Mantingh</w:t>
      </w:r>
      <w:r w:rsidRPr="00B3695D">
        <w:rPr>
          <w:rFonts w:cstheme="minorHAnsi"/>
          <w:sz w:val="24"/>
          <w:szCs w:val="24"/>
          <w:vertAlign w:val="superscript"/>
          <w:lang w:val="en-US"/>
        </w:rPr>
        <w:t>c</w:t>
      </w:r>
      <w:proofErr w:type="spellEnd"/>
    </w:p>
    <w:p w14:paraId="6E96509A" w14:textId="77777777" w:rsidR="00B3695D" w:rsidRPr="00B3695D" w:rsidRDefault="00B3695D" w:rsidP="00B3695D">
      <w:pPr>
        <w:spacing w:line="254" w:lineRule="auto"/>
        <w:rPr>
          <w:rFonts w:cstheme="minorHAnsi"/>
          <w:i/>
          <w:iCs/>
          <w:sz w:val="20"/>
          <w:szCs w:val="20"/>
          <w:lang w:val="en-US"/>
        </w:rPr>
      </w:pPr>
      <w:r w:rsidRPr="00B3695D">
        <w:rPr>
          <w:rFonts w:cstheme="minorHAnsi"/>
          <w:sz w:val="20"/>
          <w:szCs w:val="20"/>
          <w:vertAlign w:val="superscript"/>
          <w:lang w:val="en-US"/>
        </w:rPr>
        <w:t>a</w:t>
      </w:r>
      <w:bookmarkStart w:id="1" w:name="_Hlk94447020"/>
      <w:r w:rsidRPr="00B3695D">
        <w:rPr>
          <w:rFonts w:cstheme="minorHAnsi"/>
          <w:i/>
          <w:iCs/>
          <w:sz w:val="20"/>
          <w:szCs w:val="20"/>
          <w:lang w:val="en-GB"/>
        </w:rPr>
        <w:t xml:space="preserve"> Department of Environmental Science, Radboud Institute for Biological and Environmental Sciences, Faculty of Science, Radboud University, Nijmegen, The Netherlands</w:t>
      </w:r>
      <w:bookmarkEnd w:id="1"/>
      <w:r w:rsidRPr="00B3695D">
        <w:rPr>
          <w:rFonts w:cstheme="minorHAnsi"/>
          <w:i/>
          <w:iCs/>
          <w:sz w:val="20"/>
          <w:szCs w:val="20"/>
          <w:lang w:val="en-US"/>
        </w:rPr>
        <w:t xml:space="preserve"> </w:t>
      </w:r>
    </w:p>
    <w:p w14:paraId="179F0BF3" w14:textId="77777777" w:rsidR="00B3695D" w:rsidRPr="00B3695D" w:rsidRDefault="00B3695D" w:rsidP="00B3695D">
      <w:pPr>
        <w:spacing w:line="254" w:lineRule="auto"/>
        <w:rPr>
          <w:rFonts w:cstheme="minorHAnsi"/>
          <w:i/>
          <w:iCs/>
          <w:sz w:val="20"/>
          <w:szCs w:val="20"/>
          <w:lang w:val="en-US"/>
        </w:rPr>
      </w:pPr>
      <w:r w:rsidRPr="00B3695D">
        <w:rPr>
          <w:rFonts w:cstheme="minorHAnsi"/>
          <w:i/>
          <w:iCs/>
          <w:sz w:val="20"/>
          <w:szCs w:val="20"/>
          <w:vertAlign w:val="superscript"/>
          <w:lang w:val="en-GB"/>
        </w:rPr>
        <w:t>b</w:t>
      </w:r>
      <w:r w:rsidRPr="00B3695D">
        <w:rPr>
          <w:rFonts w:cstheme="minorHAnsi"/>
          <w:i/>
          <w:iCs/>
          <w:sz w:val="20"/>
          <w:szCs w:val="20"/>
          <w:lang w:val="en-US"/>
        </w:rPr>
        <w:t xml:space="preserve">Buijs </w:t>
      </w:r>
      <w:proofErr w:type="spellStart"/>
      <w:r w:rsidRPr="00B3695D">
        <w:rPr>
          <w:rFonts w:cstheme="minorHAnsi"/>
          <w:i/>
          <w:iCs/>
          <w:sz w:val="20"/>
          <w:szCs w:val="20"/>
          <w:lang w:val="en-US"/>
        </w:rPr>
        <w:t>Agro</w:t>
      </w:r>
      <w:proofErr w:type="spellEnd"/>
      <w:r w:rsidRPr="00B3695D">
        <w:rPr>
          <w:rFonts w:cstheme="minorHAnsi"/>
          <w:i/>
          <w:iCs/>
          <w:sz w:val="20"/>
          <w:szCs w:val="20"/>
          <w:lang w:val="en-US"/>
        </w:rPr>
        <w:t xml:space="preserve">-Services, </w:t>
      </w:r>
      <w:proofErr w:type="spellStart"/>
      <w:r w:rsidRPr="00B3695D">
        <w:rPr>
          <w:rFonts w:cstheme="minorHAnsi"/>
          <w:i/>
          <w:iCs/>
          <w:sz w:val="20"/>
          <w:szCs w:val="20"/>
          <w:lang w:val="en-US"/>
        </w:rPr>
        <w:t>Schuurhoven</w:t>
      </w:r>
      <w:proofErr w:type="spellEnd"/>
      <w:r w:rsidRPr="00B3695D">
        <w:rPr>
          <w:rFonts w:cstheme="minorHAnsi"/>
          <w:i/>
          <w:iCs/>
          <w:sz w:val="20"/>
          <w:szCs w:val="20"/>
          <w:lang w:val="en-US"/>
        </w:rPr>
        <w:t xml:space="preserve"> 19, </w:t>
      </w:r>
      <w:proofErr w:type="spellStart"/>
      <w:r w:rsidRPr="00B3695D">
        <w:rPr>
          <w:rFonts w:cstheme="minorHAnsi"/>
          <w:i/>
          <w:iCs/>
          <w:sz w:val="20"/>
          <w:szCs w:val="20"/>
          <w:lang w:val="en-US"/>
        </w:rPr>
        <w:t>Bennekom</w:t>
      </w:r>
      <w:proofErr w:type="spellEnd"/>
      <w:r w:rsidRPr="00B3695D">
        <w:rPr>
          <w:rFonts w:cstheme="minorHAnsi"/>
          <w:i/>
          <w:iCs/>
          <w:sz w:val="20"/>
          <w:szCs w:val="20"/>
          <w:lang w:val="en-US"/>
        </w:rPr>
        <w:t>, the Netherlands 6721SM.</w:t>
      </w:r>
    </w:p>
    <w:p w14:paraId="4B9A2140" w14:textId="77777777" w:rsidR="00B3695D" w:rsidRPr="00B3695D" w:rsidRDefault="00B3695D" w:rsidP="00B3695D">
      <w:pPr>
        <w:spacing w:line="254" w:lineRule="auto"/>
        <w:rPr>
          <w:rFonts w:cstheme="minorHAnsi"/>
          <w:i/>
          <w:iCs/>
          <w:sz w:val="20"/>
          <w:szCs w:val="20"/>
          <w:lang w:val="en-US"/>
        </w:rPr>
      </w:pPr>
      <w:proofErr w:type="spellStart"/>
      <w:r w:rsidRPr="00B3695D">
        <w:rPr>
          <w:rFonts w:ascii="Calibri" w:eastAsia="Calibri" w:hAnsi="Calibri" w:cstheme="minorHAnsi"/>
          <w:sz w:val="20"/>
          <w:szCs w:val="20"/>
          <w:vertAlign w:val="superscript"/>
          <w:lang w:val="en-US"/>
        </w:rPr>
        <w:t>c</w:t>
      </w:r>
      <w:r w:rsidRPr="00B3695D">
        <w:rPr>
          <w:rFonts w:ascii="Calibri" w:eastAsia="Calibri" w:hAnsi="Calibri" w:cstheme="minorHAnsi"/>
          <w:i/>
          <w:iCs/>
          <w:sz w:val="20"/>
          <w:szCs w:val="20"/>
          <w:lang w:val="en-US"/>
        </w:rPr>
        <w:t>Mantingh</w:t>
      </w:r>
      <w:proofErr w:type="spellEnd"/>
      <w:r w:rsidRPr="00B3695D">
        <w:rPr>
          <w:rFonts w:ascii="Calibri" w:eastAsia="Calibri" w:hAnsi="Calibri" w:cstheme="minorHAnsi"/>
          <w:i/>
          <w:iCs/>
          <w:sz w:val="20"/>
          <w:szCs w:val="20"/>
          <w:lang w:val="en-US"/>
        </w:rPr>
        <w:t xml:space="preserve"> Environment and Pesticides, </w:t>
      </w:r>
      <w:proofErr w:type="spellStart"/>
      <w:r w:rsidRPr="00B3695D">
        <w:rPr>
          <w:rFonts w:ascii="Calibri" w:eastAsia="Calibri" w:hAnsi="Calibri" w:cstheme="minorHAnsi"/>
          <w:i/>
          <w:iCs/>
          <w:sz w:val="20"/>
          <w:szCs w:val="20"/>
          <w:lang w:val="en-US"/>
        </w:rPr>
        <w:t>Anreperstraat</w:t>
      </w:r>
      <w:proofErr w:type="spellEnd"/>
      <w:r w:rsidRPr="00B3695D">
        <w:rPr>
          <w:rFonts w:ascii="Calibri" w:eastAsia="Calibri" w:hAnsi="Calibri" w:cstheme="minorHAnsi"/>
          <w:i/>
          <w:iCs/>
          <w:sz w:val="20"/>
          <w:szCs w:val="20"/>
          <w:lang w:val="en-US"/>
        </w:rPr>
        <w:t xml:space="preserve"> 9 Assen 9404 LC, the Netherlands</w:t>
      </w:r>
      <w:r w:rsidRPr="00B3695D">
        <w:rPr>
          <w:rFonts w:cstheme="minorHAnsi"/>
          <w:i/>
          <w:iCs/>
          <w:sz w:val="20"/>
          <w:szCs w:val="20"/>
          <w:lang w:val="en-US"/>
        </w:rPr>
        <w:t xml:space="preserve"> </w:t>
      </w:r>
    </w:p>
    <w:p w14:paraId="72FA6206" w14:textId="77777777" w:rsidR="00B3695D" w:rsidRPr="00B3695D" w:rsidRDefault="00B3695D" w:rsidP="00B3695D">
      <w:pPr>
        <w:spacing w:line="254" w:lineRule="auto"/>
        <w:rPr>
          <w:rFonts w:cstheme="minorHAnsi"/>
          <w:i/>
          <w:iCs/>
          <w:sz w:val="20"/>
          <w:szCs w:val="20"/>
          <w:lang w:val="en-GB"/>
        </w:rPr>
      </w:pPr>
      <w:r w:rsidRPr="00B3695D">
        <w:rPr>
          <w:rFonts w:cstheme="minorHAnsi"/>
          <w:i/>
          <w:iCs/>
          <w:sz w:val="20"/>
          <w:szCs w:val="20"/>
          <w:lang w:val="en-US"/>
        </w:rPr>
        <w:t>*</w:t>
      </w:r>
      <w:proofErr w:type="gramStart"/>
      <w:r w:rsidRPr="00B3695D">
        <w:rPr>
          <w:rFonts w:cstheme="minorHAnsi"/>
          <w:i/>
          <w:iCs/>
          <w:sz w:val="20"/>
          <w:szCs w:val="20"/>
          <w:lang w:val="en-US"/>
        </w:rPr>
        <w:t>corresponding</w:t>
      </w:r>
      <w:proofErr w:type="gramEnd"/>
      <w:r w:rsidRPr="00B3695D">
        <w:rPr>
          <w:rFonts w:cstheme="minorHAnsi"/>
          <w:i/>
          <w:iCs/>
          <w:sz w:val="20"/>
          <w:szCs w:val="20"/>
          <w:lang w:val="en-US"/>
        </w:rPr>
        <w:t xml:space="preserve"> author at </w:t>
      </w:r>
      <w:r w:rsidRPr="00B3695D">
        <w:rPr>
          <w:rFonts w:cstheme="minorHAnsi"/>
          <w:i/>
          <w:iCs/>
          <w:sz w:val="20"/>
          <w:szCs w:val="20"/>
          <w:lang w:val="en-GB"/>
        </w:rPr>
        <w:t xml:space="preserve">Department of Environmental Science, Radboud Institute for Biological and Environmental Sciences, Faculty of Science, Radboud University, Nijmegen, The Netherlands E-mail address: </w:t>
      </w:r>
      <w:hyperlink r:id="rId4" w:history="1">
        <w:r w:rsidRPr="00B3695D">
          <w:rPr>
            <w:i/>
            <w:iCs/>
            <w:color w:val="0070C0"/>
            <w:u w:val="single"/>
            <w:lang w:val="en-GB"/>
          </w:rPr>
          <w:t>jelmer</w:t>
        </w:r>
      </w:hyperlink>
      <w:r w:rsidRPr="00B3695D">
        <w:rPr>
          <w:rFonts w:cstheme="minorHAnsi"/>
          <w:i/>
          <w:iCs/>
          <w:color w:val="0070C0"/>
          <w:sz w:val="20"/>
          <w:szCs w:val="20"/>
          <w:u w:val="single"/>
          <w:lang w:val="en-GB"/>
        </w:rPr>
        <w:t>.buijs@ru.nl</w:t>
      </w:r>
    </w:p>
    <w:p w14:paraId="1AC12F91" w14:textId="790CC945" w:rsidR="00B3695D" w:rsidRDefault="00B3695D">
      <w:pPr>
        <w:rPr>
          <w:rFonts w:cstheme="minorHAnsi"/>
          <w:color w:val="222222"/>
          <w:shd w:val="clear" w:color="auto" w:fill="FFFFFF" w:themeFill="background1"/>
          <w:lang w:val="en-GB"/>
        </w:rPr>
      </w:pPr>
      <w:r>
        <w:rPr>
          <w:rFonts w:cstheme="minorHAnsi"/>
          <w:color w:val="222222"/>
          <w:shd w:val="clear" w:color="auto" w:fill="FFFFFF" w:themeFill="background1"/>
          <w:lang w:val="en-GB"/>
        </w:rPr>
        <w:br w:type="page"/>
      </w:r>
    </w:p>
    <w:p w14:paraId="044456F1" w14:textId="6C3E5192" w:rsidR="00B3695D" w:rsidRPr="00B42A20" w:rsidRDefault="00B3695D" w:rsidP="00B3695D">
      <w:pPr>
        <w:pStyle w:val="Bijschrift"/>
        <w:spacing w:before="240" w:after="60"/>
        <w:rPr>
          <w:i w:val="0"/>
          <w:iCs w:val="0"/>
          <w:color w:val="2F5496" w:themeColor="accent1" w:themeShade="BF"/>
          <w:sz w:val="32"/>
          <w:szCs w:val="32"/>
          <w:lang w:val="en-US"/>
        </w:rPr>
      </w:pPr>
      <w:r w:rsidRPr="00B42A20">
        <w:rPr>
          <w:i w:val="0"/>
          <w:iCs w:val="0"/>
          <w:color w:val="2F5496" w:themeColor="accent1" w:themeShade="BF"/>
          <w:sz w:val="32"/>
          <w:szCs w:val="32"/>
          <w:lang w:val="en-US"/>
        </w:rPr>
        <w:lastRenderedPageBreak/>
        <w:t xml:space="preserve">Supplementary Material, </w:t>
      </w:r>
      <w:r w:rsidR="006D5710">
        <w:rPr>
          <w:i w:val="0"/>
          <w:iCs w:val="0"/>
          <w:color w:val="2F5496" w:themeColor="accent1" w:themeShade="BF"/>
          <w:sz w:val="32"/>
          <w:szCs w:val="32"/>
          <w:lang w:val="en-US"/>
        </w:rPr>
        <w:t>Section</w:t>
      </w:r>
      <w:r w:rsidRPr="00B42A20">
        <w:rPr>
          <w:i w:val="0"/>
          <w:iCs w:val="0"/>
          <w:color w:val="2F5496" w:themeColor="accent1" w:themeShade="BF"/>
          <w:sz w:val="32"/>
          <w:szCs w:val="32"/>
          <w:lang w:val="en-US"/>
        </w:rPr>
        <w:t xml:space="preserve"> </w:t>
      </w:r>
      <w:r w:rsidR="003A2FDA">
        <w:rPr>
          <w:i w:val="0"/>
          <w:iCs w:val="0"/>
          <w:color w:val="2F5496" w:themeColor="accent1" w:themeShade="BF"/>
          <w:sz w:val="32"/>
          <w:szCs w:val="32"/>
          <w:lang w:val="en-US"/>
        </w:rPr>
        <w:t>2</w:t>
      </w:r>
      <w:r w:rsidRPr="00B42A20">
        <w:rPr>
          <w:i w:val="0"/>
          <w:iCs w:val="0"/>
          <w:color w:val="2F5496" w:themeColor="accent1" w:themeShade="BF"/>
          <w:sz w:val="32"/>
          <w:szCs w:val="32"/>
          <w:lang w:val="en-US"/>
        </w:rPr>
        <w:t xml:space="preserve">. </w:t>
      </w:r>
      <w:r>
        <w:rPr>
          <w:i w:val="0"/>
          <w:iCs w:val="0"/>
          <w:color w:val="2F5496" w:themeColor="accent1" w:themeShade="BF"/>
          <w:sz w:val="32"/>
          <w:szCs w:val="32"/>
          <w:lang w:val="en-US"/>
        </w:rPr>
        <w:t>Description of the processing and analysis of samples</w:t>
      </w:r>
    </w:p>
    <w:p w14:paraId="7A9267F4" w14:textId="77777777" w:rsidR="00B3695D" w:rsidRPr="00B3695D" w:rsidRDefault="00B3695D" w:rsidP="00B3695D">
      <w:pPr>
        <w:shd w:val="clear" w:color="auto" w:fill="FFFFFF" w:themeFill="background1"/>
        <w:spacing w:after="0" w:line="480" w:lineRule="auto"/>
        <w:rPr>
          <w:rFonts w:cstheme="minorHAnsi"/>
          <w:color w:val="222222"/>
          <w:shd w:val="clear" w:color="auto" w:fill="FFFFFF" w:themeFill="background1"/>
          <w:lang w:val="en-US"/>
        </w:rPr>
      </w:pPr>
    </w:p>
    <w:p w14:paraId="36ED95AE" w14:textId="152E51CF" w:rsidR="00B3695D" w:rsidRDefault="00B3695D" w:rsidP="00B3695D">
      <w:pPr>
        <w:shd w:val="clear" w:color="auto" w:fill="FFFFFF" w:themeFill="background1"/>
        <w:spacing w:after="0" w:line="480" w:lineRule="auto"/>
        <w:rPr>
          <w:rFonts w:cstheme="minorHAnsi"/>
          <w:color w:val="222222"/>
          <w:shd w:val="clear" w:color="auto" w:fill="FFFFFF" w:themeFill="background1"/>
          <w:lang w:val="en-GB"/>
        </w:rPr>
      </w:pPr>
      <w:r>
        <w:rPr>
          <w:rFonts w:cstheme="minorHAnsi"/>
          <w:color w:val="222222"/>
          <w:shd w:val="clear" w:color="auto" w:fill="FFFFFF" w:themeFill="background1"/>
          <w:lang w:val="en-GB"/>
        </w:rPr>
        <w:t>The processing and chemical analysis consisted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of the steps explained below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>:</w:t>
      </w:r>
    </w:p>
    <w:p w14:paraId="5394104C" w14:textId="3164140A" w:rsidR="00B3695D" w:rsidRPr="00CA30BD" w:rsidRDefault="00B3695D" w:rsidP="00B3695D">
      <w:pPr>
        <w:shd w:val="clear" w:color="auto" w:fill="FFFFFF" w:themeFill="background1"/>
        <w:spacing w:after="0" w:line="480" w:lineRule="auto"/>
        <w:rPr>
          <w:rFonts w:cstheme="minorHAnsi"/>
          <w:color w:val="222222"/>
          <w:shd w:val="clear" w:color="auto" w:fill="FFFFFF" w:themeFill="background1"/>
          <w:lang w:val="en-GB"/>
        </w:rPr>
      </w:pPr>
      <w:r w:rsidRPr="000810D5">
        <w:rPr>
          <w:rFonts w:cstheme="minorHAnsi"/>
          <w:i/>
          <w:color w:val="222222"/>
          <w:shd w:val="clear" w:color="auto" w:fill="FFFFFF" w:themeFill="background1"/>
          <w:lang w:val="en-GB"/>
        </w:rPr>
        <w:t>Drying</w:t>
      </w:r>
      <w:r>
        <w:rPr>
          <w:rFonts w:cstheme="minorHAnsi"/>
          <w:i/>
          <w:color w:val="222222"/>
          <w:shd w:val="clear" w:color="auto" w:fill="FFFFFF" w:themeFill="background1"/>
          <w:lang w:val="en-GB"/>
        </w:rPr>
        <w:t xml:space="preserve"> and grinding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: </w:t>
      </w:r>
      <w:r w:rsidR="00B200B7">
        <w:rPr>
          <w:rFonts w:cstheme="minorHAnsi"/>
          <w:color w:val="222222"/>
          <w:shd w:val="clear" w:color="auto" w:fill="FFFFFF" w:themeFill="background1"/>
          <w:lang w:val="en-GB"/>
        </w:rPr>
        <w:t>The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 xml:space="preserve"> </w:t>
      </w:r>
      <w:r w:rsidR="001E2CD2">
        <w:rPr>
          <w:rFonts w:cstheme="minorHAnsi"/>
          <w:color w:val="222222"/>
          <w:shd w:val="clear" w:color="auto" w:fill="FFFFFF" w:themeFill="background1"/>
          <w:lang w:val="en-GB"/>
        </w:rPr>
        <w:t xml:space="preserve">vegetation 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samples </w:t>
      </w:r>
      <w:r w:rsidR="00B200B7">
        <w:rPr>
          <w:rFonts w:cstheme="minorHAnsi"/>
          <w:color w:val="222222"/>
          <w:shd w:val="clear" w:color="auto" w:fill="FFFFFF" w:themeFill="background1"/>
          <w:lang w:val="en-GB"/>
        </w:rPr>
        <w:t xml:space="preserve">had 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 xml:space="preserve">an average </w:t>
      </w:r>
      <w:r w:rsidR="006D5710">
        <w:rPr>
          <w:rFonts w:cstheme="minorHAnsi"/>
          <w:color w:val="222222"/>
          <w:shd w:val="clear" w:color="auto" w:fill="FFFFFF" w:themeFill="background1"/>
          <w:lang w:val="en-GB"/>
        </w:rPr>
        <w:t xml:space="preserve">fresh 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 xml:space="preserve">weight of </w:t>
      </w:r>
      <w:r w:rsidR="006D5710">
        <w:rPr>
          <w:rFonts w:cstheme="minorHAnsi"/>
          <w:color w:val="222222"/>
          <w:shd w:val="clear" w:color="auto" w:fill="FFFFFF" w:themeFill="background1"/>
          <w:lang w:val="en-GB"/>
        </w:rPr>
        <w:t>726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 xml:space="preserve"> grams (standard deviation </w:t>
      </w:r>
      <w:r w:rsidR="006D5710">
        <w:rPr>
          <w:rFonts w:cstheme="minorHAnsi"/>
          <w:color w:val="222222"/>
          <w:shd w:val="clear" w:color="auto" w:fill="FFFFFF" w:themeFill="background1"/>
          <w:lang w:val="en-GB"/>
        </w:rPr>
        <w:t>1</w:t>
      </w:r>
      <w:r w:rsidR="00E66918">
        <w:rPr>
          <w:rFonts w:cstheme="minorHAnsi"/>
          <w:color w:val="222222"/>
          <w:shd w:val="clear" w:color="auto" w:fill="FFFFFF" w:themeFill="background1"/>
          <w:lang w:val="en-GB"/>
        </w:rPr>
        <w:t>74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 xml:space="preserve"> grams).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</w:t>
      </w:r>
      <w:r w:rsidR="00B200B7">
        <w:rPr>
          <w:rFonts w:cstheme="minorHAnsi"/>
          <w:color w:val="222222"/>
          <w:shd w:val="clear" w:color="auto" w:fill="FFFFFF" w:themeFill="background1"/>
          <w:lang w:val="en-GB"/>
        </w:rPr>
        <w:t xml:space="preserve">From the samples 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 xml:space="preserve">subsamples 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were</w:t>
      </w:r>
      <w:r w:rsidR="00B200B7">
        <w:rPr>
          <w:rFonts w:cstheme="minorHAnsi"/>
          <w:color w:val="222222"/>
          <w:shd w:val="clear" w:color="auto" w:fill="FFFFFF" w:themeFill="background1"/>
          <w:lang w:val="en-GB"/>
        </w:rPr>
        <w:t xml:space="preserve"> taken. They were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freeze-dried and their water content was determined based on the weight difference between the wet and freeze-dried samples. </w:t>
      </w:r>
      <w:r w:rsidR="00B200B7">
        <w:rPr>
          <w:rFonts w:cstheme="minorHAnsi"/>
          <w:color w:val="222222"/>
          <w:shd w:val="clear" w:color="auto" w:fill="FFFFFF" w:themeFill="background1"/>
          <w:lang w:val="en-GB"/>
        </w:rPr>
        <w:t>The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 xml:space="preserve"> dried </w:t>
      </w:r>
      <w:r w:rsidR="00B200B7">
        <w:rPr>
          <w:rFonts w:cstheme="minorHAnsi"/>
          <w:color w:val="222222"/>
          <w:shd w:val="clear" w:color="auto" w:fill="FFFFFF" w:themeFill="background1"/>
          <w:lang w:val="en-GB"/>
        </w:rPr>
        <w:t>sub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 xml:space="preserve">samples of </w:t>
      </w:r>
      <w:r w:rsidR="00B200B7">
        <w:rPr>
          <w:rFonts w:cstheme="minorHAnsi"/>
          <w:color w:val="222222"/>
          <w:shd w:val="clear" w:color="auto" w:fill="FFFFFF" w:themeFill="background1"/>
          <w:lang w:val="en-GB"/>
        </w:rPr>
        <w:t xml:space="preserve">dandelions 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>were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>grinded.</w:t>
      </w:r>
    </w:p>
    <w:p w14:paraId="72421683" w14:textId="77777777" w:rsidR="00B3695D" w:rsidRPr="00CA30BD" w:rsidRDefault="00B3695D" w:rsidP="00B3695D">
      <w:pPr>
        <w:shd w:val="clear" w:color="auto" w:fill="FFFFFF" w:themeFill="background1"/>
        <w:spacing w:after="0" w:line="480" w:lineRule="auto"/>
        <w:rPr>
          <w:rFonts w:cstheme="minorHAnsi"/>
          <w:color w:val="222222"/>
          <w:shd w:val="clear" w:color="auto" w:fill="FFFFFF" w:themeFill="background1"/>
          <w:lang w:val="en-GB"/>
        </w:rPr>
      </w:pPr>
      <w:r w:rsidRPr="00976FBB">
        <w:rPr>
          <w:rFonts w:cstheme="minorHAnsi"/>
          <w:i/>
          <w:color w:val="222222"/>
          <w:shd w:val="clear" w:color="auto" w:fill="FFFFFF" w:themeFill="background1"/>
          <w:lang w:val="en-GB"/>
        </w:rPr>
        <w:t>Extraction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: 1-10 g of each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 xml:space="preserve"> dried and grinded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sample (depending on the matrix) was extracted with a mixture of three solvents: acetone (10ml), petroleum-ether (10ml) &amp; dichloromethane (5ml). Internal standards of PCB-153, </w:t>
      </w:r>
      <w:proofErr w:type="spell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triphenylphosphate</w:t>
      </w:r>
      <w:proofErr w:type="spell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and TDCPP were added to the dichloromethane as a control for the pre-treatment and the stability of the injection of the measuring device. This was tested before use. After addition of the solvents, 7 grams of salt mixture was added to the extraction: sodium citrate (15.4%), sodium hydrogen citrate sesquihydrate (7.7%), magnesium sulphate (61.5%) and sodium chloride (15.4%). Extraction was performed </w:t>
      </w:r>
      <w:proofErr w:type="gram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during</w:t>
      </w:r>
      <w:proofErr w:type="gram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2 minutes while being mixed at 640 RPM and subsequently the mixture was centrifugated for 10 minutes at 17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>,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105g. </w:t>
      </w:r>
    </w:p>
    <w:p w14:paraId="6C6696CC" w14:textId="77777777" w:rsidR="00B3695D" w:rsidRPr="00CA30BD" w:rsidRDefault="00B3695D" w:rsidP="00B3695D">
      <w:pPr>
        <w:shd w:val="clear" w:color="auto" w:fill="FFFFFF" w:themeFill="background1"/>
        <w:spacing w:after="0" w:line="480" w:lineRule="auto"/>
        <w:rPr>
          <w:rFonts w:cstheme="minorHAnsi"/>
          <w:color w:val="222222"/>
          <w:shd w:val="clear" w:color="auto" w:fill="FFFFFF" w:themeFill="background1"/>
          <w:lang w:val="en-GB"/>
        </w:rPr>
      </w:pPr>
      <w:r w:rsidRPr="00976FBB">
        <w:rPr>
          <w:rFonts w:cstheme="minorHAnsi"/>
          <w:i/>
          <w:color w:val="222222"/>
          <w:shd w:val="clear" w:color="auto" w:fill="FFFFFF" w:themeFill="background1"/>
          <w:lang w:val="en-GB"/>
        </w:rPr>
        <w:t>Clean-up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: All samples were cleaned by thermal clean-up (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>o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n dry ice), followed by a chemical clean-up using </w:t>
      </w:r>
      <w:proofErr w:type="spell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florisil</w:t>
      </w:r>
      <w:proofErr w:type="spell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for dispersive solid-phase extraction (</w:t>
      </w:r>
      <w:proofErr w:type="spell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dSPE</w:t>
      </w:r>
      <w:proofErr w:type="spell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). For samples with a high pigment rate, i.e. 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>excrements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and 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>vegetation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, </w:t>
      </w:r>
      <w:proofErr w:type="spell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florisil</w:t>
      </w:r>
      <w:proofErr w:type="spell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was combined with graphitized carbon black (GCB) and primary-secondary amine (PSA).</w:t>
      </w:r>
    </w:p>
    <w:p w14:paraId="36B41003" w14:textId="77777777" w:rsidR="00B3695D" w:rsidRPr="00CA30BD" w:rsidRDefault="00B3695D" w:rsidP="00B3695D">
      <w:pPr>
        <w:shd w:val="clear" w:color="auto" w:fill="FFFFFF" w:themeFill="background1"/>
        <w:spacing w:after="0" w:line="480" w:lineRule="auto"/>
        <w:rPr>
          <w:rFonts w:cstheme="minorHAnsi"/>
          <w:color w:val="222222"/>
          <w:shd w:val="clear" w:color="auto" w:fill="FFFFFF" w:themeFill="background1"/>
          <w:lang w:val="en-GB"/>
        </w:rPr>
      </w:pPr>
      <w:r w:rsidRPr="00976FBB">
        <w:rPr>
          <w:rFonts w:cstheme="minorHAnsi"/>
          <w:i/>
          <w:color w:val="222222"/>
          <w:shd w:val="clear" w:color="auto" w:fill="FFFFFF" w:themeFill="background1"/>
          <w:lang w:val="en-GB"/>
        </w:rPr>
        <w:t>Preparation for analysis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: The solvents of the cleaned extract were evaporated at 50°Celsius in a </w:t>
      </w:r>
      <w:proofErr w:type="spell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Zymark</w:t>
      </w:r>
      <w:proofErr w:type="spell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</w:t>
      </w:r>
      <w:proofErr w:type="spell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TurboVap</w:t>
      </w:r>
      <w:proofErr w:type="spell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LV Workstation. After reaching room temperature, the residue was dissolved in a 9:1 iso-octane/toluene mixture (v/v) for GC or in acidified methanol for LC. The residue was homogenized with a tube </w:t>
      </w:r>
      <w:proofErr w:type="gram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vortex</w:t>
      </w:r>
      <w:proofErr w:type="gram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and the extract was filtered through a round regenerated cellulose filter suitable for organic solvents.</w:t>
      </w:r>
    </w:p>
    <w:p w14:paraId="34D71F54" w14:textId="77777777" w:rsidR="00B3695D" w:rsidRPr="00CA30BD" w:rsidRDefault="00B3695D" w:rsidP="00B3695D">
      <w:pPr>
        <w:shd w:val="clear" w:color="auto" w:fill="FFFFFF" w:themeFill="background1"/>
        <w:spacing w:after="0" w:line="480" w:lineRule="auto"/>
        <w:rPr>
          <w:rFonts w:cstheme="minorHAnsi"/>
          <w:color w:val="222222"/>
          <w:shd w:val="clear" w:color="auto" w:fill="FFFFFF" w:themeFill="background1"/>
          <w:lang w:val="en-GB"/>
        </w:rPr>
      </w:pPr>
      <w:r w:rsidRPr="00976FBB">
        <w:rPr>
          <w:rFonts w:cstheme="minorHAnsi"/>
          <w:i/>
          <w:color w:val="222222"/>
          <w:shd w:val="clear" w:color="auto" w:fill="FFFFFF" w:themeFill="background1"/>
          <w:lang w:val="en-GB"/>
        </w:rPr>
        <w:t>Analysis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: The supernatant of the centrifuged samples was analysed using GC-MS/MS (Agilent </w:t>
      </w:r>
      <w:proofErr w:type="spell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Intuvo</w:t>
      </w:r>
      <w:proofErr w:type="spell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9000 GC coupled to an Agilent 7010B Triple Quad-Detector MS with Enhanced </w:t>
      </w:r>
      <w:proofErr w:type="spell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Masshunter</w:t>
      </w:r>
      <w:proofErr w:type="spell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operating 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lastRenderedPageBreak/>
        <w:t xml:space="preserve">system version B.07.06.2704 and </w:t>
      </w:r>
      <w:proofErr w:type="spell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MassHunter</w:t>
      </w:r>
      <w:proofErr w:type="spell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quantitative analysis software version 8.00, build 8.0.598.0). The GC was equipped with a G4513A injector and a G4520A autosampler. For LC-MS/MS, the Agilent 1290 series UHPLC was used with an TQ-5500 MS (Triple Quad-detector) of </w:t>
      </w:r>
      <w:proofErr w:type="spell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Sciex</w:t>
      </w:r>
      <w:proofErr w:type="spell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.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 xml:space="preserve"> In total the presence of 661 pesticides, biocides and metabolites was tested, which were in the standard package of the laboratory (Table S2).</w:t>
      </w:r>
    </w:p>
    <w:p w14:paraId="3BD9A3FF" w14:textId="77777777" w:rsidR="00B3695D" w:rsidRPr="00CA30BD" w:rsidRDefault="00B3695D" w:rsidP="00B3695D">
      <w:pPr>
        <w:shd w:val="clear" w:color="auto" w:fill="FFFFFF" w:themeFill="background1"/>
        <w:spacing w:after="0" w:line="480" w:lineRule="auto"/>
        <w:rPr>
          <w:rFonts w:cstheme="minorHAnsi"/>
          <w:color w:val="222222"/>
          <w:shd w:val="clear" w:color="auto" w:fill="FFFFFF" w:themeFill="background1"/>
          <w:lang w:val="en-GB"/>
        </w:rPr>
      </w:pPr>
      <w:r w:rsidRPr="00976FBB">
        <w:rPr>
          <w:rFonts w:cstheme="minorHAnsi"/>
          <w:i/>
          <w:color w:val="222222"/>
          <w:shd w:val="clear" w:color="auto" w:fill="FFFFFF" w:themeFill="background1"/>
          <w:lang w:val="en-GB"/>
        </w:rPr>
        <w:t>Quality control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: After each series of 10 samples, a QC (Quality Control) sample was injected and analysed, containing all 66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>1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substances 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 xml:space="preserve">(pesticides, biocides and metabolites) </w:t>
      </w:r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in a solvent without matrix at concentrations matching the middle of the calibration line. Per group of 10 samples of the same matrix, spiked samples were added </w:t>
      </w:r>
      <w:proofErr w:type="gramStart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>in order to</w:t>
      </w:r>
      <w:proofErr w:type="gramEnd"/>
      <w:r w:rsidRPr="00CA30BD">
        <w:rPr>
          <w:rFonts w:cstheme="minorHAnsi"/>
          <w:color w:val="222222"/>
          <w:shd w:val="clear" w:color="auto" w:fill="FFFFFF" w:themeFill="background1"/>
          <w:lang w:val="en-GB"/>
        </w:rPr>
        <w:t xml:space="preserve"> determine the recovery of each substance. If the recovery was between 30%-80% or between 120-140%, the measured concentrations were corrected using the standard addition. In between 80-120% recovery, measured concentrations were not corrected.</w:t>
      </w:r>
      <w:r>
        <w:rPr>
          <w:rFonts w:cstheme="minorHAnsi"/>
          <w:color w:val="222222"/>
          <w:shd w:val="clear" w:color="auto" w:fill="FFFFFF" w:themeFill="background1"/>
          <w:lang w:val="en-GB"/>
        </w:rPr>
        <w:t xml:space="preserve"> </w:t>
      </w:r>
    </w:p>
    <w:p w14:paraId="2797229B" w14:textId="77777777" w:rsidR="00382B7C" w:rsidRDefault="00382B7C"/>
    <w:sectPr w:rsidR="00382B7C" w:rsidSect="00955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5D"/>
    <w:rsid w:val="0006793C"/>
    <w:rsid w:val="00104FAA"/>
    <w:rsid w:val="0017232E"/>
    <w:rsid w:val="001E2CD2"/>
    <w:rsid w:val="001F2AAD"/>
    <w:rsid w:val="00382B7C"/>
    <w:rsid w:val="0038516B"/>
    <w:rsid w:val="003A2FDA"/>
    <w:rsid w:val="003A3A13"/>
    <w:rsid w:val="00475608"/>
    <w:rsid w:val="004E5C90"/>
    <w:rsid w:val="005F6121"/>
    <w:rsid w:val="0061185B"/>
    <w:rsid w:val="0067517D"/>
    <w:rsid w:val="006C1EA0"/>
    <w:rsid w:val="006C3D20"/>
    <w:rsid w:val="006D5710"/>
    <w:rsid w:val="007B5C42"/>
    <w:rsid w:val="008A5E78"/>
    <w:rsid w:val="009556FA"/>
    <w:rsid w:val="00987C93"/>
    <w:rsid w:val="009944DB"/>
    <w:rsid w:val="009B2E34"/>
    <w:rsid w:val="00AF0437"/>
    <w:rsid w:val="00B200B7"/>
    <w:rsid w:val="00B3695D"/>
    <w:rsid w:val="00B530D2"/>
    <w:rsid w:val="00B87A1E"/>
    <w:rsid w:val="00C011A4"/>
    <w:rsid w:val="00CA65C9"/>
    <w:rsid w:val="00DA5FEB"/>
    <w:rsid w:val="00DE0DE4"/>
    <w:rsid w:val="00DF0DCA"/>
    <w:rsid w:val="00E22E34"/>
    <w:rsid w:val="00E66918"/>
    <w:rsid w:val="00EC3C7E"/>
    <w:rsid w:val="00F80B25"/>
    <w:rsid w:val="00FC7633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AB23"/>
  <w15:chartTrackingRefBased/>
  <w15:docId w15:val="{D03362D6-EAFE-4F2C-8432-04E867D1E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695D"/>
    <w:rPr>
      <w:kern w:val="0"/>
      <w:lang w:val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qFormat/>
    <w:rsid w:val="00B3695D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lmerbuijs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Jelmer Buijs</dc:creator>
  <cp:keywords/>
  <dc:description/>
  <cp:lastModifiedBy>Jelmer Buijs</cp:lastModifiedBy>
  <cp:revision>2</cp:revision>
  <dcterms:created xsi:type="dcterms:W3CDTF">2025-08-22T10:53:00Z</dcterms:created>
  <dcterms:modified xsi:type="dcterms:W3CDTF">2025-08-22T10:53:00Z</dcterms:modified>
</cp:coreProperties>
</file>