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F0A78" w14:textId="6602AF05" w:rsidR="00791AB3" w:rsidRDefault="009135B3" w:rsidP="007C2EE9">
      <w:pPr>
        <w:pStyle w:val="1"/>
        <w:jc w:val="center"/>
        <w:rPr>
          <w:rFonts w:cs="Times New Roman"/>
        </w:rPr>
      </w:pPr>
      <w:r w:rsidRPr="009135B3">
        <w:rPr>
          <w:rFonts w:cs="Times New Roman"/>
        </w:rPr>
        <w:t>Supplementary</w:t>
      </w:r>
      <w:r>
        <w:rPr>
          <w:rFonts w:cs="Times New Roman"/>
        </w:rPr>
        <w:t xml:space="preserve"> </w:t>
      </w:r>
      <w:r w:rsidRPr="009135B3">
        <w:rPr>
          <w:rFonts w:cs="Times New Roman"/>
        </w:rPr>
        <w:t>Information</w:t>
      </w:r>
    </w:p>
    <w:p w14:paraId="1001325A" w14:textId="3147511E" w:rsidR="007C2EE9" w:rsidRDefault="007C2EE9" w:rsidP="007C2EE9">
      <w:pPr>
        <w:jc w:val="center"/>
        <w:rPr>
          <w:b/>
          <w:bCs/>
          <w:sz w:val="32"/>
          <w:szCs w:val="32"/>
        </w:rPr>
      </w:pPr>
      <w:r w:rsidRPr="007C2EE9">
        <w:rPr>
          <w:b/>
          <w:bCs/>
          <w:sz w:val="32"/>
          <w:szCs w:val="32"/>
        </w:rPr>
        <w:t>Contents</w:t>
      </w:r>
    </w:p>
    <w:tbl>
      <w:tblPr>
        <w:tblStyle w:val="a7"/>
        <w:tblW w:w="0" w:type="auto"/>
        <w:tblLook w:val="04A0" w:firstRow="1" w:lastRow="0" w:firstColumn="1" w:lastColumn="0" w:noHBand="0" w:noVBand="1"/>
      </w:tblPr>
      <w:tblGrid>
        <w:gridCol w:w="2765"/>
        <w:gridCol w:w="2765"/>
        <w:gridCol w:w="2766"/>
      </w:tblGrid>
      <w:tr w:rsidR="007C2EE9" w14:paraId="2B211447" w14:textId="77777777" w:rsidTr="007C2EE9">
        <w:tc>
          <w:tcPr>
            <w:tcW w:w="2765" w:type="dxa"/>
          </w:tcPr>
          <w:p w14:paraId="5CFEC502" w14:textId="0B6B3628" w:rsidR="007C2EE9" w:rsidRPr="007C2EE9" w:rsidRDefault="007C2EE9" w:rsidP="007C2EE9">
            <w:pPr>
              <w:jc w:val="center"/>
              <w:rPr>
                <w:rFonts w:eastAsiaTheme="minorEastAsia"/>
                <w:b/>
                <w:bCs/>
                <w:szCs w:val="20"/>
              </w:rPr>
            </w:pPr>
            <w:r w:rsidRPr="007C2EE9">
              <w:rPr>
                <w:b/>
                <w:bCs/>
                <w:szCs w:val="20"/>
              </w:rPr>
              <w:t>Number</w:t>
            </w:r>
          </w:p>
        </w:tc>
        <w:tc>
          <w:tcPr>
            <w:tcW w:w="2765" w:type="dxa"/>
          </w:tcPr>
          <w:p w14:paraId="34D8C594" w14:textId="4A028E6B" w:rsidR="007C2EE9" w:rsidRPr="007C2EE9" w:rsidRDefault="007C2EE9" w:rsidP="007C2EE9">
            <w:pPr>
              <w:jc w:val="center"/>
              <w:rPr>
                <w:rFonts w:eastAsiaTheme="minorEastAsia"/>
                <w:b/>
                <w:bCs/>
                <w:szCs w:val="20"/>
              </w:rPr>
            </w:pPr>
            <w:r w:rsidRPr="007C2EE9">
              <w:rPr>
                <w:b/>
                <w:bCs/>
                <w:szCs w:val="20"/>
              </w:rPr>
              <w:t>Lists</w:t>
            </w:r>
          </w:p>
        </w:tc>
        <w:tc>
          <w:tcPr>
            <w:tcW w:w="2766" w:type="dxa"/>
          </w:tcPr>
          <w:p w14:paraId="7B208F29" w14:textId="00E8BCD3" w:rsidR="007C2EE9" w:rsidRPr="007C2EE9" w:rsidRDefault="007C2EE9" w:rsidP="007C2EE9">
            <w:pPr>
              <w:jc w:val="center"/>
              <w:rPr>
                <w:rFonts w:eastAsiaTheme="minorEastAsia"/>
                <w:b/>
                <w:bCs/>
                <w:szCs w:val="20"/>
              </w:rPr>
            </w:pPr>
            <w:r w:rsidRPr="007C2EE9">
              <w:rPr>
                <w:b/>
                <w:bCs/>
                <w:szCs w:val="20"/>
              </w:rPr>
              <w:t>Page/s</w:t>
            </w:r>
          </w:p>
        </w:tc>
      </w:tr>
      <w:tr w:rsidR="007C2EE9" w14:paraId="3CA0224A" w14:textId="77777777" w:rsidTr="007C2EE9">
        <w:tc>
          <w:tcPr>
            <w:tcW w:w="2765" w:type="dxa"/>
          </w:tcPr>
          <w:p w14:paraId="2F13AF5A" w14:textId="22E2DF6A" w:rsidR="007C2EE9" w:rsidRPr="008F4935" w:rsidRDefault="007C2EE9" w:rsidP="007C2EE9">
            <w:pPr>
              <w:jc w:val="center"/>
              <w:rPr>
                <w:rFonts w:eastAsiaTheme="minorEastAsia"/>
                <w:szCs w:val="20"/>
              </w:rPr>
            </w:pPr>
            <w:r w:rsidRPr="008F4935">
              <w:rPr>
                <w:rFonts w:eastAsiaTheme="minorEastAsia" w:hint="eastAsia"/>
                <w:szCs w:val="20"/>
              </w:rPr>
              <w:t>1</w:t>
            </w:r>
          </w:p>
        </w:tc>
        <w:tc>
          <w:tcPr>
            <w:tcW w:w="2765" w:type="dxa"/>
          </w:tcPr>
          <w:p w14:paraId="213AD515" w14:textId="24317272" w:rsidR="007C2EE9" w:rsidRPr="008F4935" w:rsidRDefault="008F4935" w:rsidP="007C2EE9">
            <w:pPr>
              <w:jc w:val="left"/>
              <w:rPr>
                <w:rFonts w:eastAsiaTheme="minorEastAsia"/>
                <w:szCs w:val="20"/>
              </w:rPr>
            </w:pPr>
            <w:r w:rsidRPr="008F4935">
              <w:rPr>
                <w:rFonts w:eastAsiaTheme="minorEastAsia"/>
                <w:szCs w:val="20"/>
              </w:rPr>
              <w:t>Supplementary Note 1</w:t>
            </w:r>
          </w:p>
        </w:tc>
        <w:tc>
          <w:tcPr>
            <w:tcW w:w="2766" w:type="dxa"/>
          </w:tcPr>
          <w:p w14:paraId="690D41BF" w14:textId="2BFFD2C9" w:rsidR="007C2EE9" w:rsidRPr="008F4935" w:rsidRDefault="00EB10DE" w:rsidP="007C2EE9">
            <w:pPr>
              <w:jc w:val="center"/>
              <w:rPr>
                <w:rFonts w:eastAsiaTheme="minorEastAsia"/>
                <w:szCs w:val="20"/>
              </w:rPr>
            </w:pPr>
            <w:r>
              <w:rPr>
                <w:rFonts w:eastAsiaTheme="minorEastAsia" w:hint="eastAsia"/>
                <w:szCs w:val="20"/>
              </w:rPr>
              <w:t>2</w:t>
            </w:r>
          </w:p>
        </w:tc>
      </w:tr>
      <w:tr w:rsidR="007C2EE9" w14:paraId="075F3C76" w14:textId="77777777" w:rsidTr="007C2EE9">
        <w:tc>
          <w:tcPr>
            <w:tcW w:w="2765" w:type="dxa"/>
          </w:tcPr>
          <w:p w14:paraId="66504BEB" w14:textId="74A19B9A" w:rsidR="007C2EE9" w:rsidRPr="008F4935" w:rsidRDefault="007C2EE9" w:rsidP="007C2EE9">
            <w:pPr>
              <w:jc w:val="center"/>
              <w:rPr>
                <w:rFonts w:eastAsiaTheme="minorEastAsia"/>
                <w:szCs w:val="20"/>
              </w:rPr>
            </w:pPr>
            <w:r w:rsidRPr="008F4935">
              <w:rPr>
                <w:rFonts w:eastAsiaTheme="minorEastAsia" w:hint="eastAsia"/>
                <w:szCs w:val="20"/>
              </w:rPr>
              <w:t>2</w:t>
            </w:r>
          </w:p>
        </w:tc>
        <w:tc>
          <w:tcPr>
            <w:tcW w:w="2765" w:type="dxa"/>
          </w:tcPr>
          <w:p w14:paraId="317D6AD0" w14:textId="302410EC" w:rsidR="007C2EE9" w:rsidRPr="008F4935" w:rsidRDefault="008F4935" w:rsidP="007C2EE9">
            <w:pPr>
              <w:jc w:val="left"/>
              <w:rPr>
                <w:rFonts w:eastAsiaTheme="minorEastAsia"/>
                <w:szCs w:val="20"/>
              </w:rPr>
            </w:pPr>
            <w:r w:rsidRPr="008F4935">
              <w:rPr>
                <w:rFonts w:eastAsiaTheme="minorEastAsia"/>
                <w:szCs w:val="20"/>
              </w:rPr>
              <w:t xml:space="preserve">Supplementary Note </w:t>
            </w:r>
            <w:r>
              <w:rPr>
                <w:rFonts w:eastAsiaTheme="minorEastAsia"/>
                <w:szCs w:val="20"/>
              </w:rPr>
              <w:t>2</w:t>
            </w:r>
          </w:p>
        </w:tc>
        <w:tc>
          <w:tcPr>
            <w:tcW w:w="2766" w:type="dxa"/>
          </w:tcPr>
          <w:p w14:paraId="33776B61" w14:textId="0D7BA63A" w:rsidR="007C2EE9" w:rsidRPr="008F4935" w:rsidRDefault="00EB10DE" w:rsidP="007C2EE9">
            <w:pPr>
              <w:jc w:val="center"/>
              <w:rPr>
                <w:rFonts w:eastAsiaTheme="minorEastAsia"/>
                <w:szCs w:val="20"/>
              </w:rPr>
            </w:pPr>
            <w:r>
              <w:rPr>
                <w:rFonts w:eastAsiaTheme="minorEastAsia" w:hint="eastAsia"/>
                <w:szCs w:val="20"/>
              </w:rPr>
              <w:t>3</w:t>
            </w:r>
            <w:r>
              <w:rPr>
                <w:rFonts w:eastAsiaTheme="minorEastAsia"/>
                <w:szCs w:val="20"/>
              </w:rPr>
              <w:t>-4</w:t>
            </w:r>
          </w:p>
        </w:tc>
      </w:tr>
      <w:tr w:rsidR="007C2EE9" w14:paraId="3415F418" w14:textId="77777777" w:rsidTr="007C2EE9">
        <w:tc>
          <w:tcPr>
            <w:tcW w:w="2765" w:type="dxa"/>
          </w:tcPr>
          <w:p w14:paraId="6B9F34A2" w14:textId="76DB68B0" w:rsidR="007C2EE9" w:rsidRPr="008F4935" w:rsidRDefault="007C2EE9" w:rsidP="007C2EE9">
            <w:pPr>
              <w:jc w:val="center"/>
              <w:rPr>
                <w:rFonts w:eastAsiaTheme="minorEastAsia"/>
                <w:szCs w:val="20"/>
              </w:rPr>
            </w:pPr>
            <w:r w:rsidRPr="008F4935">
              <w:rPr>
                <w:rFonts w:eastAsiaTheme="minorEastAsia" w:hint="eastAsia"/>
                <w:szCs w:val="20"/>
              </w:rPr>
              <w:t>3</w:t>
            </w:r>
          </w:p>
        </w:tc>
        <w:tc>
          <w:tcPr>
            <w:tcW w:w="2765" w:type="dxa"/>
          </w:tcPr>
          <w:p w14:paraId="55B32CC7" w14:textId="7EA9B2D0" w:rsidR="007C2EE9" w:rsidRPr="008F4935" w:rsidRDefault="008F4935" w:rsidP="007C2EE9">
            <w:pPr>
              <w:jc w:val="left"/>
              <w:rPr>
                <w:rFonts w:eastAsiaTheme="minorEastAsia"/>
                <w:szCs w:val="20"/>
              </w:rPr>
            </w:pPr>
            <w:r w:rsidRPr="008F4935">
              <w:rPr>
                <w:rFonts w:eastAsiaTheme="minorEastAsia"/>
                <w:szCs w:val="20"/>
              </w:rPr>
              <w:t xml:space="preserve">Supplementary Note </w:t>
            </w:r>
            <w:r>
              <w:rPr>
                <w:rFonts w:eastAsiaTheme="minorEastAsia"/>
                <w:szCs w:val="20"/>
              </w:rPr>
              <w:t>3</w:t>
            </w:r>
          </w:p>
        </w:tc>
        <w:tc>
          <w:tcPr>
            <w:tcW w:w="2766" w:type="dxa"/>
          </w:tcPr>
          <w:p w14:paraId="55C9A6EF" w14:textId="5BA4B132" w:rsidR="007C2EE9" w:rsidRPr="008F4935" w:rsidRDefault="00EB10DE" w:rsidP="007C2EE9">
            <w:pPr>
              <w:jc w:val="center"/>
              <w:rPr>
                <w:rFonts w:eastAsiaTheme="minorEastAsia"/>
                <w:szCs w:val="20"/>
              </w:rPr>
            </w:pPr>
            <w:r>
              <w:rPr>
                <w:rFonts w:eastAsiaTheme="minorEastAsia" w:hint="eastAsia"/>
                <w:szCs w:val="20"/>
              </w:rPr>
              <w:t>5</w:t>
            </w:r>
          </w:p>
        </w:tc>
      </w:tr>
      <w:tr w:rsidR="007C2EE9" w14:paraId="433D65FA" w14:textId="77777777" w:rsidTr="007C2EE9">
        <w:tc>
          <w:tcPr>
            <w:tcW w:w="2765" w:type="dxa"/>
          </w:tcPr>
          <w:p w14:paraId="49420B51" w14:textId="5AD172C8" w:rsidR="007C2EE9" w:rsidRPr="008F4935" w:rsidRDefault="007C2EE9" w:rsidP="007C2EE9">
            <w:pPr>
              <w:jc w:val="center"/>
              <w:rPr>
                <w:rFonts w:eastAsiaTheme="minorEastAsia"/>
                <w:szCs w:val="20"/>
              </w:rPr>
            </w:pPr>
            <w:r w:rsidRPr="008F4935">
              <w:rPr>
                <w:rFonts w:eastAsiaTheme="minorEastAsia" w:hint="eastAsia"/>
                <w:szCs w:val="20"/>
              </w:rPr>
              <w:t>4</w:t>
            </w:r>
          </w:p>
        </w:tc>
        <w:tc>
          <w:tcPr>
            <w:tcW w:w="2765" w:type="dxa"/>
          </w:tcPr>
          <w:p w14:paraId="05B91106" w14:textId="1397826F" w:rsidR="007C2EE9" w:rsidRPr="008F4935" w:rsidRDefault="008F4935" w:rsidP="007C2EE9">
            <w:pPr>
              <w:jc w:val="left"/>
              <w:rPr>
                <w:rFonts w:eastAsiaTheme="minorEastAsia"/>
                <w:szCs w:val="20"/>
              </w:rPr>
            </w:pPr>
            <w:r w:rsidRPr="008F4935">
              <w:rPr>
                <w:rFonts w:eastAsiaTheme="minorEastAsia"/>
                <w:szCs w:val="20"/>
              </w:rPr>
              <w:t xml:space="preserve">Supplementary Note </w:t>
            </w:r>
            <w:r>
              <w:rPr>
                <w:rFonts w:eastAsiaTheme="minorEastAsia"/>
                <w:szCs w:val="20"/>
              </w:rPr>
              <w:t>4</w:t>
            </w:r>
          </w:p>
        </w:tc>
        <w:tc>
          <w:tcPr>
            <w:tcW w:w="2766" w:type="dxa"/>
          </w:tcPr>
          <w:p w14:paraId="27CECA8E" w14:textId="582EB8DC" w:rsidR="007C2EE9" w:rsidRPr="008F4935" w:rsidRDefault="00EB10DE" w:rsidP="007C2EE9">
            <w:pPr>
              <w:jc w:val="center"/>
              <w:rPr>
                <w:rFonts w:eastAsiaTheme="minorEastAsia"/>
                <w:szCs w:val="20"/>
              </w:rPr>
            </w:pPr>
            <w:r>
              <w:rPr>
                <w:rFonts w:eastAsiaTheme="minorEastAsia" w:hint="eastAsia"/>
                <w:szCs w:val="20"/>
              </w:rPr>
              <w:t>6</w:t>
            </w:r>
          </w:p>
        </w:tc>
      </w:tr>
      <w:tr w:rsidR="007C2EE9" w14:paraId="74A2D5BE" w14:textId="77777777" w:rsidTr="007C2EE9">
        <w:tc>
          <w:tcPr>
            <w:tcW w:w="2765" w:type="dxa"/>
          </w:tcPr>
          <w:p w14:paraId="257E1119" w14:textId="302D59A5" w:rsidR="007C2EE9" w:rsidRPr="008F4935" w:rsidRDefault="007C2EE9" w:rsidP="007C2EE9">
            <w:pPr>
              <w:jc w:val="center"/>
              <w:rPr>
                <w:rFonts w:eastAsiaTheme="minorEastAsia"/>
                <w:szCs w:val="20"/>
              </w:rPr>
            </w:pPr>
            <w:r w:rsidRPr="008F4935">
              <w:rPr>
                <w:rFonts w:eastAsiaTheme="minorEastAsia" w:hint="eastAsia"/>
                <w:szCs w:val="20"/>
              </w:rPr>
              <w:t>5</w:t>
            </w:r>
          </w:p>
        </w:tc>
        <w:tc>
          <w:tcPr>
            <w:tcW w:w="2765" w:type="dxa"/>
          </w:tcPr>
          <w:p w14:paraId="7062A76C" w14:textId="0BFB8AA8" w:rsidR="007C2EE9" w:rsidRPr="008F4935" w:rsidRDefault="008F4935" w:rsidP="007C2EE9">
            <w:pPr>
              <w:jc w:val="left"/>
              <w:rPr>
                <w:rFonts w:eastAsiaTheme="minorEastAsia"/>
                <w:szCs w:val="20"/>
              </w:rPr>
            </w:pPr>
            <w:r w:rsidRPr="008F4935">
              <w:rPr>
                <w:rFonts w:eastAsiaTheme="minorEastAsia"/>
                <w:szCs w:val="20"/>
              </w:rPr>
              <w:t xml:space="preserve">Supplementary Note </w:t>
            </w:r>
            <w:r>
              <w:rPr>
                <w:rFonts w:eastAsiaTheme="minorEastAsia"/>
                <w:szCs w:val="20"/>
              </w:rPr>
              <w:t>5</w:t>
            </w:r>
          </w:p>
        </w:tc>
        <w:tc>
          <w:tcPr>
            <w:tcW w:w="2766" w:type="dxa"/>
          </w:tcPr>
          <w:p w14:paraId="13BDD50B" w14:textId="75D1425A" w:rsidR="007C2EE9" w:rsidRPr="008F4935" w:rsidRDefault="00EB10DE" w:rsidP="007C2EE9">
            <w:pPr>
              <w:jc w:val="center"/>
              <w:rPr>
                <w:rFonts w:eastAsiaTheme="minorEastAsia"/>
                <w:szCs w:val="20"/>
              </w:rPr>
            </w:pPr>
            <w:r>
              <w:rPr>
                <w:rFonts w:eastAsiaTheme="minorEastAsia" w:hint="eastAsia"/>
                <w:szCs w:val="20"/>
              </w:rPr>
              <w:t>7</w:t>
            </w:r>
            <w:r>
              <w:rPr>
                <w:rFonts w:eastAsiaTheme="minorEastAsia"/>
                <w:szCs w:val="20"/>
              </w:rPr>
              <w:t>-8</w:t>
            </w:r>
          </w:p>
        </w:tc>
      </w:tr>
      <w:tr w:rsidR="008F4935" w14:paraId="1B368971" w14:textId="77777777" w:rsidTr="007C2EE9">
        <w:tc>
          <w:tcPr>
            <w:tcW w:w="2765" w:type="dxa"/>
          </w:tcPr>
          <w:p w14:paraId="5F680169" w14:textId="2800806A" w:rsidR="008F4935" w:rsidRPr="008F4935" w:rsidRDefault="008F4935" w:rsidP="007C2EE9">
            <w:pPr>
              <w:jc w:val="center"/>
              <w:rPr>
                <w:rFonts w:eastAsiaTheme="minorEastAsia"/>
                <w:szCs w:val="20"/>
              </w:rPr>
            </w:pPr>
            <w:r>
              <w:rPr>
                <w:rFonts w:eastAsiaTheme="minorEastAsia" w:hint="eastAsia"/>
                <w:szCs w:val="20"/>
              </w:rPr>
              <w:t>6</w:t>
            </w:r>
          </w:p>
        </w:tc>
        <w:tc>
          <w:tcPr>
            <w:tcW w:w="2765" w:type="dxa"/>
          </w:tcPr>
          <w:p w14:paraId="340AF95A" w14:textId="3A17315C" w:rsidR="008F4935" w:rsidRPr="008F4935" w:rsidRDefault="008F4935" w:rsidP="007C2EE9">
            <w:pPr>
              <w:jc w:val="left"/>
              <w:rPr>
                <w:rFonts w:eastAsiaTheme="minorEastAsia"/>
                <w:szCs w:val="20"/>
              </w:rPr>
            </w:pPr>
            <w:r w:rsidRPr="008F4935">
              <w:rPr>
                <w:rFonts w:eastAsiaTheme="minorEastAsia"/>
                <w:szCs w:val="20"/>
              </w:rPr>
              <w:t xml:space="preserve">Supplementary Note </w:t>
            </w:r>
            <w:r>
              <w:rPr>
                <w:rFonts w:eastAsiaTheme="minorEastAsia"/>
                <w:szCs w:val="20"/>
              </w:rPr>
              <w:t>6</w:t>
            </w:r>
          </w:p>
        </w:tc>
        <w:tc>
          <w:tcPr>
            <w:tcW w:w="2766" w:type="dxa"/>
          </w:tcPr>
          <w:p w14:paraId="240CD43A" w14:textId="77EB5C4C" w:rsidR="008F4935" w:rsidRPr="008F4935" w:rsidRDefault="00EB10DE" w:rsidP="007C2EE9">
            <w:pPr>
              <w:jc w:val="center"/>
              <w:rPr>
                <w:rFonts w:eastAsiaTheme="minorEastAsia"/>
                <w:szCs w:val="20"/>
              </w:rPr>
            </w:pPr>
            <w:r>
              <w:rPr>
                <w:rFonts w:eastAsiaTheme="minorEastAsia" w:hint="eastAsia"/>
                <w:szCs w:val="20"/>
              </w:rPr>
              <w:t>9</w:t>
            </w:r>
          </w:p>
        </w:tc>
      </w:tr>
      <w:tr w:rsidR="008F4935" w14:paraId="498B7E22" w14:textId="77777777" w:rsidTr="007C2EE9">
        <w:tc>
          <w:tcPr>
            <w:tcW w:w="2765" w:type="dxa"/>
          </w:tcPr>
          <w:p w14:paraId="11214FFD" w14:textId="73279734" w:rsidR="008F4935" w:rsidRPr="008F4935" w:rsidRDefault="00EB10DE" w:rsidP="007C2EE9">
            <w:pPr>
              <w:jc w:val="center"/>
              <w:rPr>
                <w:rFonts w:eastAsiaTheme="minorEastAsia"/>
                <w:szCs w:val="20"/>
              </w:rPr>
            </w:pPr>
            <w:r>
              <w:rPr>
                <w:rFonts w:eastAsiaTheme="minorEastAsia" w:hint="eastAsia"/>
                <w:szCs w:val="20"/>
              </w:rPr>
              <w:t>7</w:t>
            </w:r>
          </w:p>
        </w:tc>
        <w:tc>
          <w:tcPr>
            <w:tcW w:w="2765" w:type="dxa"/>
          </w:tcPr>
          <w:p w14:paraId="46064A8B" w14:textId="1642F41F" w:rsidR="008F4935" w:rsidRPr="008F4935" w:rsidRDefault="00EB10DE" w:rsidP="007C2EE9">
            <w:pPr>
              <w:jc w:val="left"/>
              <w:rPr>
                <w:rFonts w:eastAsiaTheme="minorEastAsia"/>
                <w:szCs w:val="20"/>
              </w:rPr>
            </w:pPr>
            <w:r w:rsidRPr="00EB10DE">
              <w:rPr>
                <w:rFonts w:eastAsiaTheme="minorEastAsia"/>
                <w:szCs w:val="20"/>
              </w:rPr>
              <w:t>Supplementary Table 1</w:t>
            </w:r>
          </w:p>
        </w:tc>
        <w:tc>
          <w:tcPr>
            <w:tcW w:w="2766" w:type="dxa"/>
          </w:tcPr>
          <w:p w14:paraId="7A6681B9" w14:textId="1C71DE5A" w:rsidR="008F4935" w:rsidRPr="008F4935" w:rsidRDefault="00EB10DE" w:rsidP="007C2EE9">
            <w:pPr>
              <w:jc w:val="center"/>
              <w:rPr>
                <w:rFonts w:eastAsiaTheme="minorEastAsia"/>
                <w:szCs w:val="20"/>
              </w:rPr>
            </w:pPr>
            <w:r>
              <w:rPr>
                <w:rFonts w:eastAsiaTheme="minorEastAsia" w:hint="eastAsia"/>
                <w:szCs w:val="20"/>
              </w:rPr>
              <w:t>1</w:t>
            </w:r>
            <w:r>
              <w:rPr>
                <w:rFonts w:eastAsiaTheme="minorEastAsia"/>
                <w:szCs w:val="20"/>
              </w:rPr>
              <w:t>0</w:t>
            </w:r>
          </w:p>
        </w:tc>
      </w:tr>
      <w:tr w:rsidR="008F4935" w14:paraId="768BD016" w14:textId="77777777" w:rsidTr="007C2EE9">
        <w:tc>
          <w:tcPr>
            <w:tcW w:w="2765" w:type="dxa"/>
          </w:tcPr>
          <w:p w14:paraId="4E2A1611" w14:textId="50E0AA5D" w:rsidR="008F4935" w:rsidRPr="008F4935" w:rsidRDefault="00EB10DE" w:rsidP="007C2EE9">
            <w:pPr>
              <w:jc w:val="center"/>
              <w:rPr>
                <w:rFonts w:eastAsiaTheme="minorEastAsia"/>
                <w:szCs w:val="20"/>
              </w:rPr>
            </w:pPr>
            <w:r>
              <w:rPr>
                <w:rFonts w:eastAsiaTheme="minorEastAsia" w:hint="eastAsia"/>
                <w:szCs w:val="20"/>
              </w:rPr>
              <w:t>8</w:t>
            </w:r>
          </w:p>
        </w:tc>
        <w:tc>
          <w:tcPr>
            <w:tcW w:w="2765" w:type="dxa"/>
          </w:tcPr>
          <w:p w14:paraId="3F9D79E5" w14:textId="1DE19BED" w:rsidR="008F4935" w:rsidRPr="008F4935" w:rsidRDefault="00EB10DE" w:rsidP="007C2EE9">
            <w:pPr>
              <w:jc w:val="left"/>
              <w:rPr>
                <w:rFonts w:eastAsiaTheme="minorEastAsia"/>
                <w:szCs w:val="20"/>
              </w:rPr>
            </w:pPr>
            <w:r w:rsidRPr="00EB10DE">
              <w:rPr>
                <w:rFonts w:eastAsiaTheme="minorEastAsia"/>
                <w:szCs w:val="20"/>
              </w:rPr>
              <w:t xml:space="preserve">Supplementary Table </w:t>
            </w:r>
            <w:r>
              <w:rPr>
                <w:rFonts w:eastAsiaTheme="minorEastAsia"/>
                <w:szCs w:val="20"/>
              </w:rPr>
              <w:t>2</w:t>
            </w:r>
          </w:p>
        </w:tc>
        <w:tc>
          <w:tcPr>
            <w:tcW w:w="2766" w:type="dxa"/>
          </w:tcPr>
          <w:p w14:paraId="175A195D" w14:textId="6162AC5E" w:rsidR="008F4935" w:rsidRPr="008F4935" w:rsidRDefault="00EB10DE" w:rsidP="007C2EE9">
            <w:pPr>
              <w:jc w:val="center"/>
              <w:rPr>
                <w:rFonts w:eastAsiaTheme="minorEastAsia"/>
                <w:szCs w:val="20"/>
              </w:rPr>
            </w:pPr>
            <w:r>
              <w:rPr>
                <w:rFonts w:eastAsiaTheme="minorEastAsia" w:hint="eastAsia"/>
                <w:szCs w:val="20"/>
              </w:rPr>
              <w:t>1</w:t>
            </w:r>
            <w:r>
              <w:rPr>
                <w:rFonts w:eastAsiaTheme="minorEastAsia"/>
                <w:szCs w:val="20"/>
              </w:rPr>
              <w:t>1</w:t>
            </w:r>
          </w:p>
        </w:tc>
      </w:tr>
      <w:tr w:rsidR="008F4935" w14:paraId="4D37199C" w14:textId="77777777" w:rsidTr="007C2EE9">
        <w:tc>
          <w:tcPr>
            <w:tcW w:w="2765" w:type="dxa"/>
          </w:tcPr>
          <w:p w14:paraId="6CBACAE2" w14:textId="294F2161" w:rsidR="008F4935" w:rsidRPr="008F4935" w:rsidRDefault="00EB10DE" w:rsidP="007C2EE9">
            <w:pPr>
              <w:jc w:val="center"/>
              <w:rPr>
                <w:rFonts w:eastAsiaTheme="minorEastAsia"/>
                <w:szCs w:val="20"/>
              </w:rPr>
            </w:pPr>
            <w:r>
              <w:rPr>
                <w:rFonts w:eastAsiaTheme="minorEastAsia" w:hint="eastAsia"/>
                <w:szCs w:val="20"/>
              </w:rPr>
              <w:t>9</w:t>
            </w:r>
          </w:p>
        </w:tc>
        <w:tc>
          <w:tcPr>
            <w:tcW w:w="2765" w:type="dxa"/>
          </w:tcPr>
          <w:p w14:paraId="550639B6" w14:textId="50E0AB03" w:rsidR="008F4935" w:rsidRPr="008F4935" w:rsidRDefault="00EB10DE" w:rsidP="007C2EE9">
            <w:pPr>
              <w:jc w:val="left"/>
              <w:rPr>
                <w:rFonts w:eastAsiaTheme="minorEastAsia"/>
                <w:szCs w:val="20"/>
              </w:rPr>
            </w:pPr>
            <w:r w:rsidRPr="00EB10DE">
              <w:rPr>
                <w:rFonts w:eastAsiaTheme="minorEastAsia"/>
                <w:szCs w:val="20"/>
              </w:rPr>
              <w:t>Supplementary Fig. 1</w:t>
            </w:r>
          </w:p>
        </w:tc>
        <w:tc>
          <w:tcPr>
            <w:tcW w:w="2766" w:type="dxa"/>
          </w:tcPr>
          <w:p w14:paraId="6AE0CD76" w14:textId="7D141A9E" w:rsidR="008F4935" w:rsidRPr="008F4935" w:rsidRDefault="00EB10DE" w:rsidP="007C2EE9">
            <w:pPr>
              <w:jc w:val="center"/>
              <w:rPr>
                <w:rFonts w:eastAsiaTheme="minorEastAsia"/>
                <w:szCs w:val="20"/>
              </w:rPr>
            </w:pPr>
            <w:r>
              <w:rPr>
                <w:rFonts w:eastAsiaTheme="minorEastAsia" w:hint="eastAsia"/>
                <w:szCs w:val="20"/>
              </w:rPr>
              <w:t>1</w:t>
            </w:r>
            <w:r>
              <w:rPr>
                <w:rFonts w:eastAsiaTheme="minorEastAsia"/>
                <w:szCs w:val="20"/>
              </w:rPr>
              <w:t>2</w:t>
            </w:r>
          </w:p>
        </w:tc>
      </w:tr>
      <w:tr w:rsidR="008F4935" w14:paraId="1E118596" w14:textId="77777777" w:rsidTr="007C2EE9">
        <w:tc>
          <w:tcPr>
            <w:tcW w:w="2765" w:type="dxa"/>
          </w:tcPr>
          <w:p w14:paraId="55DE4552" w14:textId="795BC8AC" w:rsidR="008F4935" w:rsidRPr="008F4935" w:rsidRDefault="00EB10DE" w:rsidP="007C2EE9">
            <w:pPr>
              <w:jc w:val="center"/>
              <w:rPr>
                <w:rFonts w:eastAsiaTheme="minorEastAsia"/>
                <w:szCs w:val="20"/>
              </w:rPr>
            </w:pPr>
            <w:r>
              <w:rPr>
                <w:rFonts w:eastAsiaTheme="minorEastAsia" w:hint="eastAsia"/>
                <w:szCs w:val="20"/>
              </w:rPr>
              <w:t>1</w:t>
            </w:r>
            <w:r>
              <w:rPr>
                <w:rFonts w:eastAsiaTheme="minorEastAsia"/>
                <w:szCs w:val="20"/>
              </w:rPr>
              <w:t>0</w:t>
            </w:r>
          </w:p>
        </w:tc>
        <w:tc>
          <w:tcPr>
            <w:tcW w:w="2765" w:type="dxa"/>
          </w:tcPr>
          <w:p w14:paraId="4B1637DA" w14:textId="56E196F1" w:rsidR="008F4935" w:rsidRPr="008F4935" w:rsidRDefault="00EB10DE" w:rsidP="007C2EE9">
            <w:pPr>
              <w:jc w:val="left"/>
              <w:rPr>
                <w:rFonts w:eastAsiaTheme="minorEastAsia"/>
                <w:szCs w:val="20"/>
              </w:rPr>
            </w:pPr>
            <w:r w:rsidRPr="00EB10DE">
              <w:rPr>
                <w:rFonts w:eastAsiaTheme="minorEastAsia"/>
                <w:szCs w:val="20"/>
              </w:rPr>
              <w:t xml:space="preserve">Supplementary Fig. </w:t>
            </w:r>
            <w:r>
              <w:rPr>
                <w:rFonts w:eastAsiaTheme="minorEastAsia"/>
                <w:szCs w:val="20"/>
              </w:rPr>
              <w:t>2</w:t>
            </w:r>
          </w:p>
        </w:tc>
        <w:tc>
          <w:tcPr>
            <w:tcW w:w="2766" w:type="dxa"/>
          </w:tcPr>
          <w:p w14:paraId="2E69709A" w14:textId="5A64512C" w:rsidR="008F4935" w:rsidRPr="008F4935" w:rsidRDefault="00EB10DE" w:rsidP="007C2EE9">
            <w:pPr>
              <w:jc w:val="center"/>
              <w:rPr>
                <w:rFonts w:eastAsiaTheme="minorEastAsia"/>
                <w:szCs w:val="20"/>
              </w:rPr>
            </w:pPr>
            <w:r>
              <w:rPr>
                <w:rFonts w:eastAsiaTheme="minorEastAsia" w:hint="eastAsia"/>
                <w:szCs w:val="20"/>
              </w:rPr>
              <w:t>1</w:t>
            </w:r>
            <w:r>
              <w:rPr>
                <w:rFonts w:eastAsiaTheme="minorEastAsia"/>
                <w:szCs w:val="20"/>
              </w:rPr>
              <w:t>3</w:t>
            </w:r>
          </w:p>
        </w:tc>
      </w:tr>
      <w:tr w:rsidR="008F4935" w14:paraId="5BE242AF" w14:textId="77777777" w:rsidTr="007C2EE9">
        <w:tc>
          <w:tcPr>
            <w:tcW w:w="2765" w:type="dxa"/>
          </w:tcPr>
          <w:p w14:paraId="213E8377" w14:textId="7EFFB4BF" w:rsidR="008F4935" w:rsidRPr="008F4935" w:rsidRDefault="00EB10DE" w:rsidP="007C2EE9">
            <w:pPr>
              <w:jc w:val="center"/>
              <w:rPr>
                <w:rFonts w:eastAsiaTheme="minorEastAsia"/>
                <w:szCs w:val="20"/>
              </w:rPr>
            </w:pPr>
            <w:r>
              <w:rPr>
                <w:rFonts w:eastAsiaTheme="minorEastAsia" w:hint="eastAsia"/>
                <w:szCs w:val="20"/>
              </w:rPr>
              <w:t>1</w:t>
            </w:r>
            <w:r>
              <w:rPr>
                <w:rFonts w:eastAsiaTheme="minorEastAsia"/>
                <w:szCs w:val="20"/>
              </w:rPr>
              <w:t>1</w:t>
            </w:r>
          </w:p>
        </w:tc>
        <w:tc>
          <w:tcPr>
            <w:tcW w:w="2765" w:type="dxa"/>
          </w:tcPr>
          <w:p w14:paraId="76463A01" w14:textId="6C63DAE5" w:rsidR="008F4935" w:rsidRPr="008F4935" w:rsidRDefault="00EB10DE" w:rsidP="007C2EE9">
            <w:pPr>
              <w:jc w:val="left"/>
              <w:rPr>
                <w:rFonts w:eastAsiaTheme="minorEastAsia"/>
                <w:szCs w:val="20"/>
              </w:rPr>
            </w:pPr>
            <w:r w:rsidRPr="00EB10DE">
              <w:rPr>
                <w:rFonts w:eastAsiaTheme="minorEastAsia"/>
                <w:szCs w:val="20"/>
              </w:rPr>
              <w:t xml:space="preserve">Supplementary Fig. </w:t>
            </w:r>
            <w:r>
              <w:rPr>
                <w:rFonts w:eastAsiaTheme="minorEastAsia"/>
                <w:szCs w:val="20"/>
              </w:rPr>
              <w:t>3</w:t>
            </w:r>
          </w:p>
        </w:tc>
        <w:tc>
          <w:tcPr>
            <w:tcW w:w="2766" w:type="dxa"/>
          </w:tcPr>
          <w:p w14:paraId="7F2C2707" w14:textId="4D7EA035" w:rsidR="008F4935" w:rsidRPr="008F4935" w:rsidRDefault="00EB10DE" w:rsidP="007C2EE9">
            <w:pPr>
              <w:jc w:val="center"/>
              <w:rPr>
                <w:rFonts w:eastAsiaTheme="minorEastAsia"/>
                <w:szCs w:val="20"/>
              </w:rPr>
            </w:pPr>
            <w:r>
              <w:rPr>
                <w:rFonts w:eastAsiaTheme="minorEastAsia" w:hint="eastAsia"/>
                <w:szCs w:val="20"/>
              </w:rPr>
              <w:t>1</w:t>
            </w:r>
            <w:r>
              <w:rPr>
                <w:rFonts w:eastAsiaTheme="minorEastAsia"/>
                <w:szCs w:val="20"/>
              </w:rPr>
              <w:t>4</w:t>
            </w:r>
          </w:p>
        </w:tc>
      </w:tr>
      <w:tr w:rsidR="008F4935" w14:paraId="32D8CEB5" w14:textId="77777777" w:rsidTr="007C2EE9">
        <w:tc>
          <w:tcPr>
            <w:tcW w:w="2765" w:type="dxa"/>
          </w:tcPr>
          <w:p w14:paraId="12251941" w14:textId="31A48027" w:rsidR="008F4935" w:rsidRPr="008F4935" w:rsidRDefault="00EB10DE" w:rsidP="007C2EE9">
            <w:pPr>
              <w:jc w:val="center"/>
              <w:rPr>
                <w:rFonts w:eastAsiaTheme="minorEastAsia"/>
                <w:szCs w:val="20"/>
              </w:rPr>
            </w:pPr>
            <w:r>
              <w:rPr>
                <w:rFonts w:eastAsiaTheme="minorEastAsia" w:hint="eastAsia"/>
                <w:szCs w:val="20"/>
              </w:rPr>
              <w:t>1</w:t>
            </w:r>
            <w:r>
              <w:rPr>
                <w:rFonts w:eastAsiaTheme="minorEastAsia"/>
                <w:szCs w:val="20"/>
              </w:rPr>
              <w:t>2</w:t>
            </w:r>
          </w:p>
        </w:tc>
        <w:tc>
          <w:tcPr>
            <w:tcW w:w="2765" w:type="dxa"/>
          </w:tcPr>
          <w:p w14:paraId="344698BF" w14:textId="308CDB43" w:rsidR="008F4935" w:rsidRPr="008F4935" w:rsidRDefault="00EB10DE" w:rsidP="007C2EE9">
            <w:pPr>
              <w:jc w:val="left"/>
              <w:rPr>
                <w:rFonts w:eastAsiaTheme="minorEastAsia"/>
                <w:szCs w:val="20"/>
              </w:rPr>
            </w:pPr>
            <w:r w:rsidRPr="003823AA">
              <w:rPr>
                <w:rFonts w:cs="Times New Roman"/>
              </w:rPr>
              <w:t>References</w:t>
            </w:r>
          </w:p>
        </w:tc>
        <w:tc>
          <w:tcPr>
            <w:tcW w:w="2766" w:type="dxa"/>
          </w:tcPr>
          <w:p w14:paraId="135EB1D4" w14:textId="3FDB0065" w:rsidR="008F4935" w:rsidRPr="008F4935" w:rsidRDefault="00EB10DE" w:rsidP="007C2EE9">
            <w:pPr>
              <w:jc w:val="center"/>
              <w:rPr>
                <w:rFonts w:eastAsiaTheme="minorEastAsia"/>
                <w:szCs w:val="20"/>
              </w:rPr>
            </w:pPr>
            <w:r>
              <w:rPr>
                <w:rFonts w:eastAsiaTheme="minorEastAsia" w:hint="eastAsia"/>
                <w:szCs w:val="20"/>
              </w:rPr>
              <w:t>1</w:t>
            </w:r>
            <w:r>
              <w:rPr>
                <w:rFonts w:eastAsiaTheme="minorEastAsia"/>
                <w:szCs w:val="20"/>
              </w:rPr>
              <w:t>5</w:t>
            </w:r>
          </w:p>
        </w:tc>
      </w:tr>
    </w:tbl>
    <w:p w14:paraId="17FFC165" w14:textId="77777777" w:rsidR="007C2EE9" w:rsidRPr="007C2EE9" w:rsidRDefault="007C2EE9" w:rsidP="007C2EE9">
      <w:pPr>
        <w:jc w:val="center"/>
        <w:rPr>
          <w:rFonts w:eastAsiaTheme="minorEastAsia"/>
          <w:b/>
          <w:bCs/>
          <w:sz w:val="32"/>
          <w:szCs w:val="32"/>
        </w:rPr>
      </w:pPr>
    </w:p>
    <w:p w14:paraId="448F8610" w14:textId="77777777" w:rsidR="007C2EE9" w:rsidRDefault="007C2EE9">
      <w:pPr>
        <w:widowControl/>
        <w:jc w:val="left"/>
        <w:rPr>
          <w:b/>
          <w:bCs/>
          <w:szCs w:val="32"/>
        </w:rPr>
      </w:pPr>
      <w:r>
        <w:br w:type="page"/>
      </w:r>
    </w:p>
    <w:p w14:paraId="19206FFD" w14:textId="362BACC3" w:rsidR="007C2EE9" w:rsidRPr="007C2EE9" w:rsidRDefault="007C2EE9" w:rsidP="007C2EE9">
      <w:pPr>
        <w:pStyle w:val="3"/>
        <w:rPr>
          <w:rFonts w:eastAsiaTheme="minorEastAsia"/>
        </w:rPr>
      </w:pPr>
      <w:r>
        <w:lastRenderedPageBreak/>
        <w:t>Supplementary Note 1</w:t>
      </w:r>
    </w:p>
    <w:p w14:paraId="227B29A0" w14:textId="00068094" w:rsidR="00520773" w:rsidRPr="0009324C" w:rsidRDefault="00520773" w:rsidP="007C2EE9">
      <w:pPr>
        <w:rPr>
          <w:rFonts w:cs="Times New Roman"/>
          <w:b/>
          <w:bCs/>
        </w:rPr>
      </w:pPr>
      <w:r w:rsidRPr="0009324C">
        <w:rPr>
          <w:rFonts w:cs="Times New Roman"/>
          <w:b/>
          <w:bCs/>
        </w:rPr>
        <w:t xml:space="preserve">Detailed </w:t>
      </w:r>
      <w:r w:rsidR="0009324C" w:rsidRPr="0009324C">
        <w:rPr>
          <w:rFonts w:eastAsiaTheme="minorEastAsia" w:cs="Times New Roman"/>
          <w:b/>
          <w:bCs/>
        </w:rPr>
        <w:t>i</w:t>
      </w:r>
      <w:r w:rsidRPr="0009324C">
        <w:rPr>
          <w:rFonts w:cs="Times New Roman"/>
          <w:b/>
          <w:bCs/>
        </w:rPr>
        <w:t xml:space="preserve">nclusion and </w:t>
      </w:r>
      <w:r w:rsidR="0009324C" w:rsidRPr="0009324C">
        <w:rPr>
          <w:rFonts w:cs="Times New Roman"/>
          <w:b/>
          <w:bCs/>
        </w:rPr>
        <w:t>e</w:t>
      </w:r>
      <w:r w:rsidRPr="0009324C">
        <w:rPr>
          <w:rFonts w:cs="Times New Roman"/>
          <w:b/>
          <w:bCs/>
        </w:rPr>
        <w:t xml:space="preserve">xclusion </w:t>
      </w:r>
      <w:r w:rsidR="0009324C">
        <w:rPr>
          <w:rFonts w:cs="Times New Roman"/>
          <w:b/>
          <w:bCs/>
        </w:rPr>
        <w:t>c</w:t>
      </w:r>
      <w:r w:rsidRPr="0009324C">
        <w:rPr>
          <w:rFonts w:cs="Times New Roman"/>
          <w:b/>
          <w:bCs/>
        </w:rPr>
        <w:t>riteria</w:t>
      </w:r>
    </w:p>
    <w:p w14:paraId="77C43965" w14:textId="5EFCBAF0" w:rsidR="007A1BDC" w:rsidRPr="007A1BDC" w:rsidRDefault="007A1BDC" w:rsidP="007A1BDC">
      <w:pPr>
        <w:rPr>
          <w:rFonts w:cs="Times New Roman"/>
        </w:rPr>
      </w:pPr>
      <w:r w:rsidRPr="007A1BDC">
        <w:rPr>
          <w:rFonts w:cs="Times New Roman"/>
        </w:rPr>
        <w:t xml:space="preserve">Inclusion criteria were: (a) </w:t>
      </w:r>
      <w:proofErr w:type="spellStart"/>
      <w:r w:rsidRPr="007A1BDC">
        <w:rPr>
          <w:rFonts w:cs="Times New Roman"/>
        </w:rPr>
        <w:t>histopathologically</w:t>
      </w:r>
      <w:proofErr w:type="spellEnd"/>
      <w:r w:rsidRPr="007A1BDC">
        <w:rPr>
          <w:rFonts w:cs="Times New Roman"/>
        </w:rPr>
        <w:t xml:space="preserve"> confirmed rectal adenocarcinoma; (b) availability of both pre-treatment MRI scans (including T2WI, T1WIC, and DWI-ADC sequences) acquired within 1 week before neoadjuvant chemoradiotherapy initiation and pre-treatment biopsy whole slide image (WSI) with haematoxylin and eosin (H&amp;E) staining; (c) tumour lower edge located &lt;15 cm from the anal verge (assessed by MRI); (d)</w:t>
      </w:r>
      <w:r w:rsidR="002D74FA">
        <w:rPr>
          <w:rFonts w:cs="Times New Roman"/>
        </w:rPr>
        <w:t xml:space="preserve"> </w:t>
      </w:r>
      <w:r w:rsidR="002D74FA" w:rsidRPr="002D74FA">
        <w:rPr>
          <w:rFonts w:cs="Times New Roman"/>
        </w:rPr>
        <w:t>clinical tumour staging of cT3-T4 with any nodal status (</w:t>
      </w:r>
      <w:proofErr w:type="spellStart"/>
      <w:r w:rsidR="002D74FA" w:rsidRPr="002D74FA">
        <w:rPr>
          <w:rFonts w:cs="Times New Roman"/>
        </w:rPr>
        <w:t>cNany</w:t>
      </w:r>
      <w:proofErr w:type="spellEnd"/>
      <w:r w:rsidR="002D74FA" w:rsidRPr="002D74FA">
        <w:rPr>
          <w:rFonts w:cs="Times New Roman"/>
        </w:rPr>
        <w:t xml:space="preserve">) or any </w:t>
      </w:r>
      <w:proofErr w:type="spellStart"/>
      <w:r w:rsidR="002D74FA" w:rsidRPr="002D74FA">
        <w:rPr>
          <w:rFonts w:cs="Times New Roman"/>
        </w:rPr>
        <w:t>cT</w:t>
      </w:r>
      <w:proofErr w:type="spellEnd"/>
      <w:r w:rsidR="002D74FA" w:rsidRPr="002D74FA">
        <w:rPr>
          <w:rFonts w:cs="Times New Roman"/>
        </w:rPr>
        <w:t xml:space="preserve"> with positive nodal status (</w:t>
      </w:r>
      <w:proofErr w:type="spellStart"/>
      <w:r w:rsidR="002D74FA" w:rsidRPr="002D74FA">
        <w:rPr>
          <w:rFonts w:cs="Times New Roman"/>
        </w:rPr>
        <w:t>cN</w:t>
      </w:r>
      <w:proofErr w:type="spellEnd"/>
      <w:r w:rsidR="002D74FA" w:rsidRPr="002D74FA">
        <w:rPr>
          <w:rFonts w:cs="Times New Roman"/>
        </w:rPr>
        <w:t xml:space="preserve">+), absence of distant metastases </w:t>
      </w:r>
      <w:r w:rsidRPr="007A1BDC">
        <w:rPr>
          <w:rFonts w:cs="Times New Roman"/>
        </w:rPr>
        <w:t xml:space="preserve"> (assessed by MRI); (e) total </w:t>
      </w:r>
      <w:proofErr w:type="spellStart"/>
      <w:r w:rsidRPr="007A1BDC">
        <w:rPr>
          <w:rFonts w:cs="Times New Roman"/>
        </w:rPr>
        <w:t>mesorectal</w:t>
      </w:r>
      <w:proofErr w:type="spellEnd"/>
      <w:r w:rsidRPr="007A1BDC">
        <w:rPr>
          <w:rFonts w:cs="Times New Roman"/>
        </w:rPr>
        <w:t xml:space="preserve"> excision performed after neoadjuvant chemoradiotherapy; and (f) maximum tumour diameter </w:t>
      </w:r>
      <w:r w:rsidRPr="007A1BDC">
        <w:rPr>
          <w:rFonts w:cs="Times New Roman" w:hint="eastAsia"/>
        </w:rPr>
        <w:t>≥</w:t>
      </w:r>
      <w:r w:rsidRPr="007A1BDC">
        <w:rPr>
          <w:rFonts w:cs="Times New Roman"/>
        </w:rPr>
        <w:t>1 cm.</w:t>
      </w:r>
    </w:p>
    <w:p w14:paraId="299A7DCA" w14:textId="0C6322EE" w:rsidR="00520773" w:rsidRPr="003823AA" w:rsidRDefault="007A1BDC" w:rsidP="007A1BDC">
      <w:pPr>
        <w:ind w:firstLineChars="200" w:firstLine="400"/>
        <w:rPr>
          <w:rFonts w:cs="Times New Roman"/>
        </w:rPr>
      </w:pPr>
      <w:r w:rsidRPr="007A1BDC">
        <w:rPr>
          <w:rFonts w:cs="Times New Roman"/>
        </w:rPr>
        <w:t>Exclusion criteria included: (a) concurrent malignant tumours or previous anticancer treatment history; (b) incomplete neoadjuvant chemoradiotherapy or absence of radical surgery; (c) missing MRI data or insufficient image quality; (d) poor WSI image quality, characterized by noticeable artifacts, noise, distortion, contaminants, or uneven staining; (e) time interval &gt;2 weeks between MRI examination and tissue biopsy; (f) failed MRI image registration or incomplete sequences; and (g) missing or incomplete clinical follow-up data</w:t>
      </w:r>
      <w:r w:rsidR="00520773" w:rsidRPr="003823AA">
        <w:rPr>
          <w:rFonts w:cs="Times New Roman"/>
        </w:rPr>
        <w:t>.</w:t>
      </w:r>
    </w:p>
    <w:p w14:paraId="052C4EF6" w14:textId="77777777" w:rsidR="006D612E" w:rsidRPr="003823AA" w:rsidRDefault="006D612E" w:rsidP="00520773">
      <w:pPr>
        <w:ind w:firstLineChars="200" w:firstLine="400"/>
        <w:rPr>
          <w:rFonts w:cs="Times New Roman"/>
        </w:rPr>
      </w:pPr>
    </w:p>
    <w:p w14:paraId="6EFF73BE" w14:textId="77777777" w:rsidR="007C2EE9" w:rsidRDefault="007C2EE9">
      <w:pPr>
        <w:widowControl/>
        <w:jc w:val="left"/>
        <w:rPr>
          <w:b/>
          <w:bCs/>
          <w:szCs w:val="32"/>
        </w:rPr>
      </w:pPr>
      <w:r>
        <w:br w:type="page"/>
      </w:r>
    </w:p>
    <w:p w14:paraId="0B0AD7E0" w14:textId="02E55C6D" w:rsidR="00F674A4" w:rsidRPr="007C2EE9" w:rsidRDefault="007C2EE9" w:rsidP="00D65AD4">
      <w:pPr>
        <w:pStyle w:val="3"/>
        <w:rPr>
          <w:rFonts w:eastAsiaTheme="minorEastAsia"/>
        </w:rPr>
      </w:pPr>
      <w:r>
        <w:lastRenderedPageBreak/>
        <w:t xml:space="preserve">Supplementary Note 2 </w:t>
      </w:r>
      <w:r>
        <w:rPr>
          <w:rFonts w:eastAsiaTheme="minorEastAsia" w:hint="eastAsia"/>
        </w:rPr>
        <w:t>(</w:t>
      </w:r>
      <w:r w:rsidR="00EB0B10" w:rsidRPr="003823AA">
        <w:rPr>
          <w:rFonts w:cs="Times New Roman"/>
        </w:rPr>
        <w:t xml:space="preserve">Details of </w:t>
      </w:r>
      <w:r w:rsidR="0009324C">
        <w:rPr>
          <w:rFonts w:cs="Times New Roman"/>
        </w:rPr>
        <w:t>d</w:t>
      </w:r>
      <w:r w:rsidR="00EB0B10" w:rsidRPr="003823AA">
        <w:rPr>
          <w:rFonts w:cs="Times New Roman"/>
        </w:rPr>
        <w:t xml:space="preserve">ata </w:t>
      </w:r>
      <w:r w:rsidR="0009324C">
        <w:rPr>
          <w:rFonts w:cs="Times New Roman"/>
        </w:rPr>
        <w:t>c</w:t>
      </w:r>
      <w:r w:rsidR="00EB0B10" w:rsidRPr="003823AA">
        <w:rPr>
          <w:rFonts w:cs="Times New Roman"/>
        </w:rPr>
        <w:t xml:space="preserve">ollection and </w:t>
      </w:r>
      <w:r w:rsidR="0009324C">
        <w:rPr>
          <w:rFonts w:cs="Times New Roman"/>
        </w:rPr>
        <w:t>p</w:t>
      </w:r>
      <w:r w:rsidR="00EB0B10" w:rsidRPr="003823AA">
        <w:rPr>
          <w:rFonts w:cs="Times New Roman"/>
        </w:rPr>
        <w:t>rocessing</w:t>
      </w:r>
      <w:r>
        <w:rPr>
          <w:rFonts w:cs="Times New Roman"/>
        </w:rPr>
        <w:t>)</w:t>
      </w:r>
    </w:p>
    <w:p w14:paraId="49774759" w14:textId="2DF906B1" w:rsidR="00F674A4" w:rsidRPr="003823AA" w:rsidRDefault="00F674A4" w:rsidP="00F674A4">
      <w:pPr>
        <w:rPr>
          <w:rFonts w:cs="Times New Roman"/>
          <w:b/>
          <w:bCs/>
        </w:rPr>
      </w:pPr>
      <w:r w:rsidRPr="003823AA">
        <w:rPr>
          <w:rFonts w:cs="Times New Roman"/>
          <w:b/>
          <w:bCs/>
        </w:rPr>
        <w:t xml:space="preserve">MRI </w:t>
      </w:r>
      <w:r w:rsidR="0009324C">
        <w:rPr>
          <w:rFonts w:cs="Times New Roman"/>
          <w:b/>
          <w:bCs/>
        </w:rPr>
        <w:t>i</w:t>
      </w:r>
      <w:r w:rsidRPr="003823AA">
        <w:rPr>
          <w:rFonts w:cs="Times New Roman"/>
          <w:b/>
          <w:bCs/>
        </w:rPr>
        <w:t xml:space="preserve">mage </w:t>
      </w:r>
      <w:r w:rsidR="0009324C">
        <w:rPr>
          <w:rFonts w:cs="Times New Roman"/>
          <w:b/>
          <w:bCs/>
        </w:rPr>
        <w:t>a</w:t>
      </w:r>
      <w:r w:rsidRPr="003823AA">
        <w:rPr>
          <w:rFonts w:cs="Times New Roman"/>
          <w:b/>
          <w:bCs/>
        </w:rPr>
        <w:t xml:space="preserve">cquisition and </w:t>
      </w:r>
      <w:r w:rsidR="0009324C">
        <w:rPr>
          <w:rFonts w:cs="Times New Roman"/>
          <w:b/>
          <w:bCs/>
        </w:rPr>
        <w:t>p</w:t>
      </w:r>
      <w:r w:rsidRPr="003823AA">
        <w:rPr>
          <w:rFonts w:cs="Times New Roman"/>
          <w:b/>
          <w:bCs/>
        </w:rPr>
        <w:t>rocessing</w:t>
      </w:r>
    </w:p>
    <w:p w14:paraId="7FF8FCE4" w14:textId="172C53EF" w:rsidR="00F674A4" w:rsidRPr="003823AA" w:rsidRDefault="00F674A4" w:rsidP="007C2EE9">
      <w:pPr>
        <w:rPr>
          <w:rFonts w:cs="Times New Roman"/>
        </w:rPr>
      </w:pPr>
      <w:r w:rsidRPr="003823AA">
        <w:rPr>
          <w:rFonts w:cs="Times New Roman"/>
        </w:rPr>
        <w:t xml:space="preserve">All patients underwent multiparametric MRI examinations 1-2 weeks </w:t>
      </w:r>
      <w:r w:rsidR="00804D51">
        <w:rPr>
          <w:rFonts w:cs="Times New Roman"/>
        </w:rPr>
        <w:t>before</w:t>
      </w:r>
      <w:r w:rsidRPr="003823AA">
        <w:rPr>
          <w:rFonts w:cs="Times New Roman"/>
        </w:rPr>
        <w:t xml:space="preserve"> treatment initiation. Imaging was performed using 1.5T or 3.0T scanners from multiple vendors, including GE Healthcare and SIEMENS </w:t>
      </w:r>
      <w:proofErr w:type="spellStart"/>
      <w:r w:rsidRPr="003823AA">
        <w:rPr>
          <w:rFonts w:cs="Times New Roman"/>
        </w:rPr>
        <w:t>Healthineers</w:t>
      </w:r>
      <w:proofErr w:type="spellEnd"/>
      <w:r w:rsidRPr="003823AA">
        <w:rPr>
          <w:rFonts w:cs="Times New Roman"/>
        </w:rPr>
        <w:t xml:space="preserve">. </w:t>
      </w:r>
      <w:r w:rsidR="009135B3">
        <w:rPr>
          <w:rFonts w:cs="Times New Roman"/>
        </w:rPr>
        <w:t>Standardised</w:t>
      </w:r>
      <w:r w:rsidRPr="003823AA">
        <w:rPr>
          <w:rFonts w:cs="Times New Roman"/>
        </w:rPr>
        <w:t xml:space="preserve"> imaging protocols were employed across all </w:t>
      </w:r>
      <w:r w:rsidR="00517B8E" w:rsidRPr="003823AA">
        <w:rPr>
          <w:rFonts w:cs="Times New Roman"/>
        </w:rPr>
        <w:t>centre</w:t>
      </w:r>
      <w:r w:rsidRPr="003823AA">
        <w:rPr>
          <w:rFonts w:cs="Times New Roman"/>
        </w:rPr>
        <w:t xml:space="preserve">s (detailed parameters provided in Table S1), with each patient receiving T2-weighted imaging (T2WI), </w:t>
      </w:r>
      <w:r w:rsidR="00274C27" w:rsidRPr="003823AA">
        <w:rPr>
          <w:rFonts w:cs="Times New Roman"/>
        </w:rPr>
        <w:t>T1-weighted imaging with contrast enhancement</w:t>
      </w:r>
      <w:r w:rsidRPr="003823AA">
        <w:rPr>
          <w:rFonts w:cs="Times New Roman"/>
        </w:rPr>
        <w:t xml:space="preserve"> (T1WIC), and </w:t>
      </w:r>
      <w:r w:rsidR="003823AA" w:rsidRPr="003823AA">
        <w:rPr>
          <w:rFonts w:cs="Times New Roman"/>
        </w:rPr>
        <w:t>diffusion-weighted imaging with apparent diffusion coefficient maps (DWI-ADC)</w:t>
      </w:r>
      <w:r w:rsidRPr="003823AA">
        <w:rPr>
          <w:rFonts w:cs="Times New Roman"/>
        </w:rPr>
        <w:t xml:space="preserve"> sequences. All images were acquired in DICOM format and converted to </w:t>
      </w:r>
      <w:proofErr w:type="spellStart"/>
      <w:r w:rsidRPr="003823AA">
        <w:rPr>
          <w:rFonts w:cs="Times New Roman"/>
        </w:rPr>
        <w:t>NIfTI</w:t>
      </w:r>
      <w:proofErr w:type="spellEnd"/>
      <w:r w:rsidRPr="003823AA">
        <w:rPr>
          <w:rFonts w:cs="Times New Roman"/>
        </w:rPr>
        <w:t xml:space="preserve"> format using the </w:t>
      </w:r>
      <w:proofErr w:type="spellStart"/>
      <w:r w:rsidRPr="003823AA">
        <w:rPr>
          <w:rFonts w:cs="Times New Roman"/>
        </w:rPr>
        <w:t>SimpleITK</w:t>
      </w:r>
      <w:proofErr w:type="spellEnd"/>
      <w:r w:rsidRPr="003823AA">
        <w:rPr>
          <w:rFonts w:cs="Times New Roman"/>
        </w:rPr>
        <w:t xml:space="preserve"> library.</w:t>
      </w:r>
    </w:p>
    <w:p w14:paraId="0E0AB5AF" w14:textId="5DEB930A" w:rsidR="00F674A4" w:rsidRPr="003823AA" w:rsidRDefault="00F674A4" w:rsidP="00F674A4">
      <w:pPr>
        <w:ind w:firstLineChars="200" w:firstLine="400"/>
        <w:rPr>
          <w:rFonts w:cs="Times New Roman"/>
        </w:rPr>
      </w:pPr>
      <w:r w:rsidRPr="003823AA">
        <w:rPr>
          <w:rFonts w:cs="Times New Roman"/>
        </w:rPr>
        <w:t>For tumo</w:t>
      </w:r>
      <w:r w:rsidR="008D2EE3" w:rsidRPr="003823AA">
        <w:rPr>
          <w:rFonts w:cs="Times New Roman"/>
        </w:rPr>
        <w:t>u</w:t>
      </w:r>
      <w:r w:rsidRPr="003823AA">
        <w:rPr>
          <w:rFonts w:cs="Times New Roman"/>
        </w:rPr>
        <w:t>r segmentation and registration, the training subset (n=486) was manually annotated by two experienced radiologists who consensually delineated tumo</w:t>
      </w:r>
      <w:r w:rsidR="008D2EE3" w:rsidRPr="003823AA">
        <w:rPr>
          <w:rFonts w:cs="Times New Roman"/>
        </w:rPr>
        <w:t>u</w:t>
      </w:r>
      <w:r w:rsidRPr="003823AA">
        <w:rPr>
          <w:rFonts w:cs="Times New Roman"/>
        </w:rPr>
        <w:t>r regions of interest (ROIs) on T2WI sequences using ITK-SNAP software. All annotations were reviewed by a senior radiologist with over 10 years of experience in rectal cancer imaging. An nnU-Net</w:t>
      </w:r>
      <w:r w:rsidR="00F45227" w:rsidRPr="003823AA">
        <w:rPr>
          <w:rFonts w:cs="Times New Roman"/>
        </w:rPr>
        <w:fldChar w:fldCharType="begin"/>
      </w:r>
      <w:r w:rsidR="0037711F" w:rsidRPr="003823AA">
        <w:rPr>
          <w:rFonts w:cs="Times New Roman"/>
        </w:rPr>
        <w:instrText xml:space="preserve"> ADDIN ZOTERO_ITEM CSL_CITATION {"citationID":"QDo3PqlW","properties":{"formattedCitation":"\\super 1\\nosupersub{}","plainCitation":"1","noteIndex":0},"citationItems":[{"id":67,"uris":["http://zotero.org/users/8611689/items/LLCKPK79"],"itemData":{"id":67,"type":"article-journal","container-title":"Nature Methods","DOI":"10.1038/s41592-020-01008-z","ISSN":"1548-7091, 1548-7105","issue":"2","journalAbbreviation":"Nat Methods","language":"en","note":"JCR</w:instrText>
      </w:r>
      <w:r w:rsidR="0037711F" w:rsidRPr="003823AA">
        <w:rPr>
          <w:rFonts w:eastAsia="宋体" w:cs="Times New Roman"/>
        </w:rPr>
        <w:instrText>分区</w:instrText>
      </w:r>
      <w:r w:rsidR="0037711F" w:rsidRPr="003823AA">
        <w:rPr>
          <w:rFonts w:cs="Times New Roman"/>
        </w:rPr>
        <w:instrText>: Q1\n</w:instrText>
      </w:r>
      <w:r w:rsidR="0037711F" w:rsidRPr="003823AA">
        <w:rPr>
          <w:rFonts w:eastAsia="宋体" w:cs="Times New Roman"/>
        </w:rPr>
        <w:instrText>中科院分区升级版</w:instrText>
      </w:r>
      <w:r w:rsidR="0037711F" w:rsidRPr="003823AA">
        <w:rPr>
          <w:rFonts w:cs="Times New Roman"/>
        </w:rPr>
        <w:instrText xml:space="preserve">: </w:instrText>
      </w:r>
      <w:r w:rsidR="0037711F" w:rsidRPr="003823AA">
        <w:rPr>
          <w:rFonts w:eastAsia="宋体" w:cs="Times New Roman"/>
        </w:rPr>
        <w:instrText>生物学</w:instrText>
      </w:r>
      <w:r w:rsidR="0037711F" w:rsidRPr="003823AA">
        <w:rPr>
          <w:rFonts w:cs="Times New Roman"/>
        </w:rPr>
        <w:instrText>1</w:instrText>
      </w:r>
      <w:r w:rsidR="0037711F" w:rsidRPr="003823AA">
        <w:rPr>
          <w:rFonts w:eastAsia="宋体" w:cs="Times New Roman"/>
        </w:rPr>
        <w:instrText>区</w:instrText>
      </w:r>
      <w:r w:rsidR="0037711F" w:rsidRPr="003823AA">
        <w:rPr>
          <w:rFonts w:cs="Times New Roman"/>
        </w:rPr>
        <w:instrText>\n</w:instrText>
      </w:r>
      <w:r w:rsidR="0037711F" w:rsidRPr="003823AA">
        <w:rPr>
          <w:rFonts w:eastAsia="宋体" w:cs="Times New Roman"/>
        </w:rPr>
        <w:instrText>影响因子</w:instrText>
      </w:r>
      <w:r w:rsidR="0037711F" w:rsidRPr="003823AA">
        <w:rPr>
          <w:rFonts w:cs="Times New Roman"/>
        </w:rPr>
        <w:instrText>: 36.1\n</w:instrText>
      </w:r>
      <w:r w:rsidR="0037711F" w:rsidRPr="003823AA">
        <w:rPr>
          <w:rFonts w:eastAsia="宋体" w:cs="Times New Roman"/>
        </w:rPr>
        <w:instrText>南农高质量</w:instrText>
      </w:r>
      <w:r w:rsidR="0037711F" w:rsidRPr="003823AA">
        <w:rPr>
          <w:rFonts w:cs="Times New Roman"/>
        </w:rPr>
        <w:instrText xml:space="preserve">: A","page":"203-211","source":"DOI.org (Crossref)","title":"nnU-net: A self-configuring method for deep learning-based biomedical image segmentation","title-short":"nnU-Net","volume":"18","author":[{"family":"Isensee","given":"Fabian"},{"family":"Jaeger","given":"Paul F."},{"family":"Kohl","given":"Simon A. A."},{"family":"Petersen","given":"Jens"},{"family":"Maier-Hein","given":"Klaus H."}],"issued":{"date-parts":[["2021",2]]}}}],"schema":"https://github.com/citation-style-language/schema/raw/master/csl-citation.json"} </w:instrText>
      </w:r>
      <w:r w:rsidR="00F45227" w:rsidRPr="003823AA">
        <w:rPr>
          <w:rFonts w:cs="Times New Roman"/>
        </w:rPr>
        <w:fldChar w:fldCharType="separate"/>
      </w:r>
      <w:r w:rsidR="003E540D" w:rsidRPr="003E540D">
        <w:rPr>
          <w:rFonts w:cs="Times New Roman"/>
          <w:kern w:val="0"/>
          <w:szCs w:val="24"/>
          <w:vertAlign w:val="superscript"/>
        </w:rPr>
        <w:t>1</w:t>
      </w:r>
      <w:r w:rsidR="00F45227" w:rsidRPr="003823AA">
        <w:rPr>
          <w:rFonts w:cs="Times New Roman"/>
        </w:rPr>
        <w:fldChar w:fldCharType="end"/>
      </w:r>
      <w:r w:rsidRPr="003823AA">
        <w:rPr>
          <w:rFonts w:cs="Times New Roman"/>
        </w:rPr>
        <w:t xml:space="preserve"> model was trained on this annotated subset and subsequently applied for automatic segmentation of the remaining T2WI images. Manual registration techniques were employed to identify corresponding maximum tumo</w:t>
      </w:r>
      <w:r w:rsidR="008D2EE3" w:rsidRPr="003823AA">
        <w:rPr>
          <w:rFonts w:cs="Times New Roman"/>
        </w:rPr>
        <w:t>u</w:t>
      </w:r>
      <w:r w:rsidRPr="003823AA">
        <w:rPr>
          <w:rFonts w:cs="Times New Roman"/>
        </w:rPr>
        <w:t>r cross-sections in T1WIC and ADC sequences.</w:t>
      </w:r>
    </w:p>
    <w:p w14:paraId="4BE8C1FB" w14:textId="27C6EF2F" w:rsidR="00F674A4" w:rsidRPr="003823AA" w:rsidRDefault="00F674A4" w:rsidP="00F674A4">
      <w:pPr>
        <w:ind w:firstLineChars="200" w:firstLine="400"/>
        <w:rPr>
          <w:rFonts w:cs="Times New Roman"/>
        </w:rPr>
      </w:pPr>
      <w:r w:rsidRPr="003823AA">
        <w:rPr>
          <w:rFonts w:cs="Times New Roman"/>
        </w:rPr>
        <w:t>Image pre</w:t>
      </w:r>
      <w:r w:rsidR="008D2EE3" w:rsidRPr="003823AA">
        <w:rPr>
          <w:rFonts w:cs="Times New Roman"/>
        </w:rPr>
        <w:t>-</w:t>
      </w:r>
      <w:r w:rsidRPr="003823AA">
        <w:rPr>
          <w:rFonts w:cs="Times New Roman"/>
        </w:rPr>
        <w:t>processing and format conversion comprised four sequential steps: (1) image dimensions were standardized to 224×224 pixels using cubic interpolation to preserve image quality; (2) intensity normalization linearly scaled pixel values to the 0</w:t>
      </w:r>
      <w:r w:rsidR="00277A70" w:rsidRPr="003823AA">
        <w:rPr>
          <w:rFonts w:cs="Times New Roman"/>
          <w:sz w:val="16"/>
          <w:szCs w:val="16"/>
        </w:rPr>
        <w:t>–</w:t>
      </w:r>
      <w:r w:rsidRPr="003823AA">
        <w:rPr>
          <w:rFonts w:cs="Times New Roman"/>
        </w:rPr>
        <w:t>1 range; (3) single-channel medical images were replicated three times along the channel dimension to generate 224×224×3 tensor format, matching RGB input requirements of pretrained deep learning models; and (4) tensor dimensions were rearranged to (channel, height, width) format.</w:t>
      </w:r>
    </w:p>
    <w:p w14:paraId="3B6697FF" w14:textId="3EC4989C" w:rsidR="00F674A4" w:rsidRPr="003823AA" w:rsidRDefault="00F674A4" w:rsidP="00F674A4">
      <w:pPr>
        <w:ind w:firstLineChars="200" w:firstLine="400"/>
        <w:rPr>
          <w:rFonts w:cs="Times New Roman"/>
        </w:rPr>
      </w:pPr>
      <w:r w:rsidRPr="003823AA">
        <w:rPr>
          <w:rFonts w:cs="Times New Roman"/>
        </w:rPr>
        <w:t>MRI data augmentation strategies during training included: intensity standardization to ensure pixel value distribution consistency; random horizontal flipping (50% probability) to simulate patient positioning variations; random rotation transformations (50% probability, ±15° range) to increase geometric diversity; and random zero-value masking (30% probability) to enhance model tolerance to image artifacts</w:t>
      </w:r>
      <w:r w:rsidR="00804D51">
        <w:rPr>
          <w:rFonts w:cs="Times New Roman"/>
        </w:rPr>
        <w:t>—validation</w:t>
      </w:r>
      <w:r w:rsidRPr="003823AA">
        <w:rPr>
          <w:rFonts w:cs="Times New Roman"/>
        </w:rPr>
        <w:t xml:space="preserve"> and testing phases employed only intensity standardization and dimension adjustment.</w:t>
      </w:r>
    </w:p>
    <w:p w14:paraId="69E1D4FF" w14:textId="3DBAE96B" w:rsidR="00F674A4" w:rsidRPr="003823AA" w:rsidRDefault="00F674A4" w:rsidP="00F674A4">
      <w:pPr>
        <w:rPr>
          <w:rFonts w:cs="Times New Roman"/>
          <w:b/>
          <w:bCs/>
        </w:rPr>
      </w:pPr>
      <w:r w:rsidRPr="003823AA">
        <w:rPr>
          <w:rFonts w:cs="Times New Roman"/>
          <w:b/>
          <w:bCs/>
        </w:rPr>
        <w:t xml:space="preserve">Pathological </w:t>
      </w:r>
      <w:r w:rsidR="0009324C">
        <w:rPr>
          <w:rFonts w:cs="Times New Roman"/>
          <w:b/>
          <w:bCs/>
        </w:rPr>
        <w:t>i</w:t>
      </w:r>
      <w:r w:rsidRPr="003823AA">
        <w:rPr>
          <w:rFonts w:cs="Times New Roman"/>
          <w:b/>
          <w:bCs/>
        </w:rPr>
        <w:t xml:space="preserve">mage </w:t>
      </w:r>
      <w:r w:rsidR="0009324C">
        <w:rPr>
          <w:rFonts w:cs="Times New Roman"/>
          <w:b/>
          <w:bCs/>
        </w:rPr>
        <w:t>a</w:t>
      </w:r>
      <w:r w:rsidRPr="003823AA">
        <w:rPr>
          <w:rFonts w:cs="Times New Roman"/>
          <w:b/>
          <w:bCs/>
        </w:rPr>
        <w:t xml:space="preserve">cquisition and </w:t>
      </w:r>
      <w:r w:rsidR="0009324C">
        <w:rPr>
          <w:rFonts w:cs="Times New Roman"/>
          <w:b/>
          <w:bCs/>
        </w:rPr>
        <w:t>p</w:t>
      </w:r>
      <w:r w:rsidRPr="003823AA">
        <w:rPr>
          <w:rFonts w:cs="Times New Roman"/>
          <w:b/>
          <w:bCs/>
        </w:rPr>
        <w:t>rocessing</w:t>
      </w:r>
    </w:p>
    <w:p w14:paraId="3F4329DC" w14:textId="2D3F3457" w:rsidR="00B576A9" w:rsidRPr="003823AA" w:rsidRDefault="00F674A4" w:rsidP="007C2EE9">
      <w:pPr>
        <w:rPr>
          <w:rFonts w:cs="Times New Roman"/>
        </w:rPr>
      </w:pPr>
      <w:r w:rsidRPr="003823AA">
        <w:rPr>
          <w:rFonts w:cs="Times New Roman"/>
        </w:rPr>
        <w:t xml:space="preserve">All pathological specimens were derived from endoscopic biopsy tissues obtained </w:t>
      </w:r>
      <w:r w:rsidR="00804D51">
        <w:rPr>
          <w:rFonts w:cs="Times New Roman"/>
        </w:rPr>
        <w:t>before</w:t>
      </w:r>
      <w:r w:rsidRPr="003823AA">
        <w:rPr>
          <w:rFonts w:cs="Times New Roman"/>
        </w:rPr>
        <w:t xml:space="preserve"> treatment and processed with standard </w:t>
      </w:r>
      <w:r w:rsidR="00517B8E" w:rsidRPr="003823AA">
        <w:rPr>
          <w:rFonts w:cs="Times New Roman"/>
        </w:rPr>
        <w:t>haematoxylin</w:t>
      </w:r>
      <w:r w:rsidRPr="003823AA">
        <w:rPr>
          <w:rFonts w:cs="Times New Roman"/>
        </w:rPr>
        <w:t xml:space="preserve"> and eosin (H&amp;E) staining to create histological slides. </w:t>
      </w:r>
    </w:p>
    <w:p w14:paraId="17B51FCB" w14:textId="606BE66C" w:rsidR="00F674A4" w:rsidRPr="003823AA" w:rsidRDefault="00F674A4" w:rsidP="00F674A4">
      <w:pPr>
        <w:ind w:firstLineChars="200" w:firstLine="400"/>
        <w:rPr>
          <w:rFonts w:cs="Times New Roman"/>
        </w:rPr>
      </w:pPr>
      <w:r w:rsidRPr="003823AA">
        <w:rPr>
          <w:rFonts w:cs="Times New Roman"/>
        </w:rPr>
        <w:t xml:space="preserve">WSI specimens were </w:t>
      </w:r>
      <w:r w:rsidR="009135B3">
        <w:rPr>
          <w:rFonts w:cs="Times New Roman"/>
        </w:rPr>
        <w:t>digitised</w:t>
      </w:r>
      <w:r w:rsidRPr="003823AA">
        <w:rPr>
          <w:rFonts w:cs="Times New Roman"/>
        </w:rPr>
        <w:t xml:space="preserve"> at 40× magnification using the CLAM</w:t>
      </w:r>
      <w:r w:rsidR="00F45227" w:rsidRPr="003823AA">
        <w:rPr>
          <w:rFonts w:cs="Times New Roman"/>
        </w:rPr>
        <w:fldChar w:fldCharType="begin"/>
      </w:r>
      <w:r w:rsidR="0037711F" w:rsidRPr="003823AA">
        <w:rPr>
          <w:rFonts w:cs="Times New Roman"/>
        </w:rPr>
        <w:instrText xml:space="preserve"> ADDIN ZOTERO_ITEM CSL_CITATION {"citationID":"zS4j4PVV","properties":{"formattedCitation":"\\super 2\\nosupersub{}","plainCitation":"2","noteIndex":0},"citationItems":[{"id":56,"uris":["http://zotero.org/users/8611689/items/RMABAKLE"],"itemData":{"id":56,"type":"article-journal","container-title":"Nature Biomedical Engineering","DOI":"10.1038/s41551-020-00682-w","ISSN":"2157-846X","issue":"6","journalAbbreviation":"Nat Biomed Eng","language":"en","note":"JCR</w:instrText>
      </w:r>
      <w:r w:rsidR="0037711F" w:rsidRPr="003823AA">
        <w:rPr>
          <w:rFonts w:eastAsia="宋体" w:cs="Times New Roman"/>
        </w:rPr>
        <w:instrText>分区</w:instrText>
      </w:r>
      <w:r w:rsidR="0037711F" w:rsidRPr="003823AA">
        <w:rPr>
          <w:rFonts w:cs="Times New Roman"/>
        </w:rPr>
        <w:instrText>: Q1\n</w:instrText>
      </w:r>
      <w:r w:rsidR="0037711F" w:rsidRPr="003823AA">
        <w:rPr>
          <w:rFonts w:eastAsia="宋体" w:cs="Times New Roman"/>
        </w:rPr>
        <w:instrText>中科院分区升级版</w:instrText>
      </w:r>
      <w:r w:rsidR="0037711F" w:rsidRPr="003823AA">
        <w:rPr>
          <w:rFonts w:cs="Times New Roman"/>
        </w:rPr>
        <w:instrText xml:space="preserve">: </w:instrText>
      </w:r>
      <w:r w:rsidR="0037711F" w:rsidRPr="003823AA">
        <w:rPr>
          <w:rFonts w:eastAsia="宋体" w:cs="Times New Roman"/>
        </w:rPr>
        <w:instrText>医学</w:instrText>
      </w:r>
      <w:r w:rsidR="0037711F" w:rsidRPr="003823AA">
        <w:rPr>
          <w:rFonts w:cs="Times New Roman"/>
        </w:rPr>
        <w:instrText>1</w:instrText>
      </w:r>
      <w:r w:rsidR="0037711F" w:rsidRPr="003823AA">
        <w:rPr>
          <w:rFonts w:eastAsia="宋体" w:cs="Times New Roman"/>
        </w:rPr>
        <w:instrText>区</w:instrText>
      </w:r>
      <w:r w:rsidR="0037711F" w:rsidRPr="003823AA">
        <w:rPr>
          <w:rFonts w:cs="Times New Roman"/>
        </w:rPr>
        <w:instrText>\n</w:instrText>
      </w:r>
      <w:r w:rsidR="0037711F" w:rsidRPr="003823AA">
        <w:rPr>
          <w:rFonts w:eastAsia="宋体" w:cs="Times New Roman"/>
        </w:rPr>
        <w:instrText>影响因子</w:instrText>
      </w:r>
      <w:r w:rsidR="0037711F" w:rsidRPr="003823AA">
        <w:rPr>
          <w:rFonts w:cs="Times New Roman"/>
        </w:rPr>
        <w:instrText>: 26.8\n</w:instrText>
      </w:r>
      <w:r w:rsidR="0037711F" w:rsidRPr="003823AA">
        <w:rPr>
          <w:rFonts w:eastAsia="宋体" w:cs="Times New Roman"/>
        </w:rPr>
        <w:instrText>南农高质量</w:instrText>
      </w:r>
      <w:r w:rsidR="0037711F" w:rsidRPr="003823AA">
        <w:rPr>
          <w:rFonts w:cs="Times New Roman"/>
        </w:rPr>
        <w:instrText xml:space="preserve">: A","page":"555-570","source":"DOI.org (Crossref)","title":"Data-efficient and weakly supervised computational pathology on whole-slide images","volume":"5","author":[{"family":"Lu","given":"Ming Y."},{"family":"Williamson","given":"Drew F. K."},{"family":"Chen","given":"Tiffany Y."},{"family":"Chen","given":"Richard J."},{"family":"Barbieri","given":"Matteo"},{"family":"Mahmood","given":"Faisal"}],"issued":{"date-parts":[["2021",3,1]]}}}],"schema":"https://github.com/citation-style-language/schema/raw/master/csl-citation.json"} </w:instrText>
      </w:r>
      <w:r w:rsidR="00F45227" w:rsidRPr="003823AA">
        <w:rPr>
          <w:rFonts w:cs="Times New Roman"/>
        </w:rPr>
        <w:fldChar w:fldCharType="separate"/>
      </w:r>
      <w:r w:rsidR="003E540D" w:rsidRPr="003E540D">
        <w:rPr>
          <w:rFonts w:cs="Times New Roman"/>
          <w:kern w:val="0"/>
          <w:szCs w:val="24"/>
          <w:vertAlign w:val="superscript"/>
        </w:rPr>
        <w:t>2</w:t>
      </w:r>
      <w:r w:rsidR="00F45227" w:rsidRPr="003823AA">
        <w:rPr>
          <w:rFonts w:cs="Times New Roman"/>
        </w:rPr>
        <w:fldChar w:fldCharType="end"/>
      </w:r>
      <w:r w:rsidRPr="003823AA">
        <w:rPr>
          <w:rFonts w:cs="Times New Roman"/>
        </w:rPr>
        <w:t xml:space="preserve"> framework for automated analysis. Automatic foreground segmentation initially converted original RGB images to HSV colo</w:t>
      </w:r>
      <w:r w:rsidR="008D2EE3" w:rsidRPr="003823AA">
        <w:rPr>
          <w:rFonts w:cs="Times New Roman"/>
        </w:rPr>
        <w:t>u</w:t>
      </w:r>
      <w:r w:rsidRPr="003823AA">
        <w:rPr>
          <w:rFonts w:cs="Times New Roman"/>
        </w:rPr>
        <w:t xml:space="preserve">r space, </w:t>
      </w:r>
      <w:r w:rsidR="009135B3">
        <w:rPr>
          <w:rFonts w:cs="Times New Roman"/>
        </w:rPr>
        <w:t>utilising</w:t>
      </w:r>
      <w:r w:rsidRPr="003823AA">
        <w:rPr>
          <w:rFonts w:cs="Times New Roman"/>
        </w:rPr>
        <w:t xml:space="preserve"> saturation channel thresholding (threshold=0</w:t>
      </w:r>
      <w:r w:rsidR="00AC17D5">
        <w:rPr>
          <w:rFonts w:eastAsia="等线" w:cs="Times New Roman"/>
          <w:color w:val="000000"/>
          <w:sz w:val="16"/>
          <w:szCs w:val="16"/>
        </w:rPr>
        <w:t>.</w:t>
      </w:r>
      <w:r w:rsidRPr="003823AA">
        <w:rPr>
          <w:rFonts w:cs="Times New Roman"/>
        </w:rPr>
        <w:t xml:space="preserve">2) to identify H&amp;E-stained tissue regions. Subsequently, morphological opening and closing operations were applied to remove noise and fill small gaps, followed by area-based filtering (&gt;500 pixels) to eliminate </w:t>
      </w:r>
      <w:r w:rsidR="009135B3">
        <w:rPr>
          <w:rFonts w:cs="Times New Roman"/>
        </w:rPr>
        <w:t>artefacts</w:t>
      </w:r>
      <w:r w:rsidRPr="003823AA">
        <w:rPr>
          <w:rFonts w:cs="Times New Roman"/>
        </w:rPr>
        <w:t>.</w:t>
      </w:r>
    </w:p>
    <w:p w14:paraId="1A916A77" w14:textId="0EE4691F" w:rsidR="00F674A4" w:rsidRPr="003823AA" w:rsidRDefault="00F674A4" w:rsidP="00213D20">
      <w:pPr>
        <w:ind w:firstLineChars="200" w:firstLine="400"/>
        <w:rPr>
          <w:rFonts w:cs="Times New Roman"/>
        </w:rPr>
      </w:pPr>
      <w:r w:rsidRPr="003823AA">
        <w:rPr>
          <w:rFonts w:cs="Times New Roman"/>
        </w:rPr>
        <w:t xml:space="preserve">Patch extraction within identified tissue regions employed a sliding window approach to extract 256×256pixel non-overlapping patches. Each patient was randomly sampled for 10,000 patches to ensure representative coverage. ImageNet-pretrained ResNet-50 served as the feature extraction backbone, generating 2048-dimensional feature vectors with L2 </w:t>
      </w:r>
      <w:r w:rsidR="009135B3">
        <w:rPr>
          <w:rFonts w:cs="Times New Roman"/>
        </w:rPr>
        <w:t>normalisation</w:t>
      </w:r>
      <w:r w:rsidRPr="003823AA">
        <w:rPr>
          <w:rFonts w:cs="Times New Roman"/>
        </w:rPr>
        <w:t>.</w:t>
      </w:r>
    </w:p>
    <w:p w14:paraId="57AE2827" w14:textId="7CECE3B9" w:rsidR="00F674A4" w:rsidRPr="003823AA" w:rsidRDefault="00F674A4" w:rsidP="00F674A4">
      <w:pPr>
        <w:rPr>
          <w:rFonts w:cs="Times New Roman"/>
          <w:b/>
          <w:bCs/>
        </w:rPr>
      </w:pPr>
      <w:r w:rsidRPr="003823AA">
        <w:rPr>
          <w:rFonts w:cs="Times New Roman"/>
          <w:b/>
          <w:bCs/>
        </w:rPr>
        <w:t xml:space="preserve">Clinical </w:t>
      </w:r>
      <w:r w:rsidR="0009324C">
        <w:rPr>
          <w:rFonts w:cs="Times New Roman"/>
          <w:b/>
          <w:bCs/>
        </w:rPr>
        <w:t>d</w:t>
      </w:r>
      <w:r w:rsidR="00804D51">
        <w:rPr>
          <w:rFonts w:cs="Times New Roman"/>
          <w:b/>
          <w:bCs/>
        </w:rPr>
        <w:t>ata</w:t>
      </w:r>
      <w:r w:rsidR="006C21A2" w:rsidRPr="003823AA">
        <w:rPr>
          <w:rFonts w:cs="Times New Roman"/>
          <w:b/>
          <w:bCs/>
        </w:rPr>
        <w:t xml:space="preserve"> </w:t>
      </w:r>
      <w:r w:rsidR="0009324C">
        <w:rPr>
          <w:rFonts w:cs="Times New Roman"/>
          <w:b/>
          <w:bCs/>
        </w:rPr>
        <w:t>a</w:t>
      </w:r>
      <w:r w:rsidR="00B576A9" w:rsidRPr="003823AA">
        <w:rPr>
          <w:rFonts w:cs="Times New Roman"/>
          <w:b/>
          <w:bCs/>
        </w:rPr>
        <w:t xml:space="preserve">cquisition and </w:t>
      </w:r>
      <w:r w:rsidR="0009324C">
        <w:rPr>
          <w:rFonts w:cs="Times New Roman"/>
          <w:b/>
          <w:bCs/>
        </w:rPr>
        <w:t>p</w:t>
      </w:r>
      <w:r w:rsidRPr="003823AA">
        <w:rPr>
          <w:rFonts w:cs="Times New Roman"/>
          <w:b/>
          <w:bCs/>
        </w:rPr>
        <w:t>rocessing</w:t>
      </w:r>
    </w:p>
    <w:p w14:paraId="3515E331" w14:textId="5AA0D2CA" w:rsidR="006C21A2" w:rsidRPr="003823AA" w:rsidRDefault="006C21A2" w:rsidP="007C2EE9">
      <w:pPr>
        <w:rPr>
          <w:rFonts w:cs="Times New Roman"/>
        </w:rPr>
      </w:pPr>
      <w:r w:rsidRPr="003823AA">
        <w:rPr>
          <w:rFonts w:cs="Times New Roman"/>
        </w:rPr>
        <w:t>Patient clinical data included comprehensive clinicopathological information (age, sex, pre-treatment CEA</w:t>
      </w:r>
      <w:r w:rsidR="003823AA" w:rsidRPr="003823AA">
        <w:rPr>
          <w:rFonts w:eastAsia="宋体" w:cs="Times New Roman"/>
        </w:rPr>
        <w:t>，</w:t>
      </w:r>
      <w:r w:rsidR="003823AA" w:rsidRPr="003823AA">
        <w:rPr>
          <w:rFonts w:cs="Times New Roman"/>
        </w:rPr>
        <w:t>pre-treatment CA19-9</w:t>
      </w:r>
      <w:r w:rsidRPr="003823AA">
        <w:rPr>
          <w:rFonts w:cs="Times New Roman"/>
        </w:rPr>
        <w:t xml:space="preserve">) and follow-up records for </w:t>
      </w:r>
      <w:r w:rsidR="009611BE" w:rsidRPr="003823AA">
        <w:rPr>
          <w:rFonts w:cs="Times New Roman"/>
        </w:rPr>
        <w:t>overall survival (OS)</w:t>
      </w:r>
      <w:r w:rsidR="009611BE">
        <w:rPr>
          <w:rFonts w:cs="Times New Roman"/>
        </w:rPr>
        <w:t xml:space="preserve"> </w:t>
      </w:r>
      <w:r w:rsidRPr="003823AA">
        <w:rPr>
          <w:rFonts w:cs="Times New Roman"/>
        </w:rPr>
        <w:t xml:space="preserve">and </w:t>
      </w:r>
      <w:r w:rsidR="009611BE" w:rsidRPr="003823AA">
        <w:rPr>
          <w:rFonts w:cs="Times New Roman"/>
        </w:rPr>
        <w:t>disease-free survival</w:t>
      </w:r>
      <w:r w:rsidR="009611BE">
        <w:rPr>
          <w:rFonts w:cs="Times New Roman"/>
        </w:rPr>
        <w:t xml:space="preserve"> </w:t>
      </w:r>
      <w:r w:rsidR="009611BE" w:rsidRPr="003823AA">
        <w:rPr>
          <w:rFonts w:cs="Times New Roman"/>
        </w:rPr>
        <w:t>(DFS)</w:t>
      </w:r>
      <w:r w:rsidRPr="003823AA">
        <w:rPr>
          <w:rFonts w:cs="Times New Roman"/>
        </w:rPr>
        <w:t xml:space="preserve"> assessment. Additionally, we collected available clinical text data, including medical histories, </w:t>
      </w:r>
      <w:r w:rsidRPr="003823AA">
        <w:rPr>
          <w:rFonts w:cs="Times New Roman"/>
        </w:rPr>
        <w:lastRenderedPageBreak/>
        <w:t>radiology reports, pathology reports, and colonoscopy findings.</w:t>
      </w:r>
    </w:p>
    <w:p w14:paraId="4F47409A" w14:textId="60CF382E" w:rsidR="00F674A4" w:rsidRPr="003823AA" w:rsidRDefault="00F674A4" w:rsidP="00213D20">
      <w:pPr>
        <w:ind w:firstLineChars="200" w:firstLine="400"/>
        <w:rPr>
          <w:rFonts w:cs="Times New Roman"/>
        </w:rPr>
      </w:pPr>
      <w:r w:rsidRPr="003823AA">
        <w:rPr>
          <w:rFonts w:cs="Times New Roman"/>
        </w:rPr>
        <w:t>Clinical text processing involved systematic pre</w:t>
      </w:r>
      <w:r w:rsidR="008D2EE3" w:rsidRPr="003823AA">
        <w:rPr>
          <w:rFonts w:cs="Times New Roman"/>
        </w:rPr>
        <w:t>-</w:t>
      </w:r>
      <w:r w:rsidRPr="003823AA">
        <w:rPr>
          <w:rFonts w:cs="Times New Roman"/>
        </w:rPr>
        <w:t>processing of raw clinical reports through text structurization to remove formatting redundancies. Unstructured text was decomposed into five semantic components: medical history triad module (chief complaint, present illness history, past medical history); imaging report module (initial MR findings and diagnosis); endoscopic report module (colonoscopy descriptions and conclusions); pathological report module (biopsy observations and diagnoses); and structured data module (age, gender, CEA, CA19</w:t>
      </w:r>
      <w:r w:rsidR="00CE7EE3" w:rsidRPr="003823AA">
        <w:rPr>
          <w:rFonts w:cs="Times New Roman"/>
        </w:rPr>
        <w:t>-</w:t>
      </w:r>
      <w:r w:rsidRPr="003823AA">
        <w:rPr>
          <w:rFonts w:cs="Times New Roman"/>
        </w:rPr>
        <w:t>9).</w:t>
      </w:r>
    </w:p>
    <w:p w14:paraId="7B862504" w14:textId="4271158B" w:rsidR="00F674A4" w:rsidRPr="003823AA" w:rsidRDefault="00F674A4" w:rsidP="00213D20">
      <w:pPr>
        <w:ind w:firstLineChars="200" w:firstLine="400"/>
        <w:rPr>
          <w:rFonts w:cs="Times New Roman"/>
        </w:rPr>
      </w:pPr>
      <w:r w:rsidRPr="003823AA">
        <w:rPr>
          <w:rFonts w:cs="Times New Roman"/>
        </w:rPr>
        <w:t xml:space="preserve">Two text data augmentation techniques were implemented during training: random sentence deletion with 50% probability to simulate incomplete clinical reporting scenarios, and random sentence reordering with 50% probability to enhance model adaptability to textual structure variations. All text was processed using pretrained BERT </w:t>
      </w:r>
      <w:proofErr w:type="spellStart"/>
      <w:r w:rsidR="009135B3">
        <w:rPr>
          <w:rFonts w:cs="Times New Roman"/>
        </w:rPr>
        <w:t>tokenisers</w:t>
      </w:r>
      <w:proofErr w:type="spellEnd"/>
      <w:r w:rsidRPr="003823AA">
        <w:rPr>
          <w:rFonts w:cs="Times New Roman"/>
        </w:rPr>
        <w:t xml:space="preserve"> with a maximum sequence length of 512 tokens.</w:t>
      </w:r>
    </w:p>
    <w:p w14:paraId="70DBA2A3" w14:textId="2B1391FE" w:rsidR="00F674A4" w:rsidRPr="003823AA" w:rsidRDefault="00F674A4" w:rsidP="00213D20">
      <w:pPr>
        <w:ind w:firstLineChars="200" w:firstLine="400"/>
        <w:rPr>
          <w:rFonts w:cs="Times New Roman"/>
        </w:rPr>
      </w:pPr>
      <w:r w:rsidRPr="003823AA">
        <w:rPr>
          <w:rFonts w:cs="Times New Roman"/>
        </w:rPr>
        <w:t>Missing value handling employed domain knowledge-driven imputation strategies: text fields were populated with semantically explicit default identifiers</w:t>
      </w:r>
      <w:r w:rsidR="001764A7" w:rsidRPr="003823AA">
        <w:rPr>
          <w:rFonts w:cs="Times New Roman"/>
        </w:rPr>
        <w:t xml:space="preserve"> </w:t>
      </w:r>
      <w:r w:rsidRPr="003823AA">
        <w:rPr>
          <w:rFonts w:cs="Times New Roman"/>
        </w:rPr>
        <w:t xml:space="preserve">when missing, while structured variables were filled with empty strings. This </w:t>
      </w:r>
      <w:proofErr w:type="gramStart"/>
      <w:r w:rsidR="005319F6">
        <w:rPr>
          <w:rFonts w:cs="Times New Roman"/>
        </w:rPr>
        <w:t>approach maintained</w:t>
      </w:r>
      <w:proofErr w:type="gramEnd"/>
      <w:r w:rsidRPr="003823AA">
        <w:rPr>
          <w:rFonts w:cs="Times New Roman"/>
        </w:rPr>
        <w:t xml:space="preserve"> data integrity while </w:t>
      </w:r>
      <w:r w:rsidR="009135B3">
        <w:rPr>
          <w:rFonts w:cs="Times New Roman"/>
        </w:rPr>
        <w:t>minimising</w:t>
      </w:r>
      <w:r w:rsidRPr="003823AA">
        <w:rPr>
          <w:rFonts w:cs="Times New Roman"/>
        </w:rPr>
        <w:t xml:space="preserve"> systematic bias.</w:t>
      </w:r>
    </w:p>
    <w:p w14:paraId="52B1F303" w14:textId="77777777" w:rsidR="006D612E" w:rsidRPr="003823AA" w:rsidRDefault="006D612E" w:rsidP="00213D20">
      <w:pPr>
        <w:ind w:firstLineChars="200" w:firstLine="400"/>
        <w:rPr>
          <w:rFonts w:cs="Times New Roman"/>
        </w:rPr>
      </w:pPr>
    </w:p>
    <w:p w14:paraId="2A0279A1" w14:textId="77777777" w:rsidR="007C2EE9" w:rsidRDefault="007C2EE9">
      <w:pPr>
        <w:widowControl/>
        <w:jc w:val="left"/>
        <w:rPr>
          <w:b/>
          <w:bCs/>
          <w:szCs w:val="32"/>
        </w:rPr>
      </w:pPr>
      <w:r>
        <w:br w:type="page"/>
      </w:r>
    </w:p>
    <w:p w14:paraId="3D2432D6" w14:textId="693ED1C4" w:rsidR="007C2EE9" w:rsidRDefault="008F4935" w:rsidP="008F4935">
      <w:pPr>
        <w:pStyle w:val="3"/>
        <w:rPr>
          <w:rFonts w:eastAsiaTheme="minorEastAsia" w:cs="Times New Roman"/>
        </w:rPr>
      </w:pPr>
      <w:r>
        <w:lastRenderedPageBreak/>
        <w:t>Supplementary</w:t>
      </w:r>
      <w:r w:rsidR="007C2EE9">
        <w:t xml:space="preserve"> Note </w:t>
      </w:r>
      <w:r>
        <w:t>3</w:t>
      </w:r>
    </w:p>
    <w:p w14:paraId="1B69F1DB" w14:textId="2B522002" w:rsidR="00711338" w:rsidRPr="007C2EE9" w:rsidRDefault="00711338" w:rsidP="007C2EE9">
      <w:pPr>
        <w:rPr>
          <w:b/>
          <w:bCs/>
        </w:rPr>
      </w:pPr>
      <w:r w:rsidRPr="007C2EE9">
        <w:rPr>
          <w:b/>
          <w:bCs/>
        </w:rPr>
        <w:t xml:space="preserve">Technical </w:t>
      </w:r>
      <w:r w:rsidR="0009324C">
        <w:rPr>
          <w:b/>
          <w:bCs/>
        </w:rPr>
        <w:t>d</w:t>
      </w:r>
      <w:r w:rsidRPr="007C2EE9">
        <w:rPr>
          <w:b/>
          <w:bCs/>
        </w:rPr>
        <w:t xml:space="preserve">etails of </w:t>
      </w:r>
      <w:r w:rsidR="0009324C">
        <w:rPr>
          <w:b/>
          <w:bCs/>
        </w:rPr>
        <w:t>f</w:t>
      </w:r>
      <w:r w:rsidRPr="007C2EE9">
        <w:rPr>
          <w:b/>
          <w:bCs/>
        </w:rPr>
        <w:t xml:space="preserve">eature </w:t>
      </w:r>
      <w:r w:rsidR="0009324C">
        <w:rPr>
          <w:b/>
          <w:bCs/>
        </w:rPr>
        <w:t>e</w:t>
      </w:r>
      <w:r w:rsidRPr="007C2EE9">
        <w:rPr>
          <w:b/>
          <w:bCs/>
        </w:rPr>
        <w:t>xtraction</w:t>
      </w:r>
    </w:p>
    <w:p w14:paraId="563E3C40" w14:textId="6BD79C46" w:rsidR="00F45227" w:rsidRDefault="00F45227" w:rsidP="007C2EE9">
      <w:pPr>
        <w:rPr>
          <w:rFonts w:cs="Times New Roman"/>
        </w:rPr>
      </w:pPr>
      <w:r w:rsidRPr="003823AA">
        <w:rPr>
          <w:rFonts w:cs="Times New Roman"/>
        </w:rPr>
        <w:t>The feature extraction component of the IMPACT model comprises three modality-specific networks:</w:t>
      </w:r>
      <w:r w:rsidR="00B265E2">
        <w:rPr>
          <w:rFonts w:cs="Times New Roman"/>
        </w:rPr>
        <w:t xml:space="preserve"> </w:t>
      </w:r>
      <w:r w:rsidRPr="003823AA">
        <w:rPr>
          <w:rFonts w:cs="Times New Roman"/>
        </w:rPr>
        <w:t>(1) MRI Image Feature Extraction Module: Three parallel ResNet50</w:t>
      </w:r>
      <w:r w:rsidRPr="003823AA">
        <w:rPr>
          <w:rFonts w:cs="Times New Roman"/>
        </w:rPr>
        <w:fldChar w:fldCharType="begin"/>
      </w:r>
      <w:r w:rsidR="0037711F" w:rsidRPr="003823AA">
        <w:rPr>
          <w:rFonts w:cs="Times New Roman"/>
        </w:rPr>
        <w:instrText xml:space="preserve"> ADDIN ZOTERO_ITEM CSL_CITATION {"citationID":"sqrzb230","properties":{"formattedCitation":"\\super 3\\nosupersub{}","plainCitation":"3","noteIndex":0},"citationItems":[{"id":686,"uris":["http://zotero.org/users/8611689/items/DI828UFB"],"itemData":{"id":686,"type":"paper-conference","abstract":"Deeper neural networks are more difﬁcult to train. We present a residual learning framework to ease the training of networks that are substantially deeper than those used previously. We explicitly reformulate the layers as learning residual functions with reference to the layer inputs, instead of learning unreferenced functions. We provide comprehensive empirical evidence showing that these residual networks are easier to optimize, and can gain accuracy from considerably increased depth. On the ImageNet dataset we evaluate residual nets with a depth of up to 152 layers—8× deeper than VGG nets [40] but still having lower complexity. An ensemble of these residual nets achieves 3.57% error on the ImageNet test set. This result won the 1st place on the ILSVRC 2015 classiﬁcation task. We also present analysis on CIFAR-10 with 100 and 1000 layers.","container-title":"2016 IEEE Conference on Computer Vision and Pattern Recognition (CVPR)","DOI":"10.1109/CVPR.2016.90","event-place":"Las Vegas, NV, USA","event-title":"2016 IEEE Conference on Computer Vision and Pattern Recognition (CVPR)","ISBN":"978-1-4673-8851-1","language":"en","page":"770-778","publisher":"IEEE","publisher-place":"Las Vegas, NV, USA","source":"DOI.org (Crossref)","title":"Deep residual learning for image recognition","URL":"http://ieeexplore.ieee.org/document/7780459/","author":[{"family":"He","given":"Kaiming"},{"family":"Zhang","given":"Xiangyu"},{"family":"Ren","given":"Shaoqing"},{"family":"Sun","given":"Jian"}],"accessed":{"date-parts":[["2025",6,16]]},"issued":{"date-parts":[["2016",6]]}}}],"schema":"https://github.com/citation-style-language/schema/raw/master/csl-citation.json"} </w:instrText>
      </w:r>
      <w:r w:rsidRPr="003823AA">
        <w:rPr>
          <w:rFonts w:cs="Times New Roman"/>
        </w:rPr>
        <w:fldChar w:fldCharType="separate"/>
      </w:r>
      <w:r w:rsidR="003E540D" w:rsidRPr="003E540D">
        <w:rPr>
          <w:rFonts w:cs="Times New Roman"/>
          <w:kern w:val="0"/>
          <w:szCs w:val="24"/>
          <w:vertAlign w:val="superscript"/>
        </w:rPr>
        <w:t>3</w:t>
      </w:r>
      <w:r w:rsidRPr="003823AA">
        <w:rPr>
          <w:rFonts w:cs="Times New Roman"/>
        </w:rPr>
        <w:fldChar w:fldCharType="end"/>
      </w:r>
      <w:r w:rsidRPr="003823AA">
        <w:rPr>
          <w:rFonts w:cs="Times New Roman"/>
        </w:rPr>
        <w:t xml:space="preserve"> branches were employed to process and encode visual features from maximum tumour cross-sections across T2WI, T1WIC, and ADC sequences. Each branch initially performed denoising and intensity normalisation on input slices, followed by uniform scaling to 224×224 pixels to ensure compatibility with ResNet50 input requirements. The processed images were subsequently fed into sequence-specific ResNet50 convolutional encoders. The network architecture comprised an initial 7×7 convolutional layer, a max-pooling layer, and four residual modules. Feature maps of dimensions 2048×7×7 </w:t>
      </w:r>
      <w:proofErr w:type="gramStart"/>
      <w:r w:rsidR="00F6692B">
        <w:rPr>
          <w:rFonts w:cs="Times New Roman"/>
        </w:rPr>
        <w:t>were</w:t>
      </w:r>
      <w:proofErr w:type="gramEnd"/>
      <w:r w:rsidRPr="003823AA">
        <w:rPr>
          <w:rFonts w:cs="Times New Roman"/>
        </w:rPr>
        <w:t xml:space="preserve"> extracted directly from the fourth residual module output, preserving rich spatial semantic information while enabling flattening or global pooling for subsequent fusion requirements. The 2048×7×7 feature maps from all three branches were concatenated along the channel dimension and subjected to channel-level fusion, yielding unified 2048×7×7 MRI features. The IMPACT imaging feature extraction component utilised a pre-trained network based on MRI image-supervised survival tasks.</w:t>
      </w:r>
      <w:r w:rsidR="00B265E2">
        <w:rPr>
          <w:rFonts w:cs="Times New Roman"/>
        </w:rPr>
        <w:t xml:space="preserve"> </w:t>
      </w:r>
      <w:r w:rsidRPr="003823AA">
        <w:rPr>
          <w:rFonts w:cs="Times New Roman"/>
        </w:rPr>
        <w:t>(2) Pathological Image Feature Extraction Module: The pathological foundation model UNI</w:t>
      </w:r>
      <w:r w:rsidRPr="003823AA">
        <w:rPr>
          <w:rFonts w:cs="Times New Roman"/>
        </w:rPr>
        <w:fldChar w:fldCharType="begin"/>
      </w:r>
      <w:r w:rsidR="0037711F" w:rsidRPr="003823AA">
        <w:rPr>
          <w:rFonts w:cs="Times New Roman"/>
        </w:rPr>
        <w:instrText xml:space="preserve"> ADDIN ZOTERO_ITEM CSL_CITATION {"citationID":"XT1mmucq","properties":{"formattedCitation":"\\super 4\\nosupersub{}","plainCitation":"4","noteIndex":0},"citationItems":[{"id":687,"uris":["http://zotero.org/users/8611689/items/W2CIQ5H2"],"itemData":{"id":687,"type":"article-journal","abstract":"Quantitative evaluation of tissue images is crucial for computational pathology (CPath) tasks, requiring the objective characterization of histopathological entities from whole-slide images (WSIs). The high resolution of WSIs and the variability of morphological features present significant challenges, complicating the large-scale annotation of data for high-performance applications. To address this challenge, current efforts have proposed the use of pretrained image encoders through transfer learning from natural image datasets or self-supervised learning on publicly available histopathology datasets, but have not been extensively developed and evaluated across diverse tissue types at scale. We introduce UNI, a general-purpose self-supervised model for pathology, pretrained using more than 100 million images from over 100,000 diagnostic H&amp;E-stained WSIs (&gt;77 TB of data) across 20 major tissue types. The model was evaluated on 34 representative CPath tasks of varying diagnostic difficulty. In addition to outperforming previous state-of-the-art models, we demonstrate new modeling capabilities in CPath such as resolution-agnostic tissue classification, slide classification using few-shot class prototypes, and disease subtyping generalization in classifying up to 108 cancer types in the OncoTree classification system. UNI advances unsupervised representation learning at scale in CPath in terms of both pretraining data and downstream evaluation, enabling data-efficient artificial intelligence models that can generalize and transfer to a wide range of diagnostically challenging tasks and clinical workflows in anatomic pathology.","container-title":"Nature Medicine","DOI":"10.1038/s41591-024-02857-3","ISSN":"1546-170X","issue":"3","journalAbbreviation":"Nat. Med.","language":"en","note":"PMID: 38504018\nPMCID: PMC11403354\nJCR</w:instrText>
      </w:r>
      <w:r w:rsidR="0037711F" w:rsidRPr="003823AA">
        <w:rPr>
          <w:rFonts w:eastAsia="宋体" w:cs="Times New Roman"/>
        </w:rPr>
        <w:instrText>分区</w:instrText>
      </w:r>
      <w:r w:rsidR="0037711F" w:rsidRPr="003823AA">
        <w:rPr>
          <w:rFonts w:cs="Times New Roman"/>
        </w:rPr>
        <w:instrText>: Q1\n</w:instrText>
      </w:r>
      <w:r w:rsidR="0037711F" w:rsidRPr="003823AA">
        <w:rPr>
          <w:rFonts w:eastAsia="宋体" w:cs="Times New Roman"/>
        </w:rPr>
        <w:instrText>中科院分区升级版</w:instrText>
      </w:r>
      <w:r w:rsidR="0037711F" w:rsidRPr="003823AA">
        <w:rPr>
          <w:rFonts w:cs="Times New Roman"/>
        </w:rPr>
        <w:instrText xml:space="preserve">: </w:instrText>
      </w:r>
      <w:r w:rsidR="0037711F" w:rsidRPr="003823AA">
        <w:rPr>
          <w:rFonts w:eastAsia="宋体" w:cs="Times New Roman"/>
        </w:rPr>
        <w:instrText>医学</w:instrText>
      </w:r>
      <w:r w:rsidR="0037711F" w:rsidRPr="003823AA">
        <w:rPr>
          <w:rFonts w:cs="Times New Roman"/>
        </w:rPr>
        <w:instrText>1</w:instrText>
      </w:r>
      <w:r w:rsidR="0037711F" w:rsidRPr="003823AA">
        <w:rPr>
          <w:rFonts w:eastAsia="宋体" w:cs="Times New Roman"/>
        </w:rPr>
        <w:instrText>区</w:instrText>
      </w:r>
      <w:r w:rsidR="0037711F" w:rsidRPr="003823AA">
        <w:rPr>
          <w:rFonts w:cs="Times New Roman"/>
        </w:rPr>
        <w:instrText>\n</w:instrText>
      </w:r>
      <w:r w:rsidR="0037711F" w:rsidRPr="003823AA">
        <w:rPr>
          <w:rFonts w:eastAsia="宋体" w:cs="Times New Roman"/>
        </w:rPr>
        <w:instrText>影响因子</w:instrText>
      </w:r>
      <w:r w:rsidR="0037711F" w:rsidRPr="003823AA">
        <w:rPr>
          <w:rFonts w:cs="Times New Roman"/>
        </w:rPr>
        <w:instrText>: 58.7\n</w:instrText>
      </w:r>
      <w:r w:rsidR="0037711F" w:rsidRPr="003823AA">
        <w:rPr>
          <w:rFonts w:eastAsia="宋体" w:cs="Times New Roman"/>
        </w:rPr>
        <w:instrText>南农高质量</w:instrText>
      </w:r>
      <w:r w:rsidR="0037711F" w:rsidRPr="003823AA">
        <w:rPr>
          <w:rFonts w:cs="Times New Roman"/>
        </w:rPr>
        <w:instrText xml:space="preserve">: A","page":"850-862","source":"PubMed","title":"Towards a general-purpose foundation model for computational pathology","volume":"30","author":[{"family":"Chen","given":"Richard J."},{"family":"Ding","given":"Tong"},{"family":"Lu","given":"Ming Y."},{"family":"Williamson","given":"Drew F. K."},{"family":"Jaume","given":"Guillaume"},{"family":"Song","given":"Andrew H."},{"family":"Chen","given":"Bowen"},{"family":"Zhang","given":"Andrew"},{"family":"Shao","given":"Daniel"},{"family":"Shaban","given":"Muhammad"},{"family":"Williams","given":"Mane"},{"family":"Oldenburg","given":"Lukas"},{"family":"Weishaupt","given":"Luca L."},{"family":"Wang","given":"Judy J."},{"family":"Vaidya","given":"Anurag"},{"family":"Le","given":"Long Phi"},{"family":"Gerber","given":"Georg"},{"family":"Sahai","given":"Sharifa"},{"family":"Williams","given":"Walt"},{"family":"Mahmood","given":"Faisal"}],"issued":{"date-parts":[["2024",3]]}}}],"schema":"https://github.com/citation-style-language/schema/raw/master/csl-citation.json"} </w:instrText>
      </w:r>
      <w:r w:rsidRPr="003823AA">
        <w:rPr>
          <w:rFonts w:cs="Times New Roman"/>
        </w:rPr>
        <w:fldChar w:fldCharType="separate"/>
      </w:r>
      <w:r w:rsidR="003E540D" w:rsidRPr="003E540D">
        <w:rPr>
          <w:rFonts w:cs="Times New Roman"/>
          <w:kern w:val="0"/>
          <w:szCs w:val="24"/>
          <w:vertAlign w:val="superscript"/>
        </w:rPr>
        <w:t>4</w:t>
      </w:r>
      <w:r w:rsidRPr="003823AA">
        <w:rPr>
          <w:rFonts w:cs="Times New Roman"/>
        </w:rPr>
        <w:fldChar w:fldCharType="end"/>
      </w:r>
      <w:r w:rsidRPr="003823AA">
        <w:rPr>
          <w:rFonts w:cs="Times New Roman"/>
        </w:rPr>
        <w:t xml:space="preserve"> was employed for patch processing and visual feature encoding. A total of 10,000 randomly selected patches per patient were input into the UNI model. Subsequently, the pre-trained UNI image encoder performed feature extraction to generate pathological feature vectors. A gated attention survival network conducted feature selection, identifying the top 512 highest-scoring features from the network output as input for the histopathological biopsy modality, with feature dimensions of 512×512. The IMPACT pathological feature selection component utilised a pre-trained network based on biopsy pathological image-supervised survival tasks.</w:t>
      </w:r>
      <w:r w:rsidR="00B265E2">
        <w:rPr>
          <w:rFonts w:cs="Times New Roman"/>
        </w:rPr>
        <w:t xml:space="preserve"> </w:t>
      </w:r>
      <w:r w:rsidRPr="003823AA">
        <w:rPr>
          <w:rFonts w:cs="Times New Roman"/>
        </w:rPr>
        <w:t>(3) Text Feature Extraction Module: Four unstructured text components (medical history triad, imaging reports, colonoscopy reports, pathology reports) were individually processed through four BERT</w:t>
      </w:r>
      <w:r w:rsidRPr="003823AA">
        <w:rPr>
          <w:rFonts w:cs="Times New Roman"/>
        </w:rPr>
        <w:fldChar w:fldCharType="begin"/>
      </w:r>
      <w:r w:rsidR="0037711F" w:rsidRPr="003823AA">
        <w:rPr>
          <w:rFonts w:cs="Times New Roman"/>
        </w:rPr>
        <w:instrText xml:space="preserve"> ADDIN ZOTERO_ITEM CSL_CITATION {"citationID":"fQxa3qGL","properties":{"formattedCitation":"\\super 5\\nosupersub{}","plainCitation":"5","noteIndex":0},"citationItems":[{"id":693,"uris":["http://zotero.org/users/8611689/items/LGWCJ2XF"],"itemData":{"id":693,"type":"article","abstract":"We introduce a new language representation model called BERT, which stands for Bidirectional Encoder Representations from Transformers. Unlike recent language representation models, BERT is designed to pre-train deep bidirectional representations from unlabeled text by jointly conditioning on both left and right context in all layers. As a result,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improvement).","DOI":"10.48550/arXiv.1810.04805","language":"en","note":"arXiv:1810.04805 [cs]","number":"arXiv:1810.04805","publisher":"arXiv","source":"arXiv.org","title":"BERT: pre-training of deep bidirectional transformers for language understanding","title-short":"Bert","URL":"http://arxiv.org/abs/1810.04805","author":[{"family":"Devlin","given":"Jacob"},{"family":"Chang","given":"Ming-Wei"},{"family":"Lee","given":"Kenton"},{"family":"Toutanova","given":"Kristina"}],"accessed":{"date-parts":[["2025",6,16]]},"issued":{"date-parts":[["2019",5,24]]}}}],"schema":"https://github.com/citation-style-language/schema/raw/master/csl-citation.json"} </w:instrText>
      </w:r>
      <w:r w:rsidRPr="003823AA">
        <w:rPr>
          <w:rFonts w:cs="Times New Roman"/>
        </w:rPr>
        <w:fldChar w:fldCharType="separate"/>
      </w:r>
      <w:r w:rsidR="003E540D" w:rsidRPr="003E540D">
        <w:rPr>
          <w:rFonts w:cs="Times New Roman"/>
          <w:kern w:val="0"/>
          <w:szCs w:val="24"/>
          <w:vertAlign w:val="superscript"/>
        </w:rPr>
        <w:t>5</w:t>
      </w:r>
      <w:r w:rsidRPr="003823AA">
        <w:rPr>
          <w:rFonts w:cs="Times New Roman"/>
        </w:rPr>
        <w:fldChar w:fldCharType="end"/>
      </w:r>
      <w:r w:rsidRPr="003823AA">
        <w:rPr>
          <w:rFonts w:cs="Times New Roman"/>
        </w:rPr>
        <w:t xml:space="preserve"> encoders, each generating 512×768 token feature tensors that preserved fine-grained linguistic contextual information while maintaining long-sequence modelling capabilities. Concurrently, four structured clinical indicators (age, sex, CEA, CA19</w:t>
      </w:r>
      <w:r w:rsidR="00CE7EE3" w:rsidRPr="003823AA">
        <w:rPr>
          <w:rFonts w:cs="Times New Roman"/>
        </w:rPr>
        <w:t>-</w:t>
      </w:r>
      <w:r w:rsidRPr="003823AA">
        <w:rPr>
          <w:rFonts w:cs="Times New Roman"/>
        </w:rPr>
        <w:t xml:space="preserve">9) were embedded as 1×768 tokens through independent linear mapping layers to maintain dimensional consistency with BERT outputs. During the text feature fusion stage, the four BERT outputs were initially concatenated along the channel dimension and compressed to 512×768 through a 1×1 convolution layer (with </w:t>
      </w:r>
      <w:proofErr w:type="spellStart"/>
      <w:r w:rsidRPr="003823AA">
        <w:rPr>
          <w:rFonts w:cs="Times New Roman"/>
        </w:rPr>
        <w:t>BatchNorm</w:t>
      </w:r>
      <w:proofErr w:type="spellEnd"/>
      <w:r w:rsidRPr="003823AA">
        <w:rPr>
          <w:rFonts w:cs="Times New Roman"/>
        </w:rPr>
        <w:t xml:space="preserve"> and </w:t>
      </w:r>
      <w:proofErr w:type="spellStart"/>
      <w:r w:rsidRPr="003823AA">
        <w:rPr>
          <w:rFonts w:cs="Times New Roman"/>
        </w:rPr>
        <w:t>ReLU</w:t>
      </w:r>
      <w:proofErr w:type="spellEnd"/>
      <w:r w:rsidRPr="003823AA">
        <w:rPr>
          <w:rFonts w:cs="Times New Roman"/>
        </w:rPr>
        <w:t xml:space="preserve"> activation). Subsequently, the compressed unstructured text features were concatenated with the four structured tokens along the sequence dimension, forming a 516×768 fusion sequence. Finally, this sequence was processed through a multi-head self-attention layer for global interaction and weighted fusion, with sequence length uniformly compressed to 512 via 1×1 convolution, yielding the final integrated text feature tensor of 512×768 dimensions that preserved rich textual semantic information while seamlessly incorporating structured clinical indicators for downstream prediction.</w:t>
      </w:r>
    </w:p>
    <w:p w14:paraId="499311BB" w14:textId="77777777" w:rsidR="007C2EE9" w:rsidRPr="003823AA" w:rsidRDefault="007C2EE9" w:rsidP="007C2EE9">
      <w:pPr>
        <w:rPr>
          <w:rFonts w:cs="Times New Roman"/>
        </w:rPr>
      </w:pPr>
    </w:p>
    <w:p w14:paraId="68047B40" w14:textId="77777777" w:rsidR="008F4935" w:rsidRDefault="008F4935">
      <w:pPr>
        <w:widowControl/>
        <w:jc w:val="left"/>
        <w:rPr>
          <w:b/>
          <w:bCs/>
          <w:szCs w:val="32"/>
        </w:rPr>
      </w:pPr>
      <w:r>
        <w:br w:type="page"/>
      </w:r>
    </w:p>
    <w:p w14:paraId="23F306E5" w14:textId="0EF9428F" w:rsidR="008F4935" w:rsidRDefault="008F4935" w:rsidP="008F4935">
      <w:pPr>
        <w:pStyle w:val="3"/>
        <w:rPr>
          <w:rFonts w:cs="Times New Roman"/>
        </w:rPr>
      </w:pPr>
      <w:r>
        <w:lastRenderedPageBreak/>
        <w:t xml:space="preserve">Supplementary Note4 </w:t>
      </w:r>
    </w:p>
    <w:p w14:paraId="3D5C38E3" w14:textId="04A51759" w:rsidR="008F4935" w:rsidRPr="007C2EE9" w:rsidRDefault="008F4935" w:rsidP="008F4935">
      <w:pPr>
        <w:rPr>
          <w:b/>
          <w:bCs/>
        </w:rPr>
      </w:pPr>
      <w:r w:rsidRPr="007C2EE9">
        <w:rPr>
          <w:b/>
          <w:bCs/>
        </w:rPr>
        <w:t xml:space="preserve">Data </w:t>
      </w:r>
      <w:r w:rsidR="0009324C">
        <w:rPr>
          <w:b/>
          <w:bCs/>
        </w:rPr>
        <w:t>a</w:t>
      </w:r>
      <w:r w:rsidRPr="007C2EE9">
        <w:rPr>
          <w:b/>
          <w:bCs/>
        </w:rPr>
        <w:t xml:space="preserve">llocation </w:t>
      </w:r>
      <w:r w:rsidR="0009324C">
        <w:rPr>
          <w:b/>
          <w:bCs/>
        </w:rPr>
        <w:t>s</w:t>
      </w:r>
      <w:r w:rsidRPr="007C2EE9">
        <w:rPr>
          <w:b/>
          <w:bCs/>
        </w:rPr>
        <w:t xml:space="preserve">trategy for </w:t>
      </w:r>
      <w:r w:rsidR="0009324C">
        <w:rPr>
          <w:b/>
          <w:bCs/>
        </w:rPr>
        <w:t>s</w:t>
      </w:r>
      <w:r w:rsidRPr="007C2EE9">
        <w:rPr>
          <w:b/>
          <w:bCs/>
        </w:rPr>
        <w:t>ingle-</w:t>
      </w:r>
      <w:r w:rsidR="0009324C">
        <w:rPr>
          <w:b/>
          <w:bCs/>
        </w:rPr>
        <w:t>m</w:t>
      </w:r>
      <w:r w:rsidRPr="007C2EE9">
        <w:rPr>
          <w:b/>
          <w:bCs/>
        </w:rPr>
        <w:t xml:space="preserve">odality </w:t>
      </w:r>
      <w:r w:rsidR="0009324C">
        <w:rPr>
          <w:b/>
          <w:bCs/>
        </w:rPr>
        <w:t>m</w:t>
      </w:r>
      <w:r w:rsidRPr="007C2EE9">
        <w:rPr>
          <w:b/>
          <w:bCs/>
        </w:rPr>
        <w:t>odels</w:t>
      </w:r>
    </w:p>
    <w:p w14:paraId="15FF3110" w14:textId="0603B9AB" w:rsidR="008F4935" w:rsidRDefault="008F4935" w:rsidP="00F40D9E">
      <w:pPr>
        <w:rPr>
          <w:rFonts w:cs="Times New Roman"/>
        </w:rPr>
      </w:pPr>
      <w:r w:rsidRPr="003823AA">
        <w:rPr>
          <w:rFonts w:cs="Times New Roman"/>
        </w:rPr>
        <w:t xml:space="preserve">To </w:t>
      </w:r>
      <w:r>
        <w:rPr>
          <w:rFonts w:cs="Times New Roman"/>
        </w:rPr>
        <w:t>maximise data utilisation</w:t>
      </w:r>
      <w:r w:rsidRPr="003823AA">
        <w:rPr>
          <w:rFonts w:cs="Times New Roman"/>
        </w:rPr>
        <w:t xml:space="preserve"> and enable comprehensive model comparison, patients who were excluded from multimodal analysis due to incomplete data were allocated to </w:t>
      </w:r>
      <w:r>
        <w:rPr>
          <w:rFonts w:cs="Times New Roman"/>
        </w:rPr>
        <w:t xml:space="preserve">the </w:t>
      </w:r>
      <w:r w:rsidRPr="003823AA">
        <w:rPr>
          <w:rFonts w:cs="Times New Roman"/>
        </w:rPr>
        <w:t>corresponding single-modality model development. Specifically, patients with only MRI data (meeting all other inclusion criteria) were included in MRI-only model training, and patients with only pathology data were included in pathology-only model training. This strategy allowed for robust ablation studies and fair comparison between single-modality and multimodal approaches while maintaining strict quality control for each modality.</w:t>
      </w:r>
    </w:p>
    <w:p w14:paraId="195EFAD0" w14:textId="7910092F" w:rsidR="008F4935" w:rsidRPr="008F4935" w:rsidRDefault="008F4935" w:rsidP="008F4935">
      <w:pPr>
        <w:rPr>
          <w:rFonts w:cs="Times New Roman"/>
          <w:b/>
          <w:bCs/>
        </w:rPr>
      </w:pPr>
      <w:r w:rsidRPr="008F4935">
        <w:rPr>
          <w:rFonts w:cs="Times New Roman"/>
          <w:b/>
          <w:bCs/>
        </w:rPr>
        <w:t>Single-</w:t>
      </w:r>
      <w:r w:rsidR="0009324C">
        <w:rPr>
          <w:rFonts w:cs="Times New Roman"/>
          <w:b/>
          <w:bCs/>
        </w:rPr>
        <w:t>m</w:t>
      </w:r>
      <w:r w:rsidRPr="008F4935">
        <w:rPr>
          <w:rFonts w:cs="Times New Roman"/>
          <w:b/>
          <w:bCs/>
        </w:rPr>
        <w:t xml:space="preserve">odality and </w:t>
      </w:r>
      <w:r w:rsidR="0009324C">
        <w:rPr>
          <w:rFonts w:cs="Times New Roman"/>
          <w:b/>
          <w:bCs/>
        </w:rPr>
        <w:t>d</w:t>
      </w:r>
      <w:r w:rsidRPr="008F4935">
        <w:rPr>
          <w:rFonts w:cs="Times New Roman"/>
          <w:b/>
          <w:bCs/>
        </w:rPr>
        <w:t>ual-</w:t>
      </w:r>
      <w:r w:rsidR="0009324C">
        <w:rPr>
          <w:rFonts w:cs="Times New Roman"/>
          <w:b/>
          <w:bCs/>
        </w:rPr>
        <w:t>m</w:t>
      </w:r>
      <w:r w:rsidRPr="008F4935">
        <w:rPr>
          <w:rFonts w:cs="Times New Roman"/>
          <w:b/>
          <w:bCs/>
        </w:rPr>
        <w:t xml:space="preserve">odality </w:t>
      </w:r>
      <w:r w:rsidR="0009324C">
        <w:rPr>
          <w:rFonts w:cs="Times New Roman"/>
          <w:b/>
          <w:bCs/>
        </w:rPr>
        <w:t>m</w:t>
      </w:r>
      <w:r w:rsidRPr="008F4935">
        <w:rPr>
          <w:rFonts w:cs="Times New Roman"/>
          <w:b/>
          <w:bCs/>
        </w:rPr>
        <w:t xml:space="preserve">odel </w:t>
      </w:r>
      <w:r w:rsidR="0009324C">
        <w:rPr>
          <w:rFonts w:cs="Times New Roman"/>
          <w:b/>
          <w:bCs/>
        </w:rPr>
        <w:t>t</w:t>
      </w:r>
      <w:r w:rsidRPr="008F4935">
        <w:rPr>
          <w:rFonts w:cs="Times New Roman"/>
          <w:b/>
          <w:bCs/>
        </w:rPr>
        <w:t xml:space="preserve">raining </w:t>
      </w:r>
      <w:r w:rsidR="0009324C">
        <w:rPr>
          <w:rFonts w:cs="Times New Roman"/>
          <w:b/>
          <w:bCs/>
        </w:rPr>
        <w:t>a</w:t>
      </w:r>
      <w:r w:rsidRPr="008F4935">
        <w:rPr>
          <w:rFonts w:cs="Times New Roman"/>
          <w:b/>
          <w:bCs/>
        </w:rPr>
        <w:t>rchitecture</w:t>
      </w:r>
    </w:p>
    <w:p w14:paraId="6BC8C15F" w14:textId="637FC7B5" w:rsidR="008F4935" w:rsidRPr="008F4935" w:rsidRDefault="008F4935" w:rsidP="00F40D9E">
      <w:pPr>
        <w:rPr>
          <w:rFonts w:cs="Times New Roman"/>
        </w:rPr>
      </w:pPr>
      <w:r w:rsidRPr="008F4935">
        <w:rPr>
          <w:rFonts w:cs="Times New Roman"/>
        </w:rPr>
        <w:t>For systematic ablation analysis, single-modality and dual-modality models were constructed following a consistent architectural framework. Each single-modality model comprised three sequential components: (1) modality-specific data processing modules for standardisation and pre</w:t>
      </w:r>
      <w:r>
        <w:rPr>
          <w:rFonts w:cs="Times New Roman"/>
        </w:rPr>
        <w:t>-</w:t>
      </w:r>
      <w:r w:rsidRPr="008F4935">
        <w:rPr>
          <w:rFonts w:cs="Times New Roman"/>
        </w:rPr>
        <w:t>processing; (2) dedicated feature extraction networks (ResNet50 for MRI, UNI foundation model for pathology, BERT encoders for clinical text); and (3) survival prediction layers that processed extracted features to generate individual risk scores for overall survival and disease-free survival prediction.</w:t>
      </w:r>
    </w:p>
    <w:p w14:paraId="0FAF421D" w14:textId="77777777" w:rsidR="008F4935" w:rsidRPr="008F4935" w:rsidRDefault="008F4935" w:rsidP="008F4935">
      <w:pPr>
        <w:ind w:firstLineChars="200" w:firstLine="400"/>
        <w:rPr>
          <w:rFonts w:cs="Times New Roman"/>
        </w:rPr>
      </w:pPr>
      <w:r w:rsidRPr="008F4935">
        <w:rPr>
          <w:rFonts w:cs="Times New Roman"/>
        </w:rPr>
        <w:t>Similarly, the dual-modality Integrated MRI and Pathology (IMP) model combined MRI and pathological features through intermediate fusion mechanisms before feeding into the survival prediction layers. These ablation models served dual purposes: providing systematic comparison baselines for evaluating multimodal fusion effectiveness and generating pretrained feature extraction weights for the complete trimodal IMPACT framework.</w:t>
      </w:r>
    </w:p>
    <w:p w14:paraId="57F69662" w14:textId="51881BE4" w:rsidR="008F4935" w:rsidRDefault="008F4935" w:rsidP="008F4935">
      <w:pPr>
        <w:ind w:firstLineChars="200" w:firstLine="400"/>
        <w:rPr>
          <w:rFonts w:cs="Times New Roman"/>
        </w:rPr>
      </w:pPr>
      <w:r w:rsidRPr="008F4935">
        <w:rPr>
          <w:rFonts w:cs="Times New Roman"/>
        </w:rPr>
        <w:t>The feature extraction components trained in single-modality and dual-modality models were subsequently utilised as pretrained initialisation weights for corresponding modality-specific encoders in the trimodal IMPACT framework. This transfer learning approach ensured optimal feature representation learning for each modality while facilitating stable convergence during trimodal fusion training, thereby enhancing the overall performance and training efficiency of the complete multimodal system.</w:t>
      </w:r>
    </w:p>
    <w:p w14:paraId="2B1E54B1" w14:textId="77777777" w:rsidR="007C2EE9" w:rsidRDefault="007C2EE9">
      <w:pPr>
        <w:widowControl/>
        <w:jc w:val="left"/>
        <w:rPr>
          <w:b/>
          <w:bCs/>
          <w:szCs w:val="32"/>
        </w:rPr>
      </w:pPr>
      <w:r>
        <w:br w:type="page"/>
      </w:r>
    </w:p>
    <w:p w14:paraId="0E1C996E" w14:textId="3BDD1293" w:rsidR="00781E1D" w:rsidRPr="003823AA" w:rsidRDefault="007C2EE9" w:rsidP="007C2EE9">
      <w:pPr>
        <w:pStyle w:val="3"/>
        <w:rPr>
          <w:rFonts w:eastAsiaTheme="minorEastAsia" w:cs="Times New Roman"/>
        </w:rPr>
      </w:pPr>
      <w:r>
        <w:lastRenderedPageBreak/>
        <w:t>Supplementary Note 5</w:t>
      </w:r>
    </w:p>
    <w:p w14:paraId="2459B47F" w14:textId="67FFE630" w:rsidR="00781E1D" w:rsidRPr="007C2EE9" w:rsidRDefault="00781E1D" w:rsidP="007C2EE9">
      <w:pPr>
        <w:rPr>
          <w:b/>
          <w:bCs/>
        </w:rPr>
      </w:pPr>
      <w:r w:rsidRPr="007C2EE9">
        <w:rPr>
          <w:b/>
          <w:bCs/>
        </w:rPr>
        <w:t xml:space="preserve">Technical </w:t>
      </w:r>
      <w:r w:rsidR="0009324C">
        <w:rPr>
          <w:b/>
          <w:bCs/>
        </w:rPr>
        <w:t>d</w:t>
      </w:r>
      <w:r w:rsidRPr="007C2EE9">
        <w:rPr>
          <w:b/>
          <w:bCs/>
        </w:rPr>
        <w:t xml:space="preserve">etails of </w:t>
      </w:r>
      <w:bookmarkStart w:id="0" w:name="_Hlk203060243"/>
      <w:r w:rsidR="0009324C">
        <w:rPr>
          <w:b/>
          <w:bCs/>
        </w:rPr>
        <w:t>m</w:t>
      </w:r>
      <w:r w:rsidRPr="007C2EE9">
        <w:rPr>
          <w:b/>
          <w:bCs/>
        </w:rPr>
        <w:t xml:space="preserve">ultimodal </w:t>
      </w:r>
      <w:r w:rsidR="0009324C">
        <w:rPr>
          <w:b/>
          <w:bCs/>
        </w:rPr>
        <w:t>fusion</w:t>
      </w:r>
      <w:r w:rsidRPr="007C2EE9">
        <w:rPr>
          <w:b/>
          <w:bCs/>
        </w:rPr>
        <w:t xml:space="preserve"> </w:t>
      </w:r>
      <w:r w:rsidR="0009324C">
        <w:rPr>
          <w:b/>
          <w:bCs/>
        </w:rPr>
        <w:t>a</w:t>
      </w:r>
      <w:r w:rsidRPr="007C2EE9">
        <w:rPr>
          <w:b/>
          <w:bCs/>
        </w:rPr>
        <w:t>rchitecture</w:t>
      </w:r>
      <w:bookmarkEnd w:id="0"/>
    </w:p>
    <w:p w14:paraId="597BF284" w14:textId="4501D358" w:rsidR="00781E1D" w:rsidRPr="003823AA" w:rsidRDefault="00781E1D" w:rsidP="008F4935">
      <w:pPr>
        <w:rPr>
          <w:rFonts w:cs="Times New Roman"/>
        </w:rPr>
      </w:pPr>
      <w:r w:rsidRPr="003823AA">
        <w:rPr>
          <w:rFonts w:cs="Times New Roman"/>
        </w:rPr>
        <w:t xml:space="preserve">Following initial feature extraction, this study employed a cross-attention-based multimodal fusion strategy to effectively integrate MRI imaging features, pathological biopsy image features, and clinical text report features, thereby fully exploiting complementary information across modalities. </w:t>
      </w:r>
      <w:r w:rsidR="00E037CE" w:rsidRPr="003823AA">
        <w:rPr>
          <w:rFonts w:cs="Times New Roman"/>
        </w:rPr>
        <w:t>T</w:t>
      </w:r>
      <w:r w:rsidRPr="003823AA">
        <w:rPr>
          <w:rFonts w:cs="Times New Roman"/>
        </w:rPr>
        <w:t xml:space="preserve">he Feature Fusion module demonstrates this multimodal information integration process. In brief, MRI image features were first fused with histopathological biopsy image features to obtain </w:t>
      </w:r>
      <w:r w:rsidR="00AC17D5">
        <w:rPr>
          <w:rFonts w:cs="Times New Roman"/>
        </w:rPr>
        <w:t>patients’</w:t>
      </w:r>
      <w:r w:rsidRPr="003823AA">
        <w:rPr>
          <w:rFonts w:cs="Times New Roman"/>
        </w:rPr>
        <w:t xml:space="preserve"> comprehensive image-level characteristics. Subsequently, these integrated image features were combined with clinical text features to generate comprehensive tri-modal fused features. Finally, the fused multimodal features were processed through a survival classification head for final prediction, enabling survival outcome prediction for patients following neoadjuvant therapy.</w:t>
      </w:r>
    </w:p>
    <w:p w14:paraId="0313A44C" w14:textId="634D73CE" w:rsidR="00781E1D" w:rsidRPr="003823AA" w:rsidRDefault="00781E1D" w:rsidP="00781E1D">
      <w:pPr>
        <w:ind w:firstLineChars="200" w:firstLine="400"/>
        <w:rPr>
          <w:rFonts w:cs="Times New Roman"/>
        </w:rPr>
      </w:pPr>
      <w:r w:rsidRPr="003823AA">
        <w:rPr>
          <w:rFonts w:cs="Times New Roman"/>
        </w:rPr>
        <w:t xml:space="preserve">The </w:t>
      </w:r>
      <w:r w:rsidR="0009324C">
        <w:rPr>
          <w:rFonts w:cs="Times New Roman"/>
        </w:rPr>
        <w:t>F</w:t>
      </w:r>
      <w:r w:rsidRPr="003823AA">
        <w:rPr>
          <w:rFonts w:cs="Times New Roman"/>
        </w:rPr>
        <w:t xml:space="preserve">eature </w:t>
      </w:r>
      <w:r w:rsidR="0009324C">
        <w:rPr>
          <w:rFonts w:cs="Times New Roman"/>
        </w:rPr>
        <w:t>F</w:t>
      </w:r>
      <w:r w:rsidRPr="003823AA">
        <w:rPr>
          <w:rFonts w:cs="Times New Roman"/>
        </w:rPr>
        <w:t>usion module specifically delineates the effective integration of multimodal data through initial dimensional alignment and standardisation of features across different modalities. Imaging features underwent linear transformation from 2048 to 512 dimensions, while pathological features remained at 512 dimensions. The subsequently fused image features were linearly transformed from 512 to 768 dimensions to maintain consistency with the 768-dimensional text features. This fusion module</w:t>
      </w:r>
      <w:r w:rsidR="00B265E2">
        <w:rPr>
          <w:rFonts w:cs="Times New Roman"/>
        </w:rPr>
        <w:t xml:space="preserve"> </w:t>
      </w:r>
      <w:r w:rsidRPr="003823AA">
        <w:rPr>
          <w:rFonts w:cs="Times New Roman"/>
        </w:rPr>
        <w:t>comprises two key architectural components: Bidirectional Multimodal Attention Blocks and Self-Attention Blocks</w:t>
      </w:r>
      <w:r w:rsidR="00F6692B" w:rsidRPr="003823AA">
        <w:rPr>
          <w:rFonts w:cs="Times New Roman"/>
        </w:rPr>
        <w:fldChar w:fldCharType="begin"/>
      </w:r>
      <w:r w:rsidR="00F6692B" w:rsidRPr="003823AA">
        <w:rPr>
          <w:rFonts w:cs="Times New Roman"/>
        </w:rPr>
        <w:instrText xml:space="preserve"> ADDIN ZOTERO_ITEM CSL_CITATION {"citationID":"sGmmsZI6","properties":{"formattedCitation":"\\super 6\\nosupersub{}","plainCitation":"6","noteIndex":0},"citationItems":[{"id":53,"uris":["http://zotero.org/users/8611689/items/4MFQPD7U"],"itemData":{"id":53,"type":"article-journal","container-title":"Nature Biomedical Engineering","journalAbbreviation":"Nat Biomed Eng","language":"en","note":"JCR</w:instrText>
      </w:r>
      <w:r w:rsidR="00F6692B" w:rsidRPr="003823AA">
        <w:rPr>
          <w:rFonts w:eastAsia="宋体" w:cs="Times New Roman"/>
        </w:rPr>
        <w:instrText>分区</w:instrText>
      </w:r>
      <w:r w:rsidR="00F6692B" w:rsidRPr="003823AA">
        <w:rPr>
          <w:rFonts w:cs="Times New Roman"/>
        </w:rPr>
        <w:instrText>: Q1\n</w:instrText>
      </w:r>
      <w:r w:rsidR="00F6692B" w:rsidRPr="003823AA">
        <w:rPr>
          <w:rFonts w:eastAsia="宋体" w:cs="Times New Roman"/>
        </w:rPr>
        <w:instrText>中科院分区升级版</w:instrText>
      </w:r>
      <w:r w:rsidR="00F6692B" w:rsidRPr="003823AA">
        <w:rPr>
          <w:rFonts w:cs="Times New Roman"/>
        </w:rPr>
        <w:instrText xml:space="preserve">: </w:instrText>
      </w:r>
      <w:r w:rsidR="00F6692B" w:rsidRPr="003823AA">
        <w:rPr>
          <w:rFonts w:eastAsia="宋体" w:cs="Times New Roman"/>
        </w:rPr>
        <w:instrText>医学</w:instrText>
      </w:r>
      <w:r w:rsidR="00F6692B" w:rsidRPr="003823AA">
        <w:rPr>
          <w:rFonts w:cs="Times New Roman"/>
        </w:rPr>
        <w:instrText>1</w:instrText>
      </w:r>
      <w:r w:rsidR="00F6692B" w:rsidRPr="003823AA">
        <w:rPr>
          <w:rFonts w:eastAsia="宋体" w:cs="Times New Roman"/>
        </w:rPr>
        <w:instrText>区</w:instrText>
      </w:r>
      <w:r w:rsidR="00F6692B" w:rsidRPr="003823AA">
        <w:rPr>
          <w:rFonts w:cs="Times New Roman"/>
        </w:rPr>
        <w:instrText>\n</w:instrText>
      </w:r>
      <w:r w:rsidR="00F6692B" w:rsidRPr="003823AA">
        <w:rPr>
          <w:rFonts w:eastAsia="宋体" w:cs="Times New Roman"/>
        </w:rPr>
        <w:instrText>影响因子</w:instrText>
      </w:r>
      <w:r w:rsidR="00F6692B" w:rsidRPr="003823AA">
        <w:rPr>
          <w:rFonts w:cs="Times New Roman"/>
        </w:rPr>
        <w:instrText>: 26.8\n</w:instrText>
      </w:r>
      <w:r w:rsidR="00F6692B" w:rsidRPr="003823AA">
        <w:rPr>
          <w:rFonts w:eastAsia="宋体" w:cs="Times New Roman"/>
        </w:rPr>
        <w:instrText>南农高质量</w:instrText>
      </w:r>
      <w:r w:rsidR="00F6692B" w:rsidRPr="003823AA">
        <w:rPr>
          <w:rFonts w:cs="Times New Roman"/>
        </w:rPr>
        <w:instrText xml:space="preserve">: A","source":"Zotero","title":"A transformer-based representation-learning model with unified processing of multimodal input for clinical diagnostics","author":[{"family":"Zhou","given":"Hong-Yu"}]}}],"schema":"https://github.com/citation-style-language/schema/raw/master/csl-citation.json"} </w:instrText>
      </w:r>
      <w:r w:rsidR="00F6692B" w:rsidRPr="003823AA">
        <w:rPr>
          <w:rFonts w:cs="Times New Roman"/>
        </w:rPr>
        <w:fldChar w:fldCharType="separate"/>
      </w:r>
      <w:r w:rsidR="003E540D" w:rsidRPr="003E540D">
        <w:rPr>
          <w:rFonts w:cs="Times New Roman"/>
          <w:kern w:val="0"/>
          <w:szCs w:val="24"/>
          <w:vertAlign w:val="superscript"/>
        </w:rPr>
        <w:t>6</w:t>
      </w:r>
      <w:r w:rsidR="00F6692B" w:rsidRPr="003823AA">
        <w:rPr>
          <w:rFonts w:cs="Times New Roman"/>
        </w:rPr>
        <w:fldChar w:fldCharType="end"/>
      </w:r>
      <w:r w:rsidRPr="003823AA">
        <w:rPr>
          <w:rFonts w:cs="Times New Roman"/>
        </w:rPr>
        <w:t>.</w:t>
      </w:r>
    </w:p>
    <w:p w14:paraId="2392B221" w14:textId="69D1B4D7" w:rsidR="00781E1D" w:rsidRPr="003823AA" w:rsidRDefault="00781E1D" w:rsidP="00781E1D">
      <w:pPr>
        <w:ind w:firstLineChars="200" w:firstLine="400"/>
        <w:rPr>
          <w:rFonts w:cs="Times New Roman"/>
        </w:rPr>
      </w:pPr>
      <w:r w:rsidRPr="003823AA">
        <w:rPr>
          <w:rFonts w:cs="Times New Roman"/>
        </w:rPr>
        <w:t xml:space="preserve">The Bidirectional </w:t>
      </w:r>
      <w:r w:rsidR="0009324C">
        <w:rPr>
          <w:rFonts w:cs="Times New Roman"/>
        </w:rPr>
        <w:t>m</w:t>
      </w:r>
      <w:r w:rsidRPr="003823AA">
        <w:rPr>
          <w:rFonts w:cs="Times New Roman"/>
        </w:rPr>
        <w:t xml:space="preserve">ultimodal </w:t>
      </w:r>
      <w:r w:rsidR="0009324C">
        <w:rPr>
          <w:rFonts w:cs="Times New Roman"/>
        </w:rPr>
        <w:t>a</w:t>
      </w:r>
      <w:r w:rsidRPr="003823AA">
        <w:rPr>
          <w:rFonts w:cs="Times New Roman"/>
        </w:rPr>
        <w:t xml:space="preserve">ttention </w:t>
      </w:r>
      <w:r w:rsidR="0009324C">
        <w:rPr>
          <w:rFonts w:cs="Times New Roman"/>
        </w:rPr>
        <w:t>b</w:t>
      </w:r>
      <w:r w:rsidRPr="003823AA">
        <w:rPr>
          <w:rFonts w:cs="Times New Roman"/>
        </w:rPr>
        <w:t>lock serves as the core component for cross-modal information interaction. Within the initial two encoder layers, four distinct attention mechanisms are computed simultaneously: intra-modal self-attention for each modality learns internal semantic associations within respective features</w:t>
      </w:r>
      <w:r w:rsidR="00AC17D5">
        <w:rPr>
          <w:rFonts w:cs="Times New Roman"/>
        </w:rPr>
        <w:t>. In contrast,</w:t>
      </w:r>
      <w:r w:rsidRPr="003823AA">
        <w:rPr>
          <w:rFonts w:cs="Times New Roman"/>
        </w:rPr>
        <w:t xml:space="preserve"> inter-modal bidirectional cross-modal attention specifically captures complementary information and semantic correspondences between different modalities. Each attention mechanism undergoes appropriate scaling, normalisation, and regularisation processing. Results from self-attention and cross-attention are ultimately integrated through average fusion, ensuring the model maintains both intra-modal semantic integrity and inter-modal interaction effectiveness.</w:t>
      </w:r>
    </w:p>
    <w:p w14:paraId="4DC87082" w14:textId="79EAEC18" w:rsidR="00781E1D" w:rsidRPr="003823AA" w:rsidRDefault="00781E1D" w:rsidP="00781E1D">
      <w:pPr>
        <w:ind w:firstLineChars="200" w:firstLine="400"/>
        <w:rPr>
          <w:rFonts w:cs="Times New Roman"/>
        </w:rPr>
      </w:pPr>
      <w:r w:rsidRPr="003823AA">
        <w:rPr>
          <w:rFonts w:cs="Times New Roman"/>
        </w:rPr>
        <w:t xml:space="preserve">Following processing by the initial two Bidirectional </w:t>
      </w:r>
      <w:r w:rsidR="0009324C">
        <w:rPr>
          <w:rFonts w:cs="Times New Roman"/>
        </w:rPr>
        <w:t>m</w:t>
      </w:r>
      <w:r w:rsidRPr="003823AA">
        <w:rPr>
          <w:rFonts w:cs="Times New Roman"/>
        </w:rPr>
        <w:t xml:space="preserve">ultimodal </w:t>
      </w:r>
      <w:r w:rsidR="0009324C">
        <w:rPr>
          <w:rFonts w:cs="Times New Roman"/>
        </w:rPr>
        <w:t>a</w:t>
      </w:r>
      <w:r w:rsidRPr="003823AA">
        <w:rPr>
          <w:rFonts w:cs="Times New Roman"/>
        </w:rPr>
        <w:t xml:space="preserve">ttention </w:t>
      </w:r>
      <w:r w:rsidR="0009324C">
        <w:rPr>
          <w:rFonts w:cs="Times New Roman"/>
        </w:rPr>
        <w:t>b</w:t>
      </w:r>
      <w:r w:rsidRPr="003823AA">
        <w:rPr>
          <w:rFonts w:cs="Times New Roman"/>
        </w:rPr>
        <w:t xml:space="preserve">locks, </w:t>
      </w:r>
      <w:r w:rsidR="0009324C">
        <w:rPr>
          <w:rFonts w:cs="Times New Roman"/>
        </w:rPr>
        <w:t xml:space="preserve">the </w:t>
      </w:r>
      <w:r w:rsidRPr="003823AA">
        <w:rPr>
          <w:rFonts w:cs="Times New Roman"/>
        </w:rPr>
        <w:t>Self-</w:t>
      </w:r>
      <w:r w:rsidR="0009324C">
        <w:rPr>
          <w:rFonts w:cs="Times New Roman"/>
        </w:rPr>
        <w:t>a</w:t>
      </w:r>
      <w:r w:rsidRPr="003823AA">
        <w:rPr>
          <w:rFonts w:cs="Times New Roman"/>
        </w:rPr>
        <w:t xml:space="preserve">ttention </w:t>
      </w:r>
      <w:r w:rsidR="0009324C">
        <w:rPr>
          <w:rFonts w:cs="Times New Roman"/>
        </w:rPr>
        <w:t>b</w:t>
      </w:r>
      <w:r w:rsidRPr="003823AA">
        <w:rPr>
          <w:rFonts w:cs="Times New Roman"/>
        </w:rPr>
        <w:t>locks assume functionality. The system concatenates fused features from both modalities, forming unified feature representations containing intra-modal information and cross-modal interaction information. Self-</w:t>
      </w:r>
      <w:r w:rsidR="0009324C">
        <w:rPr>
          <w:rFonts w:cs="Times New Roman"/>
        </w:rPr>
        <w:t>a</w:t>
      </w:r>
      <w:r w:rsidRPr="003823AA">
        <w:rPr>
          <w:rFonts w:cs="Times New Roman"/>
        </w:rPr>
        <w:t xml:space="preserve">ttention </w:t>
      </w:r>
      <w:r w:rsidR="0009324C">
        <w:rPr>
          <w:rFonts w:cs="Times New Roman"/>
        </w:rPr>
        <w:t>b</w:t>
      </w:r>
      <w:r w:rsidRPr="003823AA">
        <w:rPr>
          <w:rFonts w:cs="Times New Roman"/>
        </w:rPr>
        <w:t xml:space="preserve">locks are designed </w:t>
      </w:r>
      <w:r w:rsidR="00AC17D5">
        <w:rPr>
          <w:rFonts w:cs="Times New Roman"/>
        </w:rPr>
        <w:t>to enhance further</w:t>
      </w:r>
      <w:r w:rsidRPr="003823AA">
        <w:rPr>
          <w:rFonts w:cs="Times New Roman"/>
        </w:rPr>
        <w:t xml:space="preserve"> global semantic understanding based on already-fused multimodal features. The subsequent four layers employ standard Transformer Self-</w:t>
      </w:r>
      <w:r w:rsidR="0009324C">
        <w:rPr>
          <w:rFonts w:cs="Times New Roman"/>
        </w:rPr>
        <w:t>a</w:t>
      </w:r>
      <w:r w:rsidRPr="003823AA">
        <w:rPr>
          <w:rFonts w:cs="Times New Roman"/>
        </w:rPr>
        <w:t xml:space="preserve">ttention </w:t>
      </w:r>
      <w:r w:rsidR="0009324C">
        <w:rPr>
          <w:rFonts w:cs="Times New Roman"/>
        </w:rPr>
        <w:t>b</w:t>
      </w:r>
      <w:r w:rsidRPr="003823AA">
        <w:rPr>
          <w:rFonts w:cs="Times New Roman"/>
        </w:rPr>
        <w:t>locks for processing. Each block comprises multi-head self-attention, residual connections, layer normalisation, and feed-forward networks, specifically responsible for modelling long-range dependencies within fused features, deepening associations between features at different positions, and enhancing feature abstraction levels and discriminative capabilities through multi-layer non-linear transformations.</w:t>
      </w:r>
    </w:p>
    <w:p w14:paraId="1D9117E0" w14:textId="0F3E438A" w:rsidR="00781E1D" w:rsidRPr="003823AA" w:rsidRDefault="00781E1D" w:rsidP="00781E1D">
      <w:pPr>
        <w:ind w:firstLineChars="200" w:firstLine="400"/>
        <w:rPr>
          <w:rFonts w:cs="Times New Roman"/>
        </w:rPr>
      </w:pPr>
      <w:r w:rsidRPr="003823AA">
        <w:rPr>
          <w:rFonts w:cs="Times New Roman"/>
        </w:rPr>
        <w:t xml:space="preserve">Building upon </w:t>
      </w:r>
      <w:r w:rsidR="00F6692B">
        <w:rPr>
          <w:rFonts w:cs="Times New Roman"/>
        </w:rPr>
        <w:t xml:space="preserve">the </w:t>
      </w:r>
      <w:r w:rsidRPr="003823AA">
        <w:rPr>
          <w:rFonts w:cs="Times New Roman"/>
        </w:rPr>
        <w:t xml:space="preserve">comprehensive utilisation of these two modules, IMPACT initially employs two Bidirectional </w:t>
      </w:r>
      <w:r w:rsidR="0009324C">
        <w:rPr>
          <w:rFonts w:cs="Times New Roman"/>
        </w:rPr>
        <w:t>m</w:t>
      </w:r>
      <w:r w:rsidRPr="003823AA">
        <w:rPr>
          <w:rFonts w:cs="Times New Roman"/>
        </w:rPr>
        <w:t xml:space="preserve">ultimodal </w:t>
      </w:r>
      <w:r w:rsidR="0009324C">
        <w:rPr>
          <w:rFonts w:cs="Times New Roman"/>
        </w:rPr>
        <w:t>a</w:t>
      </w:r>
      <w:r w:rsidRPr="003823AA">
        <w:rPr>
          <w:rFonts w:cs="Times New Roman"/>
        </w:rPr>
        <w:t xml:space="preserve">ttention </w:t>
      </w:r>
      <w:r w:rsidR="0009324C">
        <w:rPr>
          <w:rFonts w:cs="Times New Roman"/>
        </w:rPr>
        <w:t>b</w:t>
      </w:r>
      <w:r w:rsidRPr="003823AA">
        <w:rPr>
          <w:rFonts w:cs="Times New Roman"/>
        </w:rPr>
        <w:t>locks and four Self-</w:t>
      </w:r>
      <w:r w:rsidR="0009324C">
        <w:rPr>
          <w:rFonts w:cs="Times New Roman"/>
        </w:rPr>
        <w:t>a</w:t>
      </w:r>
      <w:r w:rsidRPr="003823AA">
        <w:rPr>
          <w:rFonts w:cs="Times New Roman"/>
        </w:rPr>
        <w:t xml:space="preserve">ttention </w:t>
      </w:r>
      <w:r w:rsidR="0009324C">
        <w:rPr>
          <w:rFonts w:cs="Times New Roman"/>
        </w:rPr>
        <w:t>b</w:t>
      </w:r>
      <w:r w:rsidRPr="003823AA">
        <w:rPr>
          <w:rFonts w:cs="Times New Roman"/>
        </w:rPr>
        <w:t xml:space="preserve">locks to fuse MRI image features with pathological biopsy image features, ensuring comprehensive interaction and fusion of image information. Subsequently, based on integrated image features, an additional two Bidirectional </w:t>
      </w:r>
      <w:r w:rsidR="0009324C">
        <w:rPr>
          <w:rFonts w:cs="Times New Roman"/>
        </w:rPr>
        <w:t>m</w:t>
      </w:r>
      <w:r w:rsidRPr="003823AA">
        <w:rPr>
          <w:rFonts w:cs="Times New Roman"/>
        </w:rPr>
        <w:t xml:space="preserve">ultimodal </w:t>
      </w:r>
      <w:r w:rsidR="0009324C">
        <w:rPr>
          <w:rFonts w:cs="Times New Roman"/>
        </w:rPr>
        <w:t>a</w:t>
      </w:r>
      <w:r w:rsidRPr="003823AA">
        <w:rPr>
          <w:rFonts w:cs="Times New Roman"/>
        </w:rPr>
        <w:t xml:space="preserve">ttention </w:t>
      </w:r>
      <w:r w:rsidR="0009324C">
        <w:rPr>
          <w:rFonts w:cs="Times New Roman"/>
        </w:rPr>
        <w:t>b</w:t>
      </w:r>
      <w:r w:rsidRPr="003823AA">
        <w:rPr>
          <w:rFonts w:cs="Times New Roman"/>
        </w:rPr>
        <w:t>locks and four Self-</w:t>
      </w:r>
      <w:r w:rsidR="0009324C">
        <w:rPr>
          <w:rFonts w:cs="Times New Roman"/>
        </w:rPr>
        <w:t>a</w:t>
      </w:r>
      <w:r w:rsidRPr="003823AA">
        <w:rPr>
          <w:rFonts w:cs="Times New Roman"/>
        </w:rPr>
        <w:t xml:space="preserve">ttention </w:t>
      </w:r>
      <w:r w:rsidR="0009324C">
        <w:rPr>
          <w:rFonts w:cs="Times New Roman"/>
        </w:rPr>
        <w:t>b</w:t>
      </w:r>
      <w:r w:rsidRPr="003823AA">
        <w:rPr>
          <w:rFonts w:cs="Times New Roman"/>
        </w:rPr>
        <w:t xml:space="preserve">locks effectively combine image information with textual </w:t>
      </w:r>
      <w:r w:rsidR="00AC17D5">
        <w:rPr>
          <w:rFonts w:cs="Times New Roman"/>
        </w:rPr>
        <w:t>data</w:t>
      </w:r>
      <w:r w:rsidRPr="003823AA">
        <w:rPr>
          <w:rFonts w:cs="Times New Roman"/>
        </w:rPr>
        <w:t>, thereby obtaining comprehensive multimodal feature representations.</w:t>
      </w:r>
    </w:p>
    <w:p w14:paraId="06DC4434" w14:textId="44D94141" w:rsidR="007C2EE9" w:rsidRDefault="00781E1D" w:rsidP="007C2EE9">
      <w:pPr>
        <w:ind w:firstLineChars="200" w:firstLine="400"/>
        <w:rPr>
          <w:rFonts w:cs="Times New Roman"/>
        </w:rPr>
      </w:pPr>
      <w:r w:rsidRPr="003823AA">
        <w:rPr>
          <w:rFonts w:cs="Times New Roman"/>
        </w:rPr>
        <w:t xml:space="preserve">The IMPACT design, through this multi-level interaction and fusion approach, maximally exploits </w:t>
      </w:r>
      <w:r w:rsidRPr="003823AA">
        <w:rPr>
          <w:rFonts w:cs="Times New Roman"/>
        </w:rPr>
        <w:lastRenderedPageBreak/>
        <w:t>radiological MRI and pathological biopsy image information while integrating this information with clinical text reports, ensuring deep interaction and information sharing across different modalities. This design not only effectively enhances feature representation capabilities but also provides comprehensive feature support for final survival outcome prediction, thereby improving model predictive performance.</w:t>
      </w:r>
    </w:p>
    <w:p w14:paraId="5DA9410A" w14:textId="77777777" w:rsidR="007C2EE9" w:rsidRPr="007C2EE9" w:rsidRDefault="007C2EE9" w:rsidP="007C2EE9">
      <w:pPr>
        <w:rPr>
          <w:rFonts w:eastAsiaTheme="minorEastAsia" w:cs="Times New Roman"/>
        </w:rPr>
      </w:pPr>
    </w:p>
    <w:p w14:paraId="1029DD96" w14:textId="77777777" w:rsidR="007C2EE9" w:rsidRDefault="007C2EE9">
      <w:pPr>
        <w:widowControl/>
        <w:jc w:val="left"/>
        <w:rPr>
          <w:b/>
          <w:bCs/>
          <w:szCs w:val="32"/>
        </w:rPr>
      </w:pPr>
      <w:r>
        <w:br w:type="page"/>
      </w:r>
    </w:p>
    <w:p w14:paraId="2855E82E" w14:textId="41310216" w:rsidR="00781E1D" w:rsidRPr="003823AA" w:rsidRDefault="007C2EE9" w:rsidP="007C2EE9">
      <w:pPr>
        <w:pStyle w:val="3"/>
        <w:rPr>
          <w:rFonts w:eastAsiaTheme="minorEastAsia" w:cs="Times New Roman"/>
        </w:rPr>
      </w:pPr>
      <w:r>
        <w:lastRenderedPageBreak/>
        <w:t>Supplementary Note 6</w:t>
      </w:r>
    </w:p>
    <w:p w14:paraId="36EFBDFC" w14:textId="034DDC9C" w:rsidR="00D765F0" w:rsidRPr="007C2EE9" w:rsidRDefault="00D765F0" w:rsidP="007C2EE9">
      <w:pPr>
        <w:rPr>
          <w:rFonts w:eastAsiaTheme="minorEastAsia"/>
          <w:b/>
          <w:bCs/>
        </w:rPr>
      </w:pPr>
      <w:r w:rsidRPr="007C2EE9">
        <w:rPr>
          <w:b/>
          <w:bCs/>
        </w:rPr>
        <w:t xml:space="preserve">IMPACT model </w:t>
      </w:r>
      <w:r w:rsidR="00F6692B" w:rsidRPr="007C2EE9">
        <w:rPr>
          <w:b/>
          <w:bCs/>
        </w:rPr>
        <w:t>visualisation</w:t>
      </w:r>
      <w:r w:rsidR="00B96874" w:rsidRPr="007C2EE9">
        <w:rPr>
          <w:b/>
          <w:bCs/>
        </w:rPr>
        <w:t xml:space="preserve"> </w:t>
      </w:r>
      <w:r w:rsidR="00B96874" w:rsidRPr="007C2EE9">
        <w:rPr>
          <w:rFonts w:eastAsiaTheme="minorEastAsia"/>
          <w:b/>
          <w:bCs/>
        </w:rPr>
        <w:t>m</w:t>
      </w:r>
      <w:r w:rsidR="00B96874" w:rsidRPr="007C2EE9">
        <w:rPr>
          <w:b/>
          <w:bCs/>
        </w:rPr>
        <w:t>ethods</w:t>
      </w:r>
    </w:p>
    <w:p w14:paraId="39FEA30A" w14:textId="26824F0B" w:rsidR="00B96874" w:rsidRPr="003823AA" w:rsidRDefault="00B96874" w:rsidP="008F4935">
      <w:pPr>
        <w:rPr>
          <w:rFonts w:eastAsiaTheme="minorEastAsia" w:cs="Times New Roman"/>
        </w:rPr>
      </w:pPr>
      <w:r w:rsidRPr="003823AA">
        <w:rPr>
          <w:rFonts w:eastAsiaTheme="minorEastAsia" w:cs="Times New Roman"/>
        </w:rPr>
        <w:t xml:space="preserve">To explore the interpretability of the IMPACT multimodal model, we conducted </w:t>
      </w:r>
      <w:r w:rsidR="00F6692B">
        <w:rPr>
          <w:rFonts w:eastAsiaTheme="minorEastAsia" w:cs="Times New Roman"/>
        </w:rPr>
        <w:t>visualisation</w:t>
      </w:r>
      <w:r w:rsidRPr="003823AA">
        <w:rPr>
          <w:rFonts w:eastAsiaTheme="minorEastAsia" w:cs="Times New Roman"/>
        </w:rPr>
        <w:t xml:space="preserve"> analyses of both MRI and pathological image components. For the MRI component, we applied Gradient-weighted Class Activation Mapping (Grad-CAM) to generate attention heatmaps that highlight regions of importance for prognostic prediction. The Grad-CAM technique produces </w:t>
      </w:r>
      <w:r w:rsidR="009135B3">
        <w:rPr>
          <w:rFonts w:eastAsiaTheme="minorEastAsia" w:cs="Times New Roman"/>
        </w:rPr>
        <w:t>colour-coded</w:t>
      </w:r>
      <w:r w:rsidRPr="003823AA">
        <w:rPr>
          <w:rFonts w:eastAsiaTheme="minorEastAsia" w:cs="Times New Roman"/>
        </w:rPr>
        <w:t xml:space="preserve"> heatmaps where red and yellow regions indicate areas of higher importance, while green and blue regions demonstrate relatively lower importance.</w:t>
      </w:r>
    </w:p>
    <w:p w14:paraId="78C18DC5" w14:textId="0EB81BC1" w:rsidR="00B96874" w:rsidRPr="003823AA" w:rsidRDefault="00B96874" w:rsidP="00B96874">
      <w:pPr>
        <w:ind w:firstLineChars="200" w:firstLine="400"/>
        <w:rPr>
          <w:rFonts w:eastAsiaTheme="minorEastAsia" w:cs="Times New Roman"/>
        </w:rPr>
      </w:pPr>
      <w:r w:rsidRPr="003823AA">
        <w:rPr>
          <w:rFonts w:eastAsiaTheme="minorEastAsia" w:cs="Times New Roman"/>
        </w:rPr>
        <w:t xml:space="preserve">For the pathological component, we constructed </w:t>
      </w:r>
      <w:r w:rsidR="00AC17D5">
        <w:rPr>
          <w:rFonts w:eastAsiaTheme="minorEastAsia" w:cs="Times New Roman"/>
        </w:rPr>
        <w:t>WSI-based</w:t>
      </w:r>
      <w:r w:rsidRPr="003823AA">
        <w:rPr>
          <w:rFonts w:eastAsiaTheme="minorEastAsia" w:cs="Times New Roman"/>
        </w:rPr>
        <w:t xml:space="preserve"> attention heatmaps by computing the relative importance of different image patches across the entire tissue section. The </w:t>
      </w:r>
      <w:r w:rsidR="009135B3">
        <w:rPr>
          <w:rFonts w:eastAsiaTheme="minorEastAsia" w:cs="Times New Roman"/>
        </w:rPr>
        <w:t>visualisation</w:t>
      </w:r>
      <w:r w:rsidRPr="003823AA">
        <w:rPr>
          <w:rFonts w:eastAsiaTheme="minorEastAsia" w:cs="Times New Roman"/>
        </w:rPr>
        <w:t xml:space="preserve"> approach included generating overall WSI attention heatmaps and identifying the top image patches with </w:t>
      </w:r>
      <w:r w:rsidR="00AC17D5">
        <w:rPr>
          <w:rFonts w:eastAsiaTheme="minorEastAsia" w:cs="Times New Roman"/>
        </w:rPr>
        <w:t xml:space="preserve">the </w:t>
      </w:r>
      <w:r w:rsidRPr="003823AA">
        <w:rPr>
          <w:rFonts w:eastAsiaTheme="minorEastAsia" w:cs="Times New Roman"/>
        </w:rPr>
        <w:t>highest attention weights for detailed analysis.</w:t>
      </w:r>
    </w:p>
    <w:p w14:paraId="3468C849" w14:textId="2BCF4032" w:rsidR="00B96874" w:rsidRPr="003823AA" w:rsidRDefault="00B96874" w:rsidP="00B96874">
      <w:pPr>
        <w:ind w:firstLineChars="200" w:firstLine="400"/>
        <w:rPr>
          <w:rFonts w:eastAsiaTheme="minorEastAsia" w:cs="Times New Roman"/>
        </w:rPr>
      </w:pPr>
      <w:r w:rsidRPr="003823AA">
        <w:rPr>
          <w:rFonts w:eastAsiaTheme="minorEastAsia" w:cs="Times New Roman"/>
        </w:rPr>
        <w:t xml:space="preserve">To quantitatively evaluate the clinical relevance of model attention, we </w:t>
      </w:r>
      <w:r w:rsidR="009135B3">
        <w:rPr>
          <w:rFonts w:eastAsiaTheme="minorEastAsia" w:cs="Times New Roman"/>
        </w:rPr>
        <w:t>normalised attention scores for each slide to a range of 0-1 and established thresholds to categorise</w:t>
      </w:r>
      <w:r w:rsidRPr="003823AA">
        <w:rPr>
          <w:rFonts w:eastAsiaTheme="minorEastAsia" w:cs="Times New Roman"/>
        </w:rPr>
        <w:t xml:space="preserve"> patches into three groups: high attention (&gt;0</w:t>
      </w:r>
      <w:r w:rsidR="00AC17D5">
        <w:rPr>
          <w:rFonts w:cs="Times New Roman"/>
        </w:rPr>
        <w:t>.</w:t>
      </w:r>
      <w:r w:rsidRPr="003823AA">
        <w:rPr>
          <w:rFonts w:eastAsiaTheme="minorEastAsia" w:cs="Times New Roman"/>
        </w:rPr>
        <w:t>7), moderate attention (0</w:t>
      </w:r>
      <w:r w:rsidR="00AC17D5">
        <w:rPr>
          <w:rFonts w:cs="Times New Roman"/>
        </w:rPr>
        <w:t>.</w:t>
      </w:r>
      <w:r w:rsidRPr="003823AA">
        <w:rPr>
          <w:rFonts w:eastAsiaTheme="minorEastAsia" w:cs="Times New Roman"/>
        </w:rPr>
        <w:t>3-0</w:t>
      </w:r>
      <w:r w:rsidR="00AC17D5">
        <w:rPr>
          <w:rFonts w:cs="Times New Roman"/>
        </w:rPr>
        <w:t>.</w:t>
      </w:r>
      <w:r w:rsidRPr="003823AA">
        <w:rPr>
          <w:rFonts w:eastAsiaTheme="minorEastAsia" w:cs="Times New Roman"/>
        </w:rPr>
        <w:t>7), and low attention (&lt;0</w:t>
      </w:r>
      <w:r w:rsidR="00AC17D5">
        <w:rPr>
          <w:rFonts w:cs="Times New Roman"/>
        </w:rPr>
        <w:t>.</w:t>
      </w:r>
      <w:r w:rsidRPr="003823AA">
        <w:rPr>
          <w:rFonts w:eastAsiaTheme="minorEastAsia" w:cs="Times New Roman"/>
        </w:rPr>
        <w:t xml:space="preserve">3). For validation of the </w:t>
      </w:r>
      <w:r w:rsidR="00AC17D5">
        <w:rPr>
          <w:rFonts w:eastAsiaTheme="minorEastAsia" w:cs="Times New Roman"/>
        </w:rPr>
        <w:t>model’s</w:t>
      </w:r>
      <w:r w:rsidRPr="003823AA">
        <w:rPr>
          <w:rFonts w:eastAsiaTheme="minorEastAsia" w:cs="Times New Roman"/>
        </w:rPr>
        <w:t xml:space="preserve"> focus on clinically relevant regions, we randomly selected 20 patients from each risk group and extracted their top 15 highest-weighted patches for independent pathologist evaluation. Pathologists were asked to identify patches containing tumo</w:t>
      </w:r>
      <w:r w:rsidR="008D2EE3" w:rsidRPr="003823AA">
        <w:rPr>
          <w:rFonts w:eastAsiaTheme="minorEastAsia" w:cs="Times New Roman"/>
        </w:rPr>
        <w:t>u</w:t>
      </w:r>
      <w:r w:rsidRPr="003823AA">
        <w:rPr>
          <w:rFonts w:eastAsiaTheme="minorEastAsia" w:cs="Times New Roman"/>
        </w:rPr>
        <w:t xml:space="preserve">r cells and assess the histological characteristics of the </w:t>
      </w:r>
      <w:r w:rsidR="00AC17D5">
        <w:rPr>
          <w:rFonts w:eastAsiaTheme="minorEastAsia" w:cs="Times New Roman"/>
        </w:rPr>
        <w:t>high-magnification</w:t>
      </w:r>
      <w:r w:rsidRPr="003823AA">
        <w:rPr>
          <w:rFonts w:eastAsiaTheme="minorEastAsia" w:cs="Times New Roman"/>
        </w:rPr>
        <w:t xml:space="preserve"> regions.</w:t>
      </w:r>
    </w:p>
    <w:p w14:paraId="48210CAA" w14:textId="3E70092B" w:rsidR="00D765F0" w:rsidRPr="003823AA" w:rsidRDefault="00B96874" w:rsidP="00B96874">
      <w:pPr>
        <w:ind w:firstLineChars="200" w:firstLine="400"/>
        <w:rPr>
          <w:rFonts w:eastAsiaTheme="minorEastAsia" w:cs="Times New Roman"/>
        </w:rPr>
      </w:pPr>
      <w:r w:rsidRPr="003823AA">
        <w:rPr>
          <w:rFonts w:eastAsiaTheme="minorEastAsia" w:cs="Times New Roman"/>
        </w:rPr>
        <w:t xml:space="preserve">The attention heatmap analysis methodology enabled systematic evaluation of the </w:t>
      </w:r>
      <w:r w:rsidR="00AC17D5">
        <w:rPr>
          <w:rFonts w:eastAsiaTheme="minorEastAsia" w:cs="Times New Roman"/>
        </w:rPr>
        <w:t>model’s</w:t>
      </w:r>
      <w:r w:rsidRPr="003823AA">
        <w:rPr>
          <w:rFonts w:eastAsiaTheme="minorEastAsia" w:cs="Times New Roman"/>
        </w:rPr>
        <w:t xml:space="preserve"> decision-making process by </w:t>
      </w:r>
      <w:r w:rsidR="009135B3">
        <w:rPr>
          <w:rFonts w:eastAsiaTheme="minorEastAsia" w:cs="Times New Roman"/>
        </w:rPr>
        <w:t>visualising</w:t>
      </w:r>
      <w:r w:rsidRPr="003823AA">
        <w:rPr>
          <w:rFonts w:eastAsiaTheme="minorEastAsia" w:cs="Times New Roman"/>
        </w:rPr>
        <w:t xml:space="preserve"> which anatomical and pathological features contributed most significantly to survival predictions. This approach allowed for assessment of whether the </w:t>
      </w:r>
      <w:r w:rsidR="00AC17D5">
        <w:rPr>
          <w:rFonts w:eastAsiaTheme="minorEastAsia" w:cs="Times New Roman"/>
        </w:rPr>
        <w:t>model’s</w:t>
      </w:r>
      <w:r w:rsidRPr="003823AA">
        <w:rPr>
          <w:rFonts w:eastAsiaTheme="minorEastAsia" w:cs="Times New Roman"/>
        </w:rPr>
        <w:t xml:space="preserve"> attention patterns aligned with clinically relevant tumo</w:t>
      </w:r>
      <w:r w:rsidR="008D2EE3" w:rsidRPr="003823AA">
        <w:rPr>
          <w:rFonts w:eastAsiaTheme="minorEastAsia" w:cs="Times New Roman"/>
        </w:rPr>
        <w:t>u</w:t>
      </w:r>
      <w:r w:rsidRPr="003823AA">
        <w:rPr>
          <w:rFonts w:eastAsiaTheme="minorEastAsia" w:cs="Times New Roman"/>
        </w:rPr>
        <w:t>r characteristics and provided insights into the biological basis of the prognostic predictions.</w:t>
      </w:r>
    </w:p>
    <w:p w14:paraId="0751A6A8" w14:textId="6833EDA4" w:rsidR="00647F99" w:rsidRPr="003823AA" w:rsidRDefault="00647F99" w:rsidP="00647F99">
      <w:pPr>
        <w:rPr>
          <w:rFonts w:cs="Times New Roman"/>
        </w:rPr>
      </w:pPr>
    </w:p>
    <w:p w14:paraId="111890BF" w14:textId="442322E7" w:rsidR="00F7676F" w:rsidRPr="003823AA" w:rsidRDefault="00F7676F" w:rsidP="00D561D1">
      <w:pPr>
        <w:rPr>
          <w:rFonts w:cs="Times New Roman"/>
        </w:rPr>
        <w:sectPr w:rsidR="00F7676F" w:rsidRPr="003823AA">
          <w:footerReference w:type="default" r:id="rId6"/>
          <w:pgSz w:w="11906" w:h="16838"/>
          <w:pgMar w:top="1440" w:right="1800" w:bottom="1440" w:left="1800" w:header="851" w:footer="992" w:gutter="0"/>
          <w:cols w:space="425"/>
          <w:docGrid w:type="lines" w:linePitch="312"/>
        </w:sectPr>
      </w:pPr>
    </w:p>
    <w:p w14:paraId="4550FCDD" w14:textId="34E3060F" w:rsidR="00162934" w:rsidRPr="003823AA" w:rsidRDefault="00F40D9E" w:rsidP="00F40D9E">
      <w:pPr>
        <w:pStyle w:val="3"/>
        <w:rPr>
          <w:rFonts w:eastAsiaTheme="minorEastAsia"/>
        </w:rPr>
      </w:pPr>
      <w:bookmarkStart w:id="1" w:name="_Hlk202891518"/>
      <w:bookmarkStart w:id="2" w:name="_Hlk203661086"/>
      <w:r w:rsidRPr="00F40D9E">
        <w:rPr>
          <w:rFonts w:eastAsiaTheme="minorEastAsia"/>
        </w:rPr>
        <w:lastRenderedPageBreak/>
        <w:t>Supplementary</w:t>
      </w:r>
      <w:r>
        <w:rPr>
          <w:rFonts w:eastAsiaTheme="minorEastAsia"/>
        </w:rPr>
        <w:t xml:space="preserve"> </w:t>
      </w:r>
      <w:r w:rsidR="00162934" w:rsidRPr="003823AA">
        <w:rPr>
          <w:rFonts w:eastAsiaTheme="minorEastAsia"/>
        </w:rPr>
        <w:t>Table 1</w:t>
      </w:r>
      <w:r w:rsidR="00064784">
        <w:rPr>
          <w:rFonts w:eastAsiaTheme="minorEastAsia"/>
        </w:rPr>
        <w:t xml:space="preserve"> </w:t>
      </w:r>
      <w:r w:rsidR="00064784" w:rsidRPr="00CF3A85">
        <w:rPr>
          <w:b w:val="0"/>
          <w:bCs w:val="0"/>
        </w:rPr>
        <w:t>|</w:t>
      </w:r>
      <w:r w:rsidR="00162934" w:rsidRPr="003823AA">
        <w:rPr>
          <w:rFonts w:eastAsiaTheme="minorEastAsia"/>
        </w:rPr>
        <w:t xml:space="preserve"> MRI scanning parameters for different </w:t>
      </w:r>
      <w:r w:rsidR="00517B8E" w:rsidRPr="003823AA">
        <w:rPr>
          <w:rFonts w:eastAsiaTheme="minorEastAsia"/>
        </w:rPr>
        <w:t>centre</w:t>
      </w:r>
      <w:r w:rsidR="00162934" w:rsidRPr="003823AA">
        <w:rPr>
          <w:rFonts w:eastAsiaTheme="minorEastAsia"/>
        </w:rPr>
        <w:t>s</w:t>
      </w:r>
    </w:p>
    <w:tbl>
      <w:tblPr>
        <w:tblW w:w="0" w:type="auto"/>
        <w:tblLayout w:type="fixed"/>
        <w:tblCellMar>
          <w:left w:w="0" w:type="dxa"/>
          <w:right w:w="0" w:type="dxa"/>
        </w:tblCellMar>
        <w:tblLook w:val="04A0" w:firstRow="1" w:lastRow="0" w:firstColumn="1" w:lastColumn="0" w:noHBand="0" w:noVBand="1"/>
      </w:tblPr>
      <w:tblGrid>
        <w:gridCol w:w="2886"/>
        <w:gridCol w:w="2643"/>
        <w:gridCol w:w="3157"/>
        <w:gridCol w:w="706"/>
        <w:gridCol w:w="694"/>
        <w:gridCol w:w="936"/>
        <w:gridCol w:w="868"/>
        <w:gridCol w:w="432"/>
        <w:gridCol w:w="1636"/>
      </w:tblGrid>
      <w:tr w:rsidR="00162934" w:rsidRPr="003823AA" w14:paraId="60C96155" w14:textId="77777777" w:rsidTr="00AC7C77">
        <w:trPr>
          <w:trHeight w:val="276"/>
        </w:trPr>
        <w:tc>
          <w:tcPr>
            <w:tcW w:w="2886" w:type="dxa"/>
            <w:vMerge w:val="restart"/>
            <w:tcBorders>
              <w:top w:val="single" w:sz="4" w:space="0" w:color="auto"/>
              <w:left w:val="nil"/>
              <w:bottom w:val="single" w:sz="4" w:space="0" w:color="000000"/>
              <w:right w:val="nil"/>
            </w:tcBorders>
            <w:shd w:val="clear" w:color="auto" w:fill="auto"/>
            <w:vAlign w:val="center"/>
            <w:hideMark/>
          </w:tcPr>
          <w:p w14:paraId="4F017463" w14:textId="718EFBB5" w:rsidR="00162934" w:rsidRPr="003823AA" w:rsidRDefault="00517B8E" w:rsidP="00AC7C77">
            <w:pPr>
              <w:jc w:val="center"/>
              <w:rPr>
                <w:rFonts w:eastAsia="等线" w:cs="Times New Roman"/>
                <w:color w:val="000000"/>
                <w:sz w:val="16"/>
                <w:szCs w:val="16"/>
              </w:rPr>
            </w:pPr>
            <w:r w:rsidRPr="003823AA">
              <w:rPr>
                <w:rFonts w:eastAsia="等线" w:cs="Times New Roman"/>
                <w:color w:val="000000"/>
                <w:sz w:val="16"/>
                <w:szCs w:val="16"/>
              </w:rPr>
              <w:t>Centre</w:t>
            </w:r>
          </w:p>
        </w:tc>
        <w:tc>
          <w:tcPr>
            <w:tcW w:w="2643" w:type="dxa"/>
            <w:vMerge w:val="restart"/>
            <w:tcBorders>
              <w:top w:val="single" w:sz="4" w:space="0" w:color="auto"/>
              <w:left w:val="nil"/>
              <w:bottom w:val="single" w:sz="4" w:space="0" w:color="000000"/>
              <w:right w:val="nil"/>
            </w:tcBorders>
            <w:shd w:val="clear" w:color="auto" w:fill="auto"/>
            <w:noWrap/>
            <w:vAlign w:val="center"/>
            <w:hideMark/>
          </w:tcPr>
          <w:p w14:paraId="05DAEC76"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Scanner</w:t>
            </w:r>
          </w:p>
        </w:tc>
        <w:tc>
          <w:tcPr>
            <w:tcW w:w="3157" w:type="dxa"/>
            <w:vMerge w:val="restart"/>
            <w:tcBorders>
              <w:top w:val="single" w:sz="4" w:space="0" w:color="auto"/>
              <w:left w:val="nil"/>
              <w:bottom w:val="single" w:sz="4" w:space="0" w:color="000000"/>
              <w:right w:val="nil"/>
            </w:tcBorders>
            <w:shd w:val="clear" w:color="auto" w:fill="auto"/>
            <w:noWrap/>
            <w:vAlign w:val="center"/>
            <w:hideMark/>
          </w:tcPr>
          <w:p w14:paraId="3AAE0CF6"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Sequence</w:t>
            </w:r>
          </w:p>
        </w:tc>
        <w:tc>
          <w:tcPr>
            <w:tcW w:w="5272" w:type="dxa"/>
            <w:gridSpan w:val="6"/>
            <w:tcBorders>
              <w:top w:val="single" w:sz="4" w:space="0" w:color="auto"/>
              <w:left w:val="nil"/>
              <w:bottom w:val="single" w:sz="4" w:space="0" w:color="auto"/>
              <w:right w:val="nil"/>
            </w:tcBorders>
            <w:shd w:val="clear" w:color="auto" w:fill="auto"/>
            <w:noWrap/>
            <w:vAlign w:val="center"/>
            <w:hideMark/>
          </w:tcPr>
          <w:p w14:paraId="423405A5"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Parameters</w:t>
            </w:r>
          </w:p>
        </w:tc>
      </w:tr>
      <w:tr w:rsidR="00162934" w:rsidRPr="003823AA" w14:paraId="6C049FA9" w14:textId="77777777" w:rsidTr="00AC7C77">
        <w:trPr>
          <w:trHeight w:val="730"/>
        </w:trPr>
        <w:tc>
          <w:tcPr>
            <w:tcW w:w="2886" w:type="dxa"/>
            <w:vMerge/>
            <w:tcBorders>
              <w:top w:val="single" w:sz="4" w:space="0" w:color="auto"/>
              <w:left w:val="nil"/>
              <w:bottom w:val="single" w:sz="4" w:space="0" w:color="000000"/>
              <w:right w:val="nil"/>
            </w:tcBorders>
            <w:vAlign w:val="center"/>
            <w:hideMark/>
          </w:tcPr>
          <w:p w14:paraId="28A7E447" w14:textId="77777777" w:rsidR="00162934" w:rsidRPr="003823AA" w:rsidRDefault="00162934" w:rsidP="00AC7C77">
            <w:pPr>
              <w:rPr>
                <w:rFonts w:eastAsia="等线" w:cs="Times New Roman"/>
                <w:color w:val="000000"/>
                <w:sz w:val="16"/>
                <w:szCs w:val="16"/>
              </w:rPr>
            </w:pPr>
          </w:p>
        </w:tc>
        <w:tc>
          <w:tcPr>
            <w:tcW w:w="2643" w:type="dxa"/>
            <w:vMerge/>
            <w:tcBorders>
              <w:top w:val="single" w:sz="4" w:space="0" w:color="auto"/>
              <w:left w:val="nil"/>
              <w:bottom w:val="single" w:sz="4" w:space="0" w:color="000000"/>
              <w:right w:val="nil"/>
            </w:tcBorders>
            <w:vAlign w:val="center"/>
            <w:hideMark/>
          </w:tcPr>
          <w:p w14:paraId="4BED4EEF" w14:textId="77777777" w:rsidR="00162934" w:rsidRPr="003823AA" w:rsidRDefault="00162934" w:rsidP="00AC7C77">
            <w:pPr>
              <w:rPr>
                <w:rFonts w:eastAsia="等线" w:cs="Times New Roman"/>
                <w:color w:val="000000"/>
                <w:sz w:val="16"/>
                <w:szCs w:val="16"/>
              </w:rPr>
            </w:pPr>
          </w:p>
        </w:tc>
        <w:tc>
          <w:tcPr>
            <w:tcW w:w="3157" w:type="dxa"/>
            <w:vMerge/>
            <w:tcBorders>
              <w:top w:val="single" w:sz="4" w:space="0" w:color="auto"/>
              <w:left w:val="nil"/>
              <w:bottom w:val="single" w:sz="4" w:space="0" w:color="000000"/>
              <w:right w:val="nil"/>
            </w:tcBorders>
            <w:vAlign w:val="center"/>
            <w:hideMark/>
          </w:tcPr>
          <w:p w14:paraId="69FA0A2D" w14:textId="77777777" w:rsidR="00162934" w:rsidRPr="003823AA" w:rsidRDefault="00162934" w:rsidP="00AC7C77">
            <w:pPr>
              <w:rPr>
                <w:rFonts w:eastAsia="等线" w:cs="Times New Roman"/>
                <w:color w:val="000000"/>
                <w:sz w:val="16"/>
                <w:szCs w:val="16"/>
              </w:rPr>
            </w:pPr>
          </w:p>
        </w:tc>
        <w:tc>
          <w:tcPr>
            <w:tcW w:w="706" w:type="dxa"/>
            <w:tcBorders>
              <w:top w:val="nil"/>
              <w:left w:val="nil"/>
              <w:bottom w:val="single" w:sz="4" w:space="0" w:color="auto"/>
              <w:right w:val="nil"/>
            </w:tcBorders>
            <w:shd w:val="clear" w:color="auto" w:fill="auto"/>
            <w:noWrap/>
            <w:vAlign w:val="center"/>
            <w:hideMark/>
          </w:tcPr>
          <w:p w14:paraId="38655B02" w14:textId="69DAE3DF"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TR (</w:t>
            </w:r>
            <w:proofErr w:type="spellStart"/>
            <w:r w:rsidRPr="003823AA">
              <w:rPr>
                <w:rFonts w:eastAsia="等线" w:cs="Times New Roman"/>
                <w:color w:val="000000"/>
                <w:sz w:val="16"/>
                <w:szCs w:val="16"/>
              </w:rPr>
              <w:t>ms</w:t>
            </w:r>
            <w:proofErr w:type="spellEnd"/>
            <w:r w:rsidRPr="003823AA">
              <w:rPr>
                <w:rFonts w:eastAsia="等线" w:cs="Times New Roman"/>
                <w:color w:val="000000"/>
                <w:sz w:val="16"/>
                <w:szCs w:val="16"/>
              </w:rPr>
              <w:t>)</w:t>
            </w:r>
          </w:p>
        </w:tc>
        <w:tc>
          <w:tcPr>
            <w:tcW w:w="694" w:type="dxa"/>
            <w:tcBorders>
              <w:top w:val="nil"/>
              <w:left w:val="nil"/>
              <w:bottom w:val="single" w:sz="4" w:space="0" w:color="auto"/>
              <w:right w:val="nil"/>
            </w:tcBorders>
            <w:shd w:val="clear" w:color="auto" w:fill="auto"/>
            <w:noWrap/>
            <w:vAlign w:val="center"/>
            <w:hideMark/>
          </w:tcPr>
          <w:p w14:paraId="23611C77"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TE (</w:t>
            </w:r>
            <w:proofErr w:type="spellStart"/>
            <w:r w:rsidRPr="003823AA">
              <w:rPr>
                <w:rFonts w:eastAsia="等线" w:cs="Times New Roman"/>
                <w:color w:val="000000"/>
                <w:sz w:val="16"/>
                <w:szCs w:val="16"/>
              </w:rPr>
              <w:t>ms</w:t>
            </w:r>
            <w:proofErr w:type="spellEnd"/>
            <w:r w:rsidRPr="003823AA">
              <w:rPr>
                <w:rFonts w:eastAsia="等线" w:cs="Times New Roman"/>
                <w:color w:val="000000"/>
                <w:sz w:val="16"/>
                <w:szCs w:val="16"/>
              </w:rPr>
              <w:t>)</w:t>
            </w:r>
          </w:p>
        </w:tc>
        <w:tc>
          <w:tcPr>
            <w:tcW w:w="936" w:type="dxa"/>
            <w:tcBorders>
              <w:top w:val="nil"/>
              <w:left w:val="nil"/>
              <w:bottom w:val="single" w:sz="4" w:space="0" w:color="auto"/>
              <w:right w:val="nil"/>
            </w:tcBorders>
            <w:shd w:val="clear" w:color="auto" w:fill="auto"/>
            <w:noWrap/>
            <w:vAlign w:val="center"/>
            <w:hideMark/>
          </w:tcPr>
          <w:p w14:paraId="5F8DD8AC"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FOV (mm)</w:t>
            </w:r>
          </w:p>
        </w:tc>
        <w:tc>
          <w:tcPr>
            <w:tcW w:w="868" w:type="dxa"/>
            <w:tcBorders>
              <w:top w:val="nil"/>
              <w:left w:val="nil"/>
              <w:bottom w:val="single" w:sz="4" w:space="0" w:color="auto"/>
              <w:right w:val="nil"/>
            </w:tcBorders>
            <w:shd w:val="clear" w:color="auto" w:fill="auto"/>
            <w:noWrap/>
            <w:vAlign w:val="center"/>
            <w:hideMark/>
          </w:tcPr>
          <w:p w14:paraId="5FBE1759"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Matrix</w:t>
            </w:r>
          </w:p>
        </w:tc>
        <w:tc>
          <w:tcPr>
            <w:tcW w:w="432" w:type="dxa"/>
            <w:tcBorders>
              <w:top w:val="nil"/>
              <w:left w:val="nil"/>
              <w:bottom w:val="single" w:sz="4" w:space="0" w:color="auto"/>
              <w:right w:val="nil"/>
            </w:tcBorders>
            <w:shd w:val="clear" w:color="auto" w:fill="auto"/>
            <w:noWrap/>
            <w:vAlign w:val="center"/>
            <w:hideMark/>
          </w:tcPr>
          <w:p w14:paraId="1A929B82"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NEX</w:t>
            </w:r>
          </w:p>
        </w:tc>
        <w:tc>
          <w:tcPr>
            <w:tcW w:w="1636" w:type="dxa"/>
            <w:tcBorders>
              <w:top w:val="nil"/>
              <w:left w:val="nil"/>
              <w:bottom w:val="single" w:sz="4" w:space="0" w:color="auto"/>
              <w:right w:val="nil"/>
            </w:tcBorders>
            <w:shd w:val="clear" w:color="auto" w:fill="auto"/>
            <w:noWrap/>
            <w:vAlign w:val="center"/>
            <w:hideMark/>
          </w:tcPr>
          <w:p w14:paraId="05648C78"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 xml:space="preserve"> Section Thickness</w:t>
            </w:r>
          </w:p>
          <w:p w14:paraId="7D6D7A95"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/Gap (mm)</w:t>
            </w:r>
          </w:p>
        </w:tc>
      </w:tr>
      <w:tr w:rsidR="00162934" w:rsidRPr="003823AA" w14:paraId="2E9D53C4" w14:textId="77777777" w:rsidTr="00AC7C77">
        <w:trPr>
          <w:trHeight w:val="265"/>
        </w:trPr>
        <w:tc>
          <w:tcPr>
            <w:tcW w:w="2886" w:type="dxa"/>
            <w:vMerge w:val="restart"/>
            <w:tcBorders>
              <w:top w:val="single" w:sz="4" w:space="0" w:color="000000"/>
              <w:left w:val="nil"/>
              <w:right w:val="nil"/>
            </w:tcBorders>
            <w:shd w:val="clear" w:color="auto" w:fill="auto"/>
            <w:vAlign w:val="center"/>
            <w:hideMark/>
          </w:tcPr>
          <w:p w14:paraId="086E0837" w14:textId="3DC98452"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 xml:space="preserve"> </w:t>
            </w:r>
            <w:r w:rsidR="00AC17D5">
              <w:rPr>
                <w:rFonts w:eastAsia="等线" w:cs="Times New Roman"/>
                <w:color w:val="000000"/>
                <w:sz w:val="16"/>
                <w:szCs w:val="16"/>
              </w:rPr>
              <w:t>The</w:t>
            </w:r>
            <w:r w:rsidRPr="003823AA">
              <w:rPr>
                <w:rFonts w:eastAsia="等线" w:cs="Times New Roman"/>
                <w:color w:val="000000"/>
                <w:sz w:val="16"/>
                <w:szCs w:val="16"/>
              </w:rPr>
              <w:t xml:space="preserve"> Sixth Affiliated Hospital of Sun </w:t>
            </w:r>
            <w:proofErr w:type="spellStart"/>
            <w:r w:rsidRPr="003823AA">
              <w:rPr>
                <w:rFonts w:eastAsia="等线" w:cs="Times New Roman"/>
                <w:color w:val="000000"/>
                <w:sz w:val="16"/>
                <w:szCs w:val="16"/>
              </w:rPr>
              <w:t>Yat-sen</w:t>
            </w:r>
            <w:proofErr w:type="spellEnd"/>
            <w:r w:rsidRPr="003823AA">
              <w:rPr>
                <w:rFonts w:eastAsia="等线" w:cs="Times New Roman"/>
                <w:color w:val="000000"/>
                <w:sz w:val="16"/>
                <w:szCs w:val="16"/>
              </w:rPr>
              <w:t xml:space="preserve"> University</w:t>
            </w:r>
          </w:p>
        </w:tc>
        <w:tc>
          <w:tcPr>
            <w:tcW w:w="2643" w:type="dxa"/>
            <w:vMerge w:val="restart"/>
            <w:tcBorders>
              <w:top w:val="single" w:sz="4" w:space="0" w:color="000000"/>
              <w:left w:val="nil"/>
              <w:right w:val="nil"/>
            </w:tcBorders>
            <w:shd w:val="clear" w:color="auto" w:fill="auto"/>
            <w:noWrap/>
            <w:vAlign w:val="center"/>
            <w:hideMark/>
          </w:tcPr>
          <w:p w14:paraId="003DD62A"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GE, MR 750</w:t>
            </w:r>
          </w:p>
          <w:p w14:paraId="5F4DB4DD" w14:textId="12BE57AF"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w:t>
            </w:r>
            <w:r w:rsidR="00AC17D5">
              <w:rPr>
                <w:rFonts w:eastAsia="等线" w:cs="Times New Roman"/>
                <w:color w:val="000000"/>
                <w:sz w:val="16"/>
                <w:szCs w:val="16"/>
              </w:rPr>
              <w:t>.</w:t>
            </w:r>
            <w:r w:rsidRPr="003823AA">
              <w:rPr>
                <w:rFonts w:eastAsia="等线" w:cs="Times New Roman"/>
                <w:color w:val="000000"/>
                <w:sz w:val="16"/>
                <w:szCs w:val="16"/>
              </w:rPr>
              <w:t>0T</w:t>
            </w:r>
          </w:p>
        </w:tc>
        <w:tc>
          <w:tcPr>
            <w:tcW w:w="3157" w:type="dxa"/>
            <w:tcBorders>
              <w:top w:val="nil"/>
              <w:left w:val="nil"/>
              <w:bottom w:val="nil"/>
              <w:right w:val="nil"/>
            </w:tcBorders>
            <w:shd w:val="clear" w:color="auto" w:fill="auto"/>
            <w:vAlign w:val="center"/>
            <w:hideMark/>
          </w:tcPr>
          <w:p w14:paraId="4320778D" w14:textId="77777777"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T2WI</w:t>
            </w:r>
          </w:p>
        </w:tc>
        <w:tc>
          <w:tcPr>
            <w:tcW w:w="706" w:type="dxa"/>
            <w:tcBorders>
              <w:top w:val="nil"/>
              <w:left w:val="nil"/>
              <w:bottom w:val="nil"/>
              <w:right w:val="nil"/>
            </w:tcBorders>
            <w:shd w:val="clear" w:color="auto" w:fill="auto"/>
            <w:noWrap/>
            <w:vAlign w:val="center"/>
            <w:hideMark/>
          </w:tcPr>
          <w:p w14:paraId="4F972859"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5694</w:t>
            </w:r>
          </w:p>
        </w:tc>
        <w:tc>
          <w:tcPr>
            <w:tcW w:w="694" w:type="dxa"/>
            <w:tcBorders>
              <w:top w:val="nil"/>
              <w:left w:val="nil"/>
              <w:bottom w:val="nil"/>
              <w:right w:val="nil"/>
            </w:tcBorders>
            <w:shd w:val="clear" w:color="auto" w:fill="auto"/>
            <w:noWrap/>
            <w:vAlign w:val="center"/>
            <w:hideMark/>
          </w:tcPr>
          <w:p w14:paraId="74F3CD26"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110</w:t>
            </w:r>
          </w:p>
        </w:tc>
        <w:tc>
          <w:tcPr>
            <w:tcW w:w="936" w:type="dxa"/>
            <w:tcBorders>
              <w:top w:val="nil"/>
              <w:left w:val="nil"/>
              <w:bottom w:val="nil"/>
              <w:right w:val="nil"/>
            </w:tcBorders>
            <w:shd w:val="clear" w:color="auto" w:fill="auto"/>
            <w:noWrap/>
            <w:vAlign w:val="center"/>
            <w:hideMark/>
          </w:tcPr>
          <w:p w14:paraId="48121D72"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180</w:t>
            </w:r>
          </w:p>
        </w:tc>
        <w:tc>
          <w:tcPr>
            <w:tcW w:w="868" w:type="dxa"/>
            <w:tcBorders>
              <w:top w:val="nil"/>
              <w:left w:val="nil"/>
              <w:bottom w:val="nil"/>
              <w:right w:val="nil"/>
            </w:tcBorders>
            <w:shd w:val="clear" w:color="auto" w:fill="auto"/>
            <w:noWrap/>
            <w:vAlign w:val="center"/>
            <w:hideMark/>
          </w:tcPr>
          <w:p w14:paraId="7A0074F4"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288/256</w:t>
            </w:r>
          </w:p>
        </w:tc>
        <w:tc>
          <w:tcPr>
            <w:tcW w:w="432" w:type="dxa"/>
            <w:tcBorders>
              <w:top w:val="nil"/>
              <w:left w:val="nil"/>
              <w:bottom w:val="nil"/>
              <w:right w:val="nil"/>
            </w:tcBorders>
            <w:shd w:val="clear" w:color="auto" w:fill="auto"/>
            <w:noWrap/>
            <w:vAlign w:val="center"/>
            <w:hideMark/>
          </w:tcPr>
          <w:p w14:paraId="7E93ACF9"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4</w:t>
            </w:r>
          </w:p>
        </w:tc>
        <w:tc>
          <w:tcPr>
            <w:tcW w:w="1636" w:type="dxa"/>
            <w:tcBorders>
              <w:top w:val="nil"/>
              <w:left w:val="nil"/>
              <w:bottom w:val="nil"/>
              <w:right w:val="nil"/>
            </w:tcBorders>
            <w:shd w:val="clear" w:color="auto" w:fill="auto"/>
            <w:noWrap/>
            <w:vAlign w:val="center"/>
            <w:hideMark/>
          </w:tcPr>
          <w:p w14:paraId="025FC1E0" w14:textId="4548C7CC"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w:t>
            </w:r>
            <w:r w:rsidR="00AC17D5">
              <w:rPr>
                <w:rFonts w:eastAsia="等线" w:cs="Times New Roman"/>
                <w:color w:val="000000"/>
                <w:sz w:val="16"/>
                <w:szCs w:val="16"/>
              </w:rPr>
              <w:t>.</w:t>
            </w:r>
            <w:r w:rsidRPr="003823AA">
              <w:rPr>
                <w:rFonts w:eastAsia="等线" w:cs="Times New Roman"/>
                <w:color w:val="000000"/>
                <w:sz w:val="16"/>
                <w:szCs w:val="16"/>
              </w:rPr>
              <w:t>0/0</w:t>
            </w:r>
            <w:r w:rsidR="00AC17D5">
              <w:rPr>
                <w:rFonts w:eastAsia="等线" w:cs="Times New Roman"/>
                <w:color w:val="000000"/>
                <w:sz w:val="16"/>
                <w:szCs w:val="16"/>
              </w:rPr>
              <w:t>.</w:t>
            </w:r>
            <w:r w:rsidRPr="003823AA">
              <w:rPr>
                <w:rFonts w:eastAsia="等线" w:cs="Times New Roman"/>
                <w:color w:val="000000"/>
                <w:sz w:val="16"/>
                <w:szCs w:val="16"/>
              </w:rPr>
              <w:t>3</w:t>
            </w:r>
          </w:p>
        </w:tc>
      </w:tr>
      <w:tr w:rsidR="00162934" w:rsidRPr="003823AA" w14:paraId="42D56966" w14:textId="77777777" w:rsidTr="00AC7C77">
        <w:trPr>
          <w:trHeight w:val="263"/>
        </w:trPr>
        <w:tc>
          <w:tcPr>
            <w:tcW w:w="2886" w:type="dxa"/>
            <w:vMerge/>
            <w:tcBorders>
              <w:left w:val="nil"/>
              <w:right w:val="nil"/>
            </w:tcBorders>
            <w:shd w:val="clear" w:color="auto" w:fill="auto"/>
            <w:vAlign w:val="center"/>
            <w:hideMark/>
          </w:tcPr>
          <w:p w14:paraId="64A3522E" w14:textId="77777777" w:rsidR="00162934" w:rsidRPr="003823AA" w:rsidRDefault="00162934" w:rsidP="00AC7C77">
            <w:pPr>
              <w:rPr>
                <w:rFonts w:eastAsia="等线" w:cs="Times New Roman"/>
                <w:color w:val="000000"/>
                <w:sz w:val="16"/>
                <w:szCs w:val="16"/>
              </w:rPr>
            </w:pPr>
          </w:p>
        </w:tc>
        <w:tc>
          <w:tcPr>
            <w:tcW w:w="2643" w:type="dxa"/>
            <w:vMerge/>
            <w:tcBorders>
              <w:left w:val="nil"/>
              <w:right w:val="nil"/>
            </w:tcBorders>
            <w:shd w:val="clear" w:color="auto" w:fill="auto"/>
            <w:vAlign w:val="center"/>
            <w:hideMark/>
          </w:tcPr>
          <w:p w14:paraId="6894A698" w14:textId="77777777" w:rsidR="00162934" w:rsidRPr="003823AA" w:rsidRDefault="00162934" w:rsidP="00AC7C77">
            <w:pPr>
              <w:rPr>
                <w:rFonts w:eastAsia="等线" w:cs="Times New Roman"/>
                <w:color w:val="000000"/>
                <w:sz w:val="16"/>
                <w:szCs w:val="16"/>
              </w:rPr>
            </w:pPr>
          </w:p>
        </w:tc>
        <w:tc>
          <w:tcPr>
            <w:tcW w:w="3157" w:type="dxa"/>
            <w:tcBorders>
              <w:top w:val="nil"/>
              <w:left w:val="nil"/>
              <w:bottom w:val="nil"/>
              <w:right w:val="nil"/>
            </w:tcBorders>
            <w:shd w:val="clear" w:color="auto" w:fill="auto"/>
            <w:vAlign w:val="center"/>
            <w:hideMark/>
          </w:tcPr>
          <w:p w14:paraId="29C80709" w14:textId="6E0D9582"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DWI (b=800 s/mm</w:t>
            </w:r>
            <w:r w:rsidRPr="003823AA">
              <w:rPr>
                <w:rFonts w:eastAsia="等线" w:cs="Times New Roman"/>
                <w:color w:val="000000"/>
                <w:sz w:val="16"/>
                <w:szCs w:val="16"/>
                <w:vertAlign w:val="superscript"/>
              </w:rPr>
              <w:t>2</w:t>
            </w:r>
            <w:r w:rsidRPr="003823AA">
              <w:rPr>
                <w:rFonts w:eastAsia="等线" w:cs="Times New Roman"/>
                <w:color w:val="000000"/>
                <w:sz w:val="16"/>
                <w:szCs w:val="16"/>
              </w:rPr>
              <w:t>)</w:t>
            </w:r>
          </w:p>
        </w:tc>
        <w:tc>
          <w:tcPr>
            <w:tcW w:w="706" w:type="dxa"/>
            <w:tcBorders>
              <w:top w:val="nil"/>
              <w:left w:val="nil"/>
              <w:bottom w:val="nil"/>
              <w:right w:val="nil"/>
            </w:tcBorders>
            <w:shd w:val="clear" w:color="auto" w:fill="auto"/>
            <w:noWrap/>
            <w:vAlign w:val="center"/>
            <w:hideMark/>
          </w:tcPr>
          <w:p w14:paraId="79C2BABC"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2800</w:t>
            </w:r>
          </w:p>
        </w:tc>
        <w:tc>
          <w:tcPr>
            <w:tcW w:w="694" w:type="dxa"/>
            <w:tcBorders>
              <w:top w:val="nil"/>
              <w:left w:val="nil"/>
              <w:bottom w:val="nil"/>
              <w:right w:val="nil"/>
            </w:tcBorders>
            <w:shd w:val="clear" w:color="auto" w:fill="auto"/>
            <w:noWrap/>
            <w:vAlign w:val="center"/>
            <w:hideMark/>
          </w:tcPr>
          <w:p w14:paraId="3E82AFAA"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60</w:t>
            </w:r>
          </w:p>
        </w:tc>
        <w:tc>
          <w:tcPr>
            <w:tcW w:w="936" w:type="dxa"/>
            <w:tcBorders>
              <w:top w:val="nil"/>
              <w:left w:val="nil"/>
              <w:bottom w:val="nil"/>
              <w:right w:val="nil"/>
            </w:tcBorders>
            <w:shd w:val="clear" w:color="auto" w:fill="auto"/>
            <w:noWrap/>
            <w:vAlign w:val="center"/>
            <w:hideMark/>
          </w:tcPr>
          <w:p w14:paraId="3699DFDB"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340</w:t>
            </w:r>
          </w:p>
        </w:tc>
        <w:tc>
          <w:tcPr>
            <w:tcW w:w="868" w:type="dxa"/>
            <w:tcBorders>
              <w:top w:val="nil"/>
              <w:left w:val="nil"/>
              <w:bottom w:val="nil"/>
              <w:right w:val="nil"/>
            </w:tcBorders>
            <w:shd w:val="clear" w:color="auto" w:fill="auto"/>
            <w:noWrap/>
            <w:vAlign w:val="center"/>
            <w:hideMark/>
          </w:tcPr>
          <w:p w14:paraId="482D98E5"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128/128</w:t>
            </w:r>
          </w:p>
        </w:tc>
        <w:tc>
          <w:tcPr>
            <w:tcW w:w="432" w:type="dxa"/>
            <w:tcBorders>
              <w:top w:val="nil"/>
              <w:left w:val="nil"/>
              <w:bottom w:val="nil"/>
              <w:right w:val="nil"/>
            </w:tcBorders>
            <w:shd w:val="clear" w:color="auto" w:fill="auto"/>
            <w:noWrap/>
            <w:vAlign w:val="center"/>
            <w:hideMark/>
          </w:tcPr>
          <w:p w14:paraId="184F55D9"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6</w:t>
            </w:r>
          </w:p>
        </w:tc>
        <w:tc>
          <w:tcPr>
            <w:tcW w:w="1636" w:type="dxa"/>
            <w:tcBorders>
              <w:top w:val="nil"/>
              <w:left w:val="nil"/>
              <w:bottom w:val="nil"/>
              <w:right w:val="nil"/>
            </w:tcBorders>
            <w:shd w:val="clear" w:color="auto" w:fill="auto"/>
            <w:noWrap/>
            <w:vAlign w:val="center"/>
            <w:hideMark/>
          </w:tcPr>
          <w:p w14:paraId="369D1257" w14:textId="77ABD702"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4</w:t>
            </w:r>
            <w:r w:rsidR="00AC17D5">
              <w:rPr>
                <w:rFonts w:eastAsia="等线" w:cs="Times New Roman"/>
                <w:color w:val="000000"/>
                <w:sz w:val="16"/>
                <w:szCs w:val="16"/>
              </w:rPr>
              <w:t>.</w:t>
            </w:r>
            <w:r w:rsidRPr="003823AA">
              <w:rPr>
                <w:rFonts w:eastAsia="等线" w:cs="Times New Roman"/>
                <w:color w:val="000000"/>
                <w:sz w:val="16"/>
                <w:szCs w:val="16"/>
              </w:rPr>
              <w:t>0/0</w:t>
            </w:r>
            <w:r w:rsidR="00AC17D5">
              <w:rPr>
                <w:rFonts w:eastAsia="等线" w:cs="Times New Roman"/>
                <w:color w:val="000000"/>
                <w:sz w:val="16"/>
                <w:szCs w:val="16"/>
              </w:rPr>
              <w:t>.</w:t>
            </w:r>
            <w:r w:rsidRPr="003823AA">
              <w:rPr>
                <w:rFonts w:eastAsia="等线" w:cs="Times New Roman"/>
                <w:color w:val="000000"/>
                <w:sz w:val="16"/>
                <w:szCs w:val="16"/>
              </w:rPr>
              <w:t>5</w:t>
            </w:r>
          </w:p>
        </w:tc>
      </w:tr>
      <w:tr w:rsidR="00162934" w:rsidRPr="003823AA" w14:paraId="5E9DCC4C" w14:textId="77777777" w:rsidTr="00AC7C77">
        <w:trPr>
          <w:trHeight w:val="263"/>
        </w:trPr>
        <w:tc>
          <w:tcPr>
            <w:tcW w:w="2886" w:type="dxa"/>
            <w:vMerge/>
            <w:tcBorders>
              <w:left w:val="nil"/>
              <w:right w:val="nil"/>
            </w:tcBorders>
            <w:shd w:val="clear" w:color="auto" w:fill="auto"/>
            <w:vAlign w:val="center"/>
            <w:hideMark/>
          </w:tcPr>
          <w:p w14:paraId="10394713" w14:textId="77777777" w:rsidR="00162934" w:rsidRPr="003823AA" w:rsidRDefault="00162934" w:rsidP="00AC7C77">
            <w:pPr>
              <w:rPr>
                <w:rFonts w:eastAsia="等线" w:cs="Times New Roman"/>
                <w:color w:val="000000"/>
                <w:sz w:val="16"/>
                <w:szCs w:val="16"/>
              </w:rPr>
            </w:pPr>
          </w:p>
        </w:tc>
        <w:tc>
          <w:tcPr>
            <w:tcW w:w="2643" w:type="dxa"/>
            <w:vMerge/>
            <w:tcBorders>
              <w:left w:val="nil"/>
              <w:right w:val="nil"/>
            </w:tcBorders>
            <w:shd w:val="clear" w:color="auto" w:fill="auto"/>
            <w:vAlign w:val="center"/>
            <w:hideMark/>
          </w:tcPr>
          <w:p w14:paraId="00684F4A" w14:textId="77777777" w:rsidR="00162934" w:rsidRPr="003823AA" w:rsidRDefault="00162934" w:rsidP="00AC7C77">
            <w:pPr>
              <w:rPr>
                <w:rFonts w:eastAsia="等线" w:cs="Times New Roman"/>
                <w:color w:val="000000"/>
                <w:sz w:val="16"/>
                <w:szCs w:val="16"/>
              </w:rPr>
            </w:pPr>
          </w:p>
        </w:tc>
        <w:tc>
          <w:tcPr>
            <w:tcW w:w="3157" w:type="dxa"/>
            <w:tcBorders>
              <w:top w:val="nil"/>
              <w:left w:val="nil"/>
              <w:bottom w:val="single" w:sz="4" w:space="0" w:color="auto"/>
              <w:right w:val="nil"/>
            </w:tcBorders>
            <w:shd w:val="clear" w:color="auto" w:fill="auto"/>
            <w:vAlign w:val="center"/>
            <w:hideMark/>
          </w:tcPr>
          <w:p w14:paraId="3CB683E1" w14:textId="77777777"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T1WIC</w:t>
            </w:r>
          </w:p>
        </w:tc>
        <w:tc>
          <w:tcPr>
            <w:tcW w:w="706" w:type="dxa"/>
            <w:tcBorders>
              <w:top w:val="nil"/>
              <w:left w:val="nil"/>
              <w:bottom w:val="single" w:sz="4" w:space="0" w:color="auto"/>
              <w:right w:val="nil"/>
            </w:tcBorders>
            <w:shd w:val="clear" w:color="auto" w:fill="auto"/>
            <w:noWrap/>
            <w:vAlign w:val="center"/>
            <w:hideMark/>
          </w:tcPr>
          <w:p w14:paraId="40EE18D8"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560</w:t>
            </w:r>
          </w:p>
        </w:tc>
        <w:tc>
          <w:tcPr>
            <w:tcW w:w="694" w:type="dxa"/>
            <w:tcBorders>
              <w:top w:val="nil"/>
              <w:left w:val="nil"/>
              <w:bottom w:val="single" w:sz="4" w:space="0" w:color="auto"/>
              <w:right w:val="nil"/>
            </w:tcBorders>
            <w:shd w:val="clear" w:color="auto" w:fill="auto"/>
            <w:noWrap/>
            <w:vAlign w:val="center"/>
            <w:hideMark/>
          </w:tcPr>
          <w:p w14:paraId="093BF0FC" w14:textId="22A98198"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9</w:t>
            </w:r>
            <w:r w:rsidR="00AC17D5">
              <w:rPr>
                <w:rFonts w:eastAsia="等线" w:cs="Times New Roman"/>
                <w:color w:val="000000"/>
                <w:sz w:val="16"/>
                <w:szCs w:val="16"/>
              </w:rPr>
              <w:t>.</w:t>
            </w:r>
            <w:r w:rsidRPr="003823AA">
              <w:rPr>
                <w:rFonts w:eastAsia="等线" w:cs="Times New Roman"/>
                <w:color w:val="000000"/>
                <w:sz w:val="16"/>
                <w:szCs w:val="16"/>
              </w:rPr>
              <w:t>1</w:t>
            </w:r>
          </w:p>
        </w:tc>
        <w:tc>
          <w:tcPr>
            <w:tcW w:w="936" w:type="dxa"/>
            <w:tcBorders>
              <w:top w:val="nil"/>
              <w:left w:val="nil"/>
              <w:bottom w:val="single" w:sz="4" w:space="0" w:color="auto"/>
              <w:right w:val="nil"/>
            </w:tcBorders>
            <w:shd w:val="clear" w:color="auto" w:fill="auto"/>
            <w:noWrap/>
            <w:vAlign w:val="center"/>
            <w:hideMark/>
          </w:tcPr>
          <w:p w14:paraId="5B98B735"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220</w:t>
            </w:r>
          </w:p>
        </w:tc>
        <w:tc>
          <w:tcPr>
            <w:tcW w:w="868" w:type="dxa"/>
            <w:tcBorders>
              <w:top w:val="nil"/>
              <w:left w:val="nil"/>
              <w:bottom w:val="single" w:sz="4" w:space="0" w:color="auto"/>
              <w:right w:val="nil"/>
            </w:tcBorders>
            <w:shd w:val="clear" w:color="auto" w:fill="auto"/>
            <w:noWrap/>
            <w:vAlign w:val="center"/>
            <w:hideMark/>
          </w:tcPr>
          <w:p w14:paraId="0CB946EC"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320/256</w:t>
            </w:r>
          </w:p>
        </w:tc>
        <w:tc>
          <w:tcPr>
            <w:tcW w:w="432" w:type="dxa"/>
            <w:tcBorders>
              <w:top w:val="nil"/>
              <w:left w:val="nil"/>
              <w:bottom w:val="single" w:sz="4" w:space="0" w:color="auto"/>
              <w:right w:val="nil"/>
            </w:tcBorders>
            <w:shd w:val="clear" w:color="auto" w:fill="auto"/>
            <w:noWrap/>
            <w:vAlign w:val="center"/>
            <w:hideMark/>
          </w:tcPr>
          <w:p w14:paraId="3AE276F8"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w:t>
            </w:r>
          </w:p>
        </w:tc>
        <w:tc>
          <w:tcPr>
            <w:tcW w:w="1636" w:type="dxa"/>
            <w:tcBorders>
              <w:top w:val="nil"/>
              <w:left w:val="nil"/>
              <w:bottom w:val="single" w:sz="4" w:space="0" w:color="auto"/>
              <w:right w:val="nil"/>
            </w:tcBorders>
            <w:shd w:val="clear" w:color="auto" w:fill="auto"/>
            <w:noWrap/>
            <w:vAlign w:val="center"/>
            <w:hideMark/>
          </w:tcPr>
          <w:p w14:paraId="1CFADA84" w14:textId="3B8A7ACC"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w:t>
            </w:r>
            <w:r w:rsidR="00AC17D5">
              <w:rPr>
                <w:rFonts w:eastAsia="等线" w:cs="Times New Roman"/>
                <w:color w:val="000000"/>
                <w:sz w:val="16"/>
                <w:szCs w:val="16"/>
              </w:rPr>
              <w:t>.</w:t>
            </w:r>
            <w:r w:rsidRPr="003823AA">
              <w:rPr>
                <w:rFonts w:eastAsia="等线" w:cs="Times New Roman"/>
                <w:color w:val="000000"/>
                <w:sz w:val="16"/>
                <w:szCs w:val="16"/>
              </w:rPr>
              <w:t>0/0</w:t>
            </w:r>
            <w:r w:rsidR="00AC17D5">
              <w:rPr>
                <w:rFonts w:eastAsia="等线" w:cs="Times New Roman"/>
                <w:color w:val="000000"/>
                <w:sz w:val="16"/>
                <w:szCs w:val="16"/>
              </w:rPr>
              <w:t>.</w:t>
            </w:r>
            <w:r w:rsidRPr="003823AA">
              <w:rPr>
                <w:rFonts w:eastAsia="等线" w:cs="Times New Roman"/>
                <w:color w:val="000000"/>
                <w:sz w:val="16"/>
                <w:szCs w:val="16"/>
              </w:rPr>
              <w:t>3</w:t>
            </w:r>
          </w:p>
        </w:tc>
      </w:tr>
      <w:tr w:rsidR="00162934" w:rsidRPr="003823AA" w14:paraId="645F0CF6" w14:textId="77777777" w:rsidTr="00AC7C77">
        <w:trPr>
          <w:trHeight w:val="263"/>
        </w:trPr>
        <w:tc>
          <w:tcPr>
            <w:tcW w:w="2886" w:type="dxa"/>
            <w:vMerge/>
            <w:tcBorders>
              <w:left w:val="nil"/>
              <w:right w:val="nil"/>
            </w:tcBorders>
            <w:shd w:val="clear" w:color="auto" w:fill="auto"/>
            <w:vAlign w:val="center"/>
            <w:hideMark/>
          </w:tcPr>
          <w:p w14:paraId="66B37159" w14:textId="77777777" w:rsidR="00162934" w:rsidRPr="003823AA" w:rsidRDefault="00162934" w:rsidP="00AC7C77">
            <w:pPr>
              <w:rPr>
                <w:rFonts w:eastAsia="等线" w:cs="Times New Roman"/>
                <w:color w:val="000000"/>
                <w:sz w:val="16"/>
                <w:szCs w:val="16"/>
              </w:rPr>
            </w:pPr>
          </w:p>
        </w:tc>
        <w:tc>
          <w:tcPr>
            <w:tcW w:w="2643" w:type="dxa"/>
            <w:vMerge w:val="restart"/>
            <w:tcBorders>
              <w:top w:val="single" w:sz="4" w:space="0" w:color="auto"/>
              <w:left w:val="nil"/>
              <w:right w:val="nil"/>
            </w:tcBorders>
            <w:shd w:val="clear" w:color="auto" w:fill="auto"/>
            <w:noWrap/>
            <w:vAlign w:val="center"/>
            <w:hideMark/>
          </w:tcPr>
          <w:p w14:paraId="0D105933"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GE, Optima MR 360</w:t>
            </w:r>
          </w:p>
          <w:p w14:paraId="473AA24A" w14:textId="6BD619C5"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w:t>
            </w:r>
            <w:r w:rsidR="00AC17D5">
              <w:rPr>
                <w:rFonts w:eastAsia="等线" w:cs="Times New Roman"/>
                <w:color w:val="000000"/>
                <w:sz w:val="16"/>
                <w:szCs w:val="16"/>
              </w:rPr>
              <w:t>.</w:t>
            </w:r>
            <w:r w:rsidRPr="003823AA">
              <w:rPr>
                <w:rFonts w:eastAsia="等线" w:cs="Times New Roman"/>
                <w:color w:val="000000"/>
                <w:sz w:val="16"/>
                <w:szCs w:val="16"/>
              </w:rPr>
              <w:t>5T</w:t>
            </w:r>
          </w:p>
        </w:tc>
        <w:tc>
          <w:tcPr>
            <w:tcW w:w="3157" w:type="dxa"/>
            <w:tcBorders>
              <w:top w:val="single" w:sz="4" w:space="0" w:color="auto"/>
              <w:left w:val="nil"/>
              <w:bottom w:val="nil"/>
              <w:right w:val="nil"/>
            </w:tcBorders>
            <w:shd w:val="clear" w:color="auto" w:fill="auto"/>
            <w:vAlign w:val="center"/>
            <w:hideMark/>
          </w:tcPr>
          <w:p w14:paraId="2F70C388" w14:textId="77777777"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T2WI</w:t>
            </w:r>
          </w:p>
        </w:tc>
        <w:tc>
          <w:tcPr>
            <w:tcW w:w="706" w:type="dxa"/>
            <w:tcBorders>
              <w:top w:val="single" w:sz="4" w:space="0" w:color="auto"/>
              <w:left w:val="nil"/>
              <w:bottom w:val="nil"/>
              <w:right w:val="nil"/>
            </w:tcBorders>
            <w:shd w:val="clear" w:color="auto" w:fill="auto"/>
            <w:noWrap/>
            <w:vAlign w:val="center"/>
            <w:hideMark/>
          </w:tcPr>
          <w:p w14:paraId="1409F94C"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4294</w:t>
            </w:r>
          </w:p>
        </w:tc>
        <w:tc>
          <w:tcPr>
            <w:tcW w:w="694" w:type="dxa"/>
            <w:tcBorders>
              <w:top w:val="single" w:sz="4" w:space="0" w:color="auto"/>
              <w:left w:val="nil"/>
              <w:bottom w:val="nil"/>
              <w:right w:val="nil"/>
            </w:tcBorders>
            <w:shd w:val="clear" w:color="auto" w:fill="auto"/>
            <w:noWrap/>
            <w:vAlign w:val="center"/>
            <w:hideMark/>
          </w:tcPr>
          <w:p w14:paraId="5DAD979F"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108</w:t>
            </w:r>
          </w:p>
        </w:tc>
        <w:tc>
          <w:tcPr>
            <w:tcW w:w="936" w:type="dxa"/>
            <w:tcBorders>
              <w:top w:val="single" w:sz="4" w:space="0" w:color="auto"/>
              <w:left w:val="nil"/>
              <w:bottom w:val="nil"/>
              <w:right w:val="nil"/>
            </w:tcBorders>
            <w:shd w:val="clear" w:color="auto" w:fill="auto"/>
            <w:noWrap/>
            <w:vAlign w:val="center"/>
            <w:hideMark/>
          </w:tcPr>
          <w:p w14:paraId="679EA5BF"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240</w:t>
            </w:r>
          </w:p>
        </w:tc>
        <w:tc>
          <w:tcPr>
            <w:tcW w:w="868" w:type="dxa"/>
            <w:tcBorders>
              <w:top w:val="single" w:sz="4" w:space="0" w:color="auto"/>
              <w:left w:val="nil"/>
              <w:bottom w:val="nil"/>
              <w:right w:val="nil"/>
            </w:tcBorders>
            <w:shd w:val="clear" w:color="auto" w:fill="auto"/>
            <w:noWrap/>
            <w:vAlign w:val="center"/>
            <w:hideMark/>
          </w:tcPr>
          <w:p w14:paraId="4C497B4F"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288/256</w:t>
            </w:r>
          </w:p>
        </w:tc>
        <w:tc>
          <w:tcPr>
            <w:tcW w:w="432" w:type="dxa"/>
            <w:tcBorders>
              <w:top w:val="single" w:sz="4" w:space="0" w:color="auto"/>
              <w:left w:val="nil"/>
              <w:bottom w:val="nil"/>
              <w:right w:val="nil"/>
            </w:tcBorders>
            <w:shd w:val="clear" w:color="auto" w:fill="auto"/>
            <w:noWrap/>
            <w:vAlign w:val="center"/>
            <w:hideMark/>
          </w:tcPr>
          <w:p w14:paraId="3A0C6742"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4</w:t>
            </w:r>
          </w:p>
        </w:tc>
        <w:tc>
          <w:tcPr>
            <w:tcW w:w="1636" w:type="dxa"/>
            <w:tcBorders>
              <w:top w:val="single" w:sz="4" w:space="0" w:color="auto"/>
              <w:left w:val="nil"/>
              <w:bottom w:val="nil"/>
              <w:right w:val="nil"/>
            </w:tcBorders>
            <w:shd w:val="clear" w:color="auto" w:fill="auto"/>
            <w:noWrap/>
            <w:vAlign w:val="center"/>
            <w:hideMark/>
          </w:tcPr>
          <w:p w14:paraId="08E2157D" w14:textId="27552F09"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w:t>
            </w:r>
            <w:r w:rsidR="00AC17D5">
              <w:rPr>
                <w:rFonts w:eastAsia="等线" w:cs="Times New Roman"/>
                <w:color w:val="000000"/>
                <w:sz w:val="16"/>
                <w:szCs w:val="16"/>
              </w:rPr>
              <w:t>.</w:t>
            </w:r>
            <w:r w:rsidRPr="003823AA">
              <w:rPr>
                <w:rFonts w:eastAsia="等线" w:cs="Times New Roman"/>
                <w:color w:val="000000"/>
                <w:sz w:val="16"/>
                <w:szCs w:val="16"/>
              </w:rPr>
              <w:t>0/0</w:t>
            </w:r>
            <w:r w:rsidR="00AC17D5">
              <w:rPr>
                <w:rFonts w:eastAsia="等线" w:cs="Times New Roman"/>
                <w:color w:val="000000"/>
                <w:sz w:val="16"/>
                <w:szCs w:val="16"/>
              </w:rPr>
              <w:t>.</w:t>
            </w:r>
            <w:r w:rsidRPr="003823AA">
              <w:rPr>
                <w:rFonts w:eastAsia="等线" w:cs="Times New Roman"/>
                <w:color w:val="000000"/>
                <w:sz w:val="16"/>
                <w:szCs w:val="16"/>
              </w:rPr>
              <w:t>5</w:t>
            </w:r>
          </w:p>
        </w:tc>
      </w:tr>
      <w:tr w:rsidR="00162934" w:rsidRPr="003823AA" w14:paraId="1DE1C6FD" w14:textId="77777777" w:rsidTr="00AC7C77">
        <w:trPr>
          <w:trHeight w:val="263"/>
        </w:trPr>
        <w:tc>
          <w:tcPr>
            <w:tcW w:w="2886" w:type="dxa"/>
            <w:vMerge/>
            <w:tcBorders>
              <w:left w:val="nil"/>
              <w:right w:val="nil"/>
            </w:tcBorders>
            <w:shd w:val="clear" w:color="auto" w:fill="auto"/>
            <w:vAlign w:val="center"/>
            <w:hideMark/>
          </w:tcPr>
          <w:p w14:paraId="2D812E2F" w14:textId="77777777" w:rsidR="00162934" w:rsidRPr="003823AA" w:rsidRDefault="00162934" w:rsidP="00AC7C77">
            <w:pPr>
              <w:rPr>
                <w:rFonts w:eastAsia="等线" w:cs="Times New Roman"/>
                <w:color w:val="000000"/>
                <w:sz w:val="16"/>
                <w:szCs w:val="16"/>
              </w:rPr>
            </w:pPr>
          </w:p>
        </w:tc>
        <w:tc>
          <w:tcPr>
            <w:tcW w:w="2643" w:type="dxa"/>
            <w:vMerge/>
            <w:tcBorders>
              <w:left w:val="nil"/>
              <w:right w:val="nil"/>
            </w:tcBorders>
            <w:shd w:val="clear" w:color="auto" w:fill="auto"/>
            <w:vAlign w:val="center"/>
            <w:hideMark/>
          </w:tcPr>
          <w:p w14:paraId="4FD57B5E" w14:textId="77777777" w:rsidR="00162934" w:rsidRPr="003823AA" w:rsidRDefault="00162934" w:rsidP="00AC7C77">
            <w:pPr>
              <w:rPr>
                <w:rFonts w:eastAsia="等线" w:cs="Times New Roman"/>
                <w:color w:val="000000"/>
                <w:sz w:val="16"/>
                <w:szCs w:val="16"/>
              </w:rPr>
            </w:pPr>
          </w:p>
        </w:tc>
        <w:tc>
          <w:tcPr>
            <w:tcW w:w="3157" w:type="dxa"/>
            <w:tcBorders>
              <w:top w:val="nil"/>
              <w:left w:val="nil"/>
              <w:bottom w:val="nil"/>
              <w:right w:val="nil"/>
            </w:tcBorders>
            <w:shd w:val="clear" w:color="auto" w:fill="auto"/>
            <w:vAlign w:val="center"/>
            <w:hideMark/>
          </w:tcPr>
          <w:p w14:paraId="4BEAAB20" w14:textId="631916CE"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DWI (b=800 s/mm</w:t>
            </w:r>
            <w:r w:rsidRPr="003823AA">
              <w:rPr>
                <w:rFonts w:eastAsia="等线" w:cs="Times New Roman"/>
                <w:color w:val="000000"/>
                <w:sz w:val="16"/>
                <w:szCs w:val="16"/>
                <w:vertAlign w:val="superscript"/>
              </w:rPr>
              <w:t>2</w:t>
            </w:r>
            <w:r w:rsidRPr="003823AA">
              <w:rPr>
                <w:rFonts w:eastAsia="等线" w:cs="Times New Roman"/>
                <w:color w:val="000000"/>
                <w:sz w:val="16"/>
                <w:szCs w:val="16"/>
              </w:rPr>
              <w:t>)</w:t>
            </w:r>
          </w:p>
        </w:tc>
        <w:tc>
          <w:tcPr>
            <w:tcW w:w="706" w:type="dxa"/>
            <w:tcBorders>
              <w:top w:val="nil"/>
              <w:left w:val="nil"/>
              <w:bottom w:val="nil"/>
              <w:right w:val="nil"/>
            </w:tcBorders>
            <w:shd w:val="clear" w:color="auto" w:fill="auto"/>
            <w:noWrap/>
            <w:vAlign w:val="center"/>
            <w:hideMark/>
          </w:tcPr>
          <w:p w14:paraId="04B3CCA3"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4550</w:t>
            </w:r>
          </w:p>
        </w:tc>
        <w:tc>
          <w:tcPr>
            <w:tcW w:w="694" w:type="dxa"/>
            <w:tcBorders>
              <w:top w:val="nil"/>
              <w:left w:val="nil"/>
              <w:bottom w:val="nil"/>
              <w:right w:val="nil"/>
            </w:tcBorders>
            <w:shd w:val="clear" w:color="auto" w:fill="auto"/>
            <w:noWrap/>
            <w:vAlign w:val="center"/>
            <w:hideMark/>
          </w:tcPr>
          <w:p w14:paraId="00BE2CCF" w14:textId="5D7AFEB8"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92</w:t>
            </w:r>
            <w:r w:rsidR="00AC17D5">
              <w:rPr>
                <w:rFonts w:eastAsia="等线" w:cs="Times New Roman"/>
                <w:color w:val="000000"/>
                <w:sz w:val="16"/>
                <w:szCs w:val="16"/>
              </w:rPr>
              <w:t>.</w:t>
            </w:r>
            <w:r w:rsidRPr="003823AA">
              <w:rPr>
                <w:rFonts w:eastAsia="等线" w:cs="Times New Roman"/>
                <w:color w:val="000000"/>
                <w:sz w:val="16"/>
                <w:szCs w:val="16"/>
              </w:rPr>
              <w:t>6</w:t>
            </w:r>
          </w:p>
        </w:tc>
        <w:tc>
          <w:tcPr>
            <w:tcW w:w="936" w:type="dxa"/>
            <w:tcBorders>
              <w:top w:val="nil"/>
              <w:left w:val="nil"/>
              <w:bottom w:val="nil"/>
              <w:right w:val="nil"/>
            </w:tcBorders>
            <w:shd w:val="clear" w:color="auto" w:fill="auto"/>
            <w:noWrap/>
            <w:vAlign w:val="center"/>
            <w:hideMark/>
          </w:tcPr>
          <w:p w14:paraId="1AC9BF64"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400</w:t>
            </w:r>
          </w:p>
        </w:tc>
        <w:tc>
          <w:tcPr>
            <w:tcW w:w="868" w:type="dxa"/>
            <w:tcBorders>
              <w:top w:val="nil"/>
              <w:left w:val="nil"/>
              <w:bottom w:val="nil"/>
              <w:right w:val="nil"/>
            </w:tcBorders>
            <w:shd w:val="clear" w:color="auto" w:fill="auto"/>
            <w:noWrap/>
            <w:vAlign w:val="center"/>
            <w:hideMark/>
          </w:tcPr>
          <w:p w14:paraId="48C03007"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192/192</w:t>
            </w:r>
          </w:p>
        </w:tc>
        <w:tc>
          <w:tcPr>
            <w:tcW w:w="432" w:type="dxa"/>
            <w:tcBorders>
              <w:top w:val="nil"/>
              <w:left w:val="nil"/>
              <w:bottom w:val="nil"/>
              <w:right w:val="nil"/>
            </w:tcBorders>
            <w:shd w:val="clear" w:color="auto" w:fill="auto"/>
            <w:noWrap/>
            <w:vAlign w:val="center"/>
            <w:hideMark/>
          </w:tcPr>
          <w:p w14:paraId="0FFF5393"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4</w:t>
            </w:r>
          </w:p>
        </w:tc>
        <w:tc>
          <w:tcPr>
            <w:tcW w:w="1636" w:type="dxa"/>
            <w:tcBorders>
              <w:top w:val="nil"/>
              <w:left w:val="nil"/>
              <w:bottom w:val="nil"/>
              <w:right w:val="nil"/>
            </w:tcBorders>
            <w:shd w:val="clear" w:color="auto" w:fill="auto"/>
            <w:noWrap/>
            <w:vAlign w:val="center"/>
            <w:hideMark/>
          </w:tcPr>
          <w:p w14:paraId="5135F416" w14:textId="05F6BC65"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w:t>
            </w:r>
            <w:r w:rsidR="00AC17D5">
              <w:rPr>
                <w:rFonts w:eastAsia="等线" w:cs="Times New Roman"/>
                <w:color w:val="000000"/>
                <w:sz w:val="16"/>
                <w:szCs w:val="16"/>
              </w:rPr>
              <w:t>.</w:t>
            </w:r>
            <w:r w:rsidRPr="003823AA">
              <w:rPr>
                <w:rFonts w:eastAsia="等线" w:cs="Times New Roman"/>
                <w:color w:val="000000"/>
                <w:sz w:val="16"/>
                <w:szCs w:val="16"/>
              </w:rPr>
              <w:t>0/0</w:t>
            </w:r>
            <w:r w:rsidR="00AC17D5">
              <w:rPr>
                <w:rFonts w:eastAsia="等线" w:cs="Times New Roman"/>
                <w:color w:val="000000"/>
                <w:sz w:val="16"/>
                <w:szCs w:val="16"/>
              </w:rPr>
              <w:t>.</w:t>
            </w:r>
            <w:r w:rsidRPr="003823AA">
              <w:rPr>
                <w:rFonts w:eastAsia="等线" w:cs="Times New Roman"/>
                <w:color w:val="000000"/>
                <w:sz w:val="16"/>
                <w:szCs w:val="16"/>
              </w:rPr>
              <w:t>5</w:t>
            </w:r>
          </w:p>
        </w:tc>
      </w:tr>
      <w:tr w:rsidR="00162934" w:rsidRPr="003823AA" w14:paraId="0A5D9043" w14:textId="77777777" w:rsidTr="00AC7C77">
        <w:trPr>
          <w:trHeight w:val="263"/>
        </w:trPr>
        <w:tc>
          <w:tcPr>
            <w:tcW w:w="2886" w:type="dxa"/>
            <w:vMerge/>
            <w:tcBorders>
              <w:left w:val="nil"/>
              <w:bottom w:val="single" w:sz="4" w:space="0" w:color="auto"/>
              <w:right w:val="nil"/>
            </w:tcBorders>
            <w:shd w:val="clear" w:color="auto" w:fill="auto"/>
            <w:vAlign w:val="center"/>
            <w:hideMark/>
          </w:tcPr>
          <w:p w14:paraId="799B86F6" w14:textId="77777777" w:rsidR="00162934" w:rsidRPr="003823AA" w:rsidRDefault="00162934" w:rsidP="00AC7C77">
            <w:pPr>
              <w:rPr>
                <w:rFonts w:eastAsia="等线" w:cs="Times New Roman"/>
                <w:color w:val="000000"/>
                <w:sz w:val="16"/>
                <w:szCs w:val="16"/>
              </w:rPr>
            </w:pPr>
          </w:p>
        </w:tc>
        <w:tc>
          <w:tcPr>
            <w:tcW w:w="2643" w:type="dxa"/>
            <w:vMerge/>
            <w:tcBorders>
              <w:left w:val="nil"/>
              <w:bottom w:val="single" w:sz="4" w:space="0" w:color="auto"/>
              <w:right w:val="nil"/>
            </w:tcBorders>
            <w:shd w:val="clear" w:color="auto" w:fill="auto"/>
            <w:vAlign w:val="center"/>
            <w:hideMark/>
          </w:tcPr>
          <w:p w14:paraId="5E958E44" w14:textId="77777777" w:rsidR="00162934" w:rsidRPr="003823AA" w:rsidRDefault="00162934" w:rsidP="00AC7C77">
            <w:pPr>
              <w:rPr>
                <w:rFonts w:eastAsia="等线" w:cs="Times New Roman"/>
                <w:color w:val="000000"/>
                <w:sz w:val="16"/>
                <w:szCs w:val="16"/>
              </w:rPr>
            </w:pPr>
          </w:p>
        </w:tc>
        <w:tc>
          <w:tcPr>
            <w:tcW w:w="3157" w:type="dxa"/>
            <w:tcBorders>
              <w:top w:val="nil"/>
              <w:left w:val="nil"/>
              <w:bottom w:val="single" w:sz="4" w:space="0" w:color="auto"/>
              <w:right w:val="nil"/>
            </w:tcBorders>
            <w:shd w:val="clear" w:color="auto" w:fill="auto"/>
            <w:vAlign w:val="center"/>
            <w:hideMark/>
          </w:tcPr>
          <w:p w14:paraId="2A7FAD22" w14:textId="77777777"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T1WIC</w:t>
            </w:r>
          </w:p>
        </w:tc>
        <w:tc>
          <w:tcPr>
            <w:tcW w:w="706" w:type="dxa"/>
            <w:tcBorders>
              <w:top w:val="nil"/>
              <w:left w:val="nil"/>
              <w:bottom w:val="single" w:sz="4" w:space="0" w:color="auto"/>
              <w:right w:val="nil"/>
            </w:tcBorders>
            <w:shd w:val="clear" w:color="auto" w:fill="auto"/>
            <w:noWrap/>
            <w:vAlign w:val="center"/>
            <w:hideMark/>
          </w:tcPr>
          <w:p w14:paraId="7F21B070"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419</w:t>
            </w:r>
          </w:p>
        </w:tc>
        <w:tc>
          <w:tcPr>
            <w:tcW w:w="694" w:type="dxa"/>
            <w:tcBorders>
              <w:top w:val="nil"/>
              <w:left w:val="nil"/>
              <w:bottom w:val="single" w:sz="4" w:space="0" w:color="auto"/>
              <w:right w:val="nil"/>
            </w:tcBorders>
            <w:shd w:val="clear" w:color="auto" w:fill="auto"/>
            <w:noWrap/>
            <w:vAlign w:val="center"/>
            <w:hideMark/>
          </w:tcPr>
          <w:p w14:paraId="4A7AB6A4" w14:textId="32DE0D42"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13</w:t>
            </w:r>
            <w:r w:rsidR="00AC17D5">
              <w:rPr>
                <w:rFonts w:eastAsia="等线" w:cs="Times New Roman"/>
                <w:color w:val="000000"/>
                <w:sz w:val="16"/>
                <w:szCs w:val="16"/>
              </w:rPr>
              <w:t>.</w:t>
            </w:r>
            <w:r w:rsidRPr="003823AA">
              <w:rPr>
                <w:rFonts w:eastAsia="等线" w:cs="Times New Roman"/>
                <w:color w:val="000000"/>
                <w:sz w:val="16"/>
                <w:szCs w:val="16"/>
              </w:rPr>
              <w:t>5</w:t>
            </w:r>
          </w:p>
        </w:tc>
        <w:tc>
          <w:tcPr>
            <w:tcW w:w="936" w:type="dxa"/>
            <w:tcBorders>
              <w:top w:val="nil"/>
              <w:left w:val="nil"/>
              <w:bottom w:val="single" w:sz="4" w:space="0" w:color="auto"/>
              <w:right w:val="nil"/>
            </w:tcBorders>
            <w:shd w:val="clear" w:color="auto" w:fill="auto"/>
            <w:noWrap/>
            <w:vAlign w:val="center"/>
            <w:hideMark/>
          </w:tcPr>
          <w:p w14:paraId="60BD9874"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240</w:t>
            </w:r>
          </w:p>
        </w:tc>
        <w:tc>
          <w:tcPr>
            <w:tcW w:w="868" w:type="dxa"/>
            <w:tcBorders>
              <w:top w:val="nil"/>
              <w:left w:val="nil"/>
              <w:bottom w:val="single" w:sz="4" w:space="0" w:color="auto"/>
              <w:right w:val="nil"/>
            </w:tcBorders>
            <w:shd w:val="clear" w:color="auto" w:fill="auto"/>
            <w:noWrap/>
            <w:vAlign w:val="center"/>
            <w:hideMark/>
          </w:tcPr>
          <w:p w14:paraId="648E830A"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320/224</w:t>
            </w:r>
          </w:p>
        </w:tc>
        <w:tc>
          <w:tcPr>
            <w:tcW w:w="432" w:type="dxa"/>
            <w:tcBorders>
              <w:top w:val="nil"/>
              <w:left w:val="nil"/>
              <w:bottom w:val="single" w:sz="4" w:space="0" w:color="auto"/>
              <w:right w:val="nil"/>
            </w:tcBorders>
            <w:shd w:val="clear" w:color="auto" w:fill="auto"/>
            <w:noWrap/>
            <w:vAlign w:val="center"/>
            <w:hideMark/>
          </w:tcPr>
          <w:p w14:paraId="4A45FBDC"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w:t>
            </w:r>
          </w:p>
        </w:tc>
        <w:tc>
          <w:tcPr>
            <w:tcW w:w="1636" w:type="dxa"/>
            <w:tcBorders>
              <w:top w:val="nil"/>
              <w:left w:val="nil"/>
              <w:bottom w:val="single" w:sz="4" w:space="0" w:color="auto"/>
              <w:right w:val="nil"/>
            </w:tcBorders>
            <w:shd w:val="clear" w:color="auto" w:fill="auto"/>
            <w:noWrap/>
            <w:vAlign w:val="center"/>
            <w:hideMark/>
          </w:tcPr>
          <w:p w14:paraId="79DC0FF8" w14:textId="2F03933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w:t>
            </w:r>
            <w:r w:rsidR="00AC17D5">
              <w:rPr>
                <w:rFonts w:eastAsia="等线" w:cs="Times New Roman"/>
                <w:color w:val="000000"/>
                <w:sz w:val="16"/>
                <w:szCs w:val="16"/>
              </w:rPr>
              <w:t>.</w:t>
            </w:r>
            <w:r w:rsidRPr="003823AA">
              <w:rPr>
                <w:rFonts w:eastAsia="等线" w:cs="Times New Roman"/>
                <w:color w:val="000000"/>
                <w:sz w:val="16"/>
                <w:szCs w:val="16"/>
              </w:rPr>
              <w:t>0/0</w:t>
            </w:r>
            <w:r w:rsidR="00AC17D5">
              <w:rPr>
                <w:rFonts w:eastAsia="等线" w:cs="Times New Roman"/>
                <w:color w:val="000000"/>
                <w:sz w:val="16"/>
                <w:szCs w:val="16"/>
              </w:rPr>
              <w:t>.</w:t>
            </w:r>
            <w:r w:rsidRPr="003823AA">
              <w:rPr>
                <w:rFonts w:eastAsia="等线" w:cs="Times New Roman"/>
                <w:color w:val="000000"/>
                <w:sz w:val="16"/>
                <w:szCs w:val="16"/>
              </w:rPr>
              <w:t>5</w:t>
            </w:r>
          </w:p>
        </w:tc>
      </w:tr>
      <w:tr w:rsidR="00162934" w:rsidRPr="003823AA" w14:paraId="125CB423" w14:textId="77777777" w:rsidTr="00AC7C77">
        <w:trPr>
          <w:trHeight w:val="263"/>
        </w:trPr>
        <w:tc>
          <w:tcPr>
            <w:tcW w:w="2886" w:type="dxa"/>
            <w:vMerge w:val="restart"/>
            <w:tcBorders>
              <w:left w:val="nil"/>
              <w:right w:val="nil"/>
            </w:tcBorders>
            <w:shd w:val="clear" w:color="auto" w:fill="auto"/>
            <w:vAlign w:val="center"/>
            <w:hideMark/>
          </w:tcPr>
          <w:p w14:paraId="427414DC" w14:textId="6924F371"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 xml:space="preserve">Fudan University Shanghai Cancer </w:t>
            </w:r>
            <w:r w:rsidR="00517B8E" w:rsidRPr="003823AA">
              <w:rPr>
                <w:rFonts w:eastAsia="等线" w:cs="Times New Roman"/>
                <w:color w:val="000000"/>
                <w:sz w:val="16"/>
                <w:szCs w:val="16"/>
              </w:rPr>
              <w:t>Centre</w:t>
            </w:r>
          </w:p>
        </w:tc>
        <w:tc>
          <w:tcPr>
            <w:tcW w:w="2643" w:type="dxa"/>
            <w:vMerge w:val="restart"/>
            <w:tcBorders>
              <w:left w:val="nil"/>
              <w:right w:val="nil"/>
            </w:tcBorders>
            <w:shd w:val="clear" w:color="auto" w:fill="auto"/>
            <w:vAlign w:val="center"/>
            <w:hideMark/>
          </w:tcPr>
          <w:p w14:paraId="7A511070"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 xml:space="preserve">GE, Signa </w:t>
            </w:r>
            <w:proofErr w:type="spellStart"/>
            <w:r w:rsidRPr="003823AA">
              <w:rPr>
                <w:rFonts w:eastAsia="等线" w:cs="Times New Roman"/>
                <w:color w:val="000000"/>
                <w:sz w:val="16"/>
                <w:szCs w:val="16"/>
              </w:rPr>
              <w:t>HDxt</w:t>
            </w:r>
            <w:proofErr w:type="spellEnd"/>
          </w:p>
          <w:p w14:paraId="12F094B2" w14:textId="49340266"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w:t>
            </w:r>
            <w:r w:rsidR="00AC17D5">
              <w:rPr>
                <w:rFonts w:eastAsia="等线" w:cs="Times New Roman"/>
                <w:color w:val="000000"/>
                <w:sz w:val="16"/>
                <w:szCs w:val="16"/>
              </w:rPr>
              <w:t>.</w:t>
            </w:r>
            <w:r w:rsidRPr="003823AA">
              <w:rPr>
                <w:rFonts w:eastAsia="等线" w:cs="Times New Roman"/>
                <w:color w:val="000000"/>
                <w:sz w:val="16"/>
                <w:szCs w:val="16"/>
              </w:rPr>
              <w:t>0T</w:t>
            </w:r>
          </w:p>
        </w:tc>
        <w:tc>
          <w:tcPr>
            <w:tcW w:w="3157" w:type="dxa"/>
            <w:tcBorders>
              <w:top w:val="nil"/>
              <w:left w:val="nil"/>
              <w:bottom w:val="nil"/>
              <w:right w:val="nil"/>
            </w:tcBorders>
            <w:shd w:val="clear" w:color="auto" w:fill="auto"/>
            <w:vAlign w:val="center"/>
            <w:hideMark/>
          </w:tcPr>
          <w:p w14:paraId="32853BD1" w14:textId="77777777"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T2WI</w:t>
            </w:r>
          </w:p>
        </w:tc>
        <w:tc>
          <w:tcPr>
            <w:tcW w:w="706" w:type="dxa"/>
            <w:tcBorders>
              <w:top w:val="nil"/>
              <w:left w:val="nil"/>
              <w:bottom w:val="nil"/>
              <w:right w:val="nil"/>
            </w:tcBorders>
            <w:shd w:val="clear" w:color="auto" w:fill="auto"/>
            <w:noWrap/>
            <w:vAlign w:val="center"/>
            <w:hideMark/>
          </w:tcPr>
          <w:p w14:paraId="3C54A1E2"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3300</w:t>
            </w:r>
          </w:p>
        </w:tc>
        <w:tc>
          <w:tcPr>
            <w:tcW w:w="694" w:type="dxa"/>
            <w:tcBorders>
              <w:top w:val="nil"/>
              <w:left w:val="nil"/>
              <w:bottom w:val="nil"/>
              <w:right w:val="nil"/>
            </w:tcBorders>
            <w:shd w:val="clear" w:color="auto" w:fill="auto"/>
            <w:noWrap/>
            <w:vAlign w:val="center"/>
            <w:hideMark/>
          </w:tcPr>
          <w:p w14:paraId="15D33698"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112</w:t>
            </w:r>
          </w:p>
        </w:tc>
        <w:tc>
          <w:tcPr>
            <w:tcW w:w="936" w:type="dxa"/>
            <w:tcBorders>
              <w:top w:val="nil"/>
              <w:left w:val="nil"/>
              <w:bottom w:val="nil"/>
              <w:right w:val="nil"/>
            </w:tcBorders>
            <w:shd w:val="clear" w:color="auto" w:fill="auto"/>
            <w:noWrap/>
            <w:vAlign w:val="center"/>
            <w:hideMark/>
          </w:tcPr>
          <w:p w14:paraId="62E21060"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200</w:t>
            </w:r>
          </w:p>
        </w:tc>
        <w:tc>
          <w:tcPr>
            <w:tcW w:w="868" w:type="dxa"/>
            <w:tcBorders>
              <w:top w:val="nil"/>
              <w:left w:val="nil"/>
              <w:bottom w:val="nil"/>
              <w:right w:val="nil"/>
            </w:tcBorders>
            <w:shd w:val="clear" w:color="auto" w:fill="auto"/>
            <w:noWrap/>
            <w:vAlign w:val="center"/>
            <w:hideMark/>
          </w:tcPr>
          <w:p w14:paraId="159B24B2"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384/224</w:t>
            </w:r>
          </w:p>
        </w:tc>
        <w:tc>
          <w:tcPr>
            <w:tcW w:w="432" w:type="dxa"/>
            <w:tcBorders>
              <w:top w:val="nil"/>
              <w:left w:val="nil"/>
              <w:bottom w:val="nil"/>
              <w:right w:val="nil"/>
            </w:tcBorders>
            <w:shd w:val="clear" w:color="auto" w:fill="auto"/>
            <w:noWrap/>
            <w:vAlign w:val="center"/>
            <w:hideMark/>
          </w:tcPr>
          <w:p w14:paraId="7BDB70C4"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4</w:t>
            </w:r>
          </w:p>
        </w:tc>
        <w:tc>
          <w:tcPr>
            <w:tcW w:w="1636" w:type="dxa"/>
            <w:tcBorders>
              <w:top w:val="nil"/>
              <w:left w:val="nil"/>
              <w:bottom w:val="nil"/>
              <w:right w:val="nil"/>
            </w:tcBorders>
            <w:shd w:val="clear" w:color="auto" w:fill="auto"/>
            <w:noWrap/>
            <w:vAlign w:val="center"/>
            <w:hideMark/>
          </w:tcPr>
          <w:p w14:paraId="2C820092" w14:textId="022267BA"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w:t>
            </w:r>
            <w:r w:rsidR="00AC17D5">
              <w:rPr>
                <w:rFonts w:eastAsia="等线" w:cs="Times New Roman"/>
                <w:color w:val="000000"/>
                <w:sz w:val="16"/>
                <w:szCs w:val="16"/>
              </w:rPr>
              <w:t>.</w:t>
            </w:r>
            <w:r w:rsidRPr="003823AA">
              <w:rPr>
                <w:rFonts w:eastAsia="等线" w:cs="Times New Roman"/>
                <w:color w:val="000000"/>
                <w:sz w:val="16"/>
                <w:szCs w:val="16"/>
              </w:rPr>
              <w:t>0/0</w:t>
            </w:r>
            <w:r w:rsidR="00AC17D5">
              <w:rPr>
                <w:rFonts w:eastAsia="等线" w:cs="Times New Roman"/>
                <w:color w:val="000000"/>
                <w:sz w:val="16"/>
                <w:szCs w:val="16"/>
              </w:rPr>
              <w:t>.</w:t>
            </w:r>
            <w:r w:rsidRPr="003823AA">
              <w:rPr>
                <w:rFonts w:eastAsia="等线" w:cs="Times New Roman"/>
                <w:color w:val="000000"/>
                <w:sz w:val="16"/>
                <w:szCs w:val="16"/>
              </w:rPr>
              <w:t>4</w:t>
            </w:r>
          </w:p>
        </w:tc>
      </w:tr>
      <w:tr w:rsidR="00162934" w:rsidRPr="003823AA" w14:paraId="4B270D5A" w14:textId="77777777" w:rsidTr="00AC7C77">
        <w:trPr>
          <w:trHeight w:val="360"/>
        </w:trPr>
        <w:tc>
          <w:tcPr>
            <w:tcW w:w="2886" w:type="dxa"/>
            <w:vMerge/>
            <w:tcBorders>
              <w:left w:val="nil"/>
              <w:right w:val="nil"/>
            </w:tcBorders>
            <w:shd w:val="clear" w:color="auto" w:fill="auto"/>
            <w:vAlign w:val="center"/>
            <w:hideMark/>
          </w:tcPr>
          <w:p w14:paraId="0977670E" w14:textId="77777777" w:rsidR="00162934" w:rsidRPr="003823AA" w:rsidRDefault="00162934" w:rsidP="00AC7C77">
            <w:pPr>
              <w:rPr>
                <w:rFonts w:eastAsia="等线" w:cs="Times New Roman"/>
                <w:color w:val="000000"/>
                <w:sz w:val="16"/>
                <w:szCs w:val="16"/>
              </w:rPr>
            </w:pPr>
          </w:p>
        </w:tc>
        <w:tc>
          <w:tcPr>
            <w:tcW w:w="2643" w:type="dxa"/>
            <w:vMerge/>
            <w:tcBorders>
              <w:left w:val="nil"/>
              <w:right w:val="nil"/>
            </w:tcBorders>
            <w:shd w:val="clear" w:color="auto" w:fill="auto"/>
            <w:vAlign w:val="center"/>
            <w:hideMark/>
          </w:tcPr>
          <w:p w14:paraId="44B92A60" w14:textId="77777777" w:rsidR="00162934" w:rsidRPr="003823AA" w:rsidRDefault="00162934" w:rsidP="00AC7C77">
            <w:pPr>
              <w:rPr>
                <w:rFonts w:eastAsia="等线" w:cs="Times New Roman"/>
                <w:color w:val="000000"/>
                <w:sz w:val="16"/>
                <w:szCs w:val="16"/>
              </w:rPr>
            </w:pPr>
          </w:p>
        </w:tc>
        <w:tc>
          <w:tcPr>
            <w:tcW w:w="3157" w:type="dxa"/>
            <w:tcBorders>
              <w:top w:val="nil"/>
              <w:left w:val="nil"/>
              <w:bottom w:val="nil"/>
              <w:right w:val="nil"/>
            </w:tcBorders>
            <w:shd w:val="clear" w:color="auto" w:fill="auto"/>
            <w:noWrap/>
            <w:vAlign w:val="center"/>
            <w:hideMark/>
          </w:tcPr>
          <w:p w14:paraId="0E9B77C0" w14:textId="3A594232"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DWI (b=800 s/mm</w:t>
            </w:r>
            <w:r w:rsidRPr="003823AA">
              <w:rPr>
                <w:rFonts w:eastAsia="等线" w:cs="Times New Roman"/>
                <w:color w:val="000000"/>
                <w:sz w:val="16"/>
                <w:szCs w:val="16"/>
                <w:vertAlign w:val="superscript"/>
              </w:rPr>
              <w:t>2</w:t>
            </w:r>
            <w:r w:rsidRPr="003823AA">
              <w:rPr>
                <w:rFonts w:eastAsia="等线" w:cs="Times New Roman"/>
                <w:color w:val="000000"/>
                <w:sz w:val="16"/>
                <w:szCs w:val="16"/>
              </w:rPr>
              <w:t>)</w:t>
            </w:r>
          </w:p>
        </w:tc>
        <w:tc>
          <w:tcPr>
            <w:tcW w:w="706" w:type="dxa"/>
            <w:tcBorders>
              <w:top w:val="nil"/>
              <w:left w:val="nil"/>
              <w:bottom w:val="nil"/>
              <w:right w:val="nil"/>
            </w:tcBorders>
            <w:shd w:val="clear" w:color="auto" w:fill="auto"/>
            <w:noWrap/>
            <w:vAlign w:val="center"/>
            <w:hideMark/>
          </w:tcPr>
          <w:p w14:paraId="7D4DB02D"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2800</w:t>
            </w:r>
          </w:p>
        </w:tc>
        <w:tc>
          <w:tcPr>
            <w:tcW w:w="694" w:type="dxa"/>
            <w:tcBorders>
              <w:top w:val="nil"/>
              <w:left w:val="nil"/>
              <w:bottom w:val="nil"/>
              <w:right w:val="nil"/>
            </w:tcBorders>
            <w:shd w:val="clear" w:color="auto" w:fill="auto"/>
            <w:noWrap/>
            <w:vAlign w:val="center"/>
            <w:hideMark/>
          </w:tcPr>
          <w:p w14:paraId="286CADBA"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67</w:t>
            </w:r>
          </w:p>
        </w:tc>
        <w:tc>
          <w:tcPr>
            <w:tcW w:w="936" w:type="dxa"/>
            <w:tcBorders>
              <w:top w:val="nil"/>
              <w:left w:val="nil"/>
              <w:bottom w:val="nil"/>
              <w:right w:val="nil"/>
            </w:tcBorders>
            <w:shd w:val="clear" w:color="auto" w:fill="auto"/>
            <w:noWrap/>
            <w:vAlign w:val="center"/>
            <w:hideMark/>
          </w:tcPr>
          <w:p w14:paraId="6C518A51"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390</w:t>
            </w:r>
          </w:p>
        </w:tc>
        <w:tc>
          <w:tcPr>
            <w:tcW w:w="868" w:type="dxa"/>
            <w:tcBorders>
              <w:top w:val="nil"/>
              <w:left w:val="nil"/>
              <w:bottom w:val="nil"/>
              <w:right w:val="nil"/>
            </w:tcBorders>
            <w:shd w:val="clear" w:color="auto" w:fill="auto"/>
            <w:noWrap/>
            <w:vAlign w:val="center"/>
            <w:hideMark/>
          </w:tcPr>
          <w:p w14:paraId="0F3425C9"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128/128</w:t>
            </w:r>
          </w:p>
        </w:tc>
        <w:tc>
          <w:tcPr>
            <w:tcW w:w="432" w:type="dxa"/>
            <w:tcBorders>
              <w:top w:val="nil"/>
              <w:left w:val="nil"/>
              <w:bottom w:val="nil"/>
              <w:right w:val="nil"/>
            </w:tcBorders>
            <w:shd w:val="clear" w:color="auto" w:fill="auto"/>
            <w:noWrap/>
            <w:vAlign w:val="center"/>
            <w:hideMark/>
          </w:tcPr>
          <w:p w14:paraId="5E9A5A46"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6</w:t>
            </w:r>
          </w:p>
        </w:tc>
        <w:tc>
          <w:tcPr>
            <w:tcW w:w="1636" w:type="dxa"/>
            <w:tcBorders>
              <w:top w:val="nil"/>
              <w:left w:val="nil"/>
              <w:bottom w:val="nil"/>
              <w:right w:val="nil"/>
            </w:tcBorders>
            <w:shd w:val="clear" w:color="auto" w:fill="auto"/>
            <w:noWrap/>
            <w:vAlign w:val="center"/>
            <w:hideMark/>
          </w:tcPr>
          <w:p w14:paraId="6286097E" w14:textId="021C455D"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6</w:t>
            </w:r>
            <w:r w:rsidR="00AC17D5">
              <w:rPr>
                <w:rFonts w:eastAsia="等线" w:cs="Times New Roman"/>
                <w:color w:val="000000"/>
                <w:sz w:val="16"/>
                <w:szCs w:val="16"/>
              </w:rPr>
              <w:t>.</w:t>
            </w:r>
            <w:r w:rsidRPr="003823AA">
              <w:rPr>
                <w:rFonts w:eastAsia="等线" w:cs="Times New Roman"/>
                <w:color w:val="000000"/>
                <w:sz w:val="16"/>
                <w:szCs w:val="16"/>
              </w:rPr>
              <w:t>0/0</w:t>
            </w:r>
            <w:r w:rsidR="00AC17D5">
              <w:rPr>
                <w:rFonts w:eastAsia="等线" w:cs="Times New Roman"/>
                <w:color w:val="000000"/>
                <w:sz w:val="16"/>
                <w:szCs w:val="16"/>
              </w:rPr>
              <w:t>.</w:t>
            </w:r>
            <w:r w:rsidRPr="003823AA">
              <w:rPr>
                <w:rFonts w:eastAsia="等线" w:cs="Times New Roman"/>
                <w:color w:val="000000"/>
                <w:sz w:val="16"/>
                <w:szCs w:val="16"/>
              </w:rPr>
              <w:t>5</w:t>
            </w:r>
          </w:p>
        </w:tc>
      </w:tr>
      <w:tr w:rsidR="00162934" w:rsidRPr="003823AA" w14:paraId="58D4FD7A" w14:textId="77777777" w:rsidTr="00AC7C77">
        <w:trPr>
          <w:trHeight w:val="263"/>
        </w:trPr>
        <w:tc>
          <w:tcPr>
            <w:tcW w:w="2886" w:type="dxa"/>
            <w:vMerge/>
            <w:tcBorders>
              <w:left w:val="nil"/>
              <w:right w:val="nil"/>
            </w:tcBorders>
            <w:shd w:val="clear" w:color="auto" w:fill="auto"/>
            <w:vAlign w:val="center"/>
            <w:hideMark/>
          </w:tcPr>
          <w:p w14:paraId="343802B9" w14:textId="77777777" w:rsidR="00162934" w:rsidRPr="003823AA" w:rsidRDefault="00162934" w:rsidP="00AC7C77">
            <w:pPr>
              <w:rPr>
                <w:rFonts w:eastAsia="等线" w:cs="Times New Roman"/>
                <w:color w:val="000000"/>
                <w:sz w:val="16"/>
                <w:szCs w:val="16"/>
              </w:rPr>
            </w:pPr>
          </w:p>
        </w:tc>
        <w:tc>
          <w:tcPr>
            <w:tcW w:w="2643" w:type="dxa"/>
            <w:vMerge/>
            <w:tcBorders>
              <w:left w:val="nil"/>
              <w:bottom w:val="single" w:sz="4" w:space="0" w:color="auto"/>
              <w:right w:val="nil"/>
            </w:tcBorders>
            <w:shd w:val="clear" w:color="auto" w:fill="auto"/>
            <w:vAlign w:val="center"/>
            <w:hideMark/>
          </w:tcPr>
          <w:p w14:paraId="63CD428E" w14:textId="77777777" w:rsidR="00162934" w:rsidRPr="003823AA" w:rsidRDefault="00162934" w:rsidP="00AC7C77">
            <w:pPr>
              <w:rPr>
                <w:rFonts w:eastAsia="等线" w:cs="Times New Roman"/>
                <w:color w:val="000000"/>
                <w:sz w:val="16"/>
                <w:szCs w:val="16"/>
              </w:rPr>
            </w:pPr>
          </w:p>
        </w:tc>
        <w:tc>
          <w:tcPr>
            <w:tcW w:w="3157" w:type="dxa"/>
            <w:tcBorders>
              <w:top w:val="nil"/>
              <w:left w:val="nil"/>
              <w:bottom w:val="single" w:sz="4" w:space="0" w:color="auto"/>
              <w:right w:val="nil"/>
            </w:tcBorders>
            <w:shd w:val="clear" w:color="auto" w:fill="auto"/>
            <w:vAlign w:val="center"/>
            <w:hideMark/>
          </w:tcPr>
          <w:p w14:paraId="547F2923" w14:textId="77777777"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T1WIC</w:t>
            </w:r>
          </w:p>
        </w:tc>
        <w:tc>
          <w:tcPr>
            <w:tcW w:w="706" w:type="dxa"/>
            <w:tcBorders>
              <w:top w:val="nil"/>
              <w:left w:val="nil"/>
              <w:bottom w:val="single" w:sz="4" w:space="0" w:color="auto"/>
              <w:right w:val="nil"/>
            </w:tcBorders>
            <w:shd w:val="clear" w:color="auto" w:fill="auto"/>
            <w:noWrap/>
            <w:vAlign w:val="center"/>
            <w:hideMark/>
          </w:tcPr>
          <w:p w14:paraId="2D59FE9B"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230</w:t>
            </w:r>
          </w:p>
        </w:tc>
        <w:tc>
          <w:tcPr>
            <w:tcW w:w="694" w:type="dxa"/>
            <w:tcBorders>
              <w:top w:val="nil"/>
              <w:left w:val="nil"/>
              <w:bottom w:val="single" w:sz="4" w:space="0" w:color="auto"/>
              <w:right w:val="nil"/>
            </w:tcBorders>
            <w:shd w:val="clear" w:color="auto" w:fill="auto"/>
            <w:noWrap/>
            <w:vAlign w:val="center"/>
            <w:hideMark/>
          </w:tcPr>
          <w:p w14:paraId="70894072" w14:textId="68DFEE1C" w:rsidR="00162934" w:rsidRPr="003823AA" w:rsidRDefault="00162934" w:rsidP="00AC7C77">
            <w:pPr>
              <w:jc w:val="center"/>
              <w:rPr>
                <w:rFonts w:eastAsia="等线" w:cs="Times New Roman"/>
                <w:color w:val="FF0000"/>
                <w:sz w:val="16"/>
                <w:szCs w:val="16"/>
              </w:rPr>
            </w:pPr>
            <w:r w:rsidRPr="003823AA">
              <w:rPr>
                <w:rFonts w:eastAsia="等线" w:cs="Times New Roman"/>
                <w:color w:val="000000" w:themeColor="text1"/>
                <w:sz w:val="16"/>
                <w:szCs w:val="16"/>
              </w:rPr>
              <w:t>2</w:t>
            </w:r>
            <w:r w:rsidR="00AC17D5">
              <w:rPr>
                <w:rFonts w:eastAsia="等线" w:cs="Times New Roman"/>
                <w:color w:val="000000" w:themeColor="text1"/>
                <w:sz w:val="16"/>
                <w:szCs w:val="16"/>
              </w:rPr>
              <w:t>.</w:t>
            </w:r>
            <w:r w:rsidRPr="003823AA">
              <w:rPr>
                <w:rFonts w:eastAsia="等线" w:cs="Times New Roman"/>
                <w:color w:val="000000" w:themeColor="text1"/>
                <w:sz w:val="16"/>
                <w:szCs w:val="16"/>
              </w:rPr>
              <w:t>4</w:t>
            </w:r>
          </w:p>
        </w:tc>
        <w:tc>
          <w:tcPr>
            <w:tcW w:w="936" w:type="dxa"/>
            <w:tcBorders>
              <w:top w:val="nil"/>
              <w:left w:val="nil"/>
              <w:bottom w:val="single" w:sz="4" w:space="0" w:color="auto"/>
              <w:right w:val="nil"/>
            </w:tcBorders>
            <w:shd w:val="clear" w:color="auto" w:fill="auto"/>
            <w:noWrap/>
            <w:vAlign w:val="center"/>
            <w:hideMark/>
          </w:tcPr>
          <w:p w14:paraId="5C7A41D5"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390</w:t>
            </w:r>
          </w:p>
        </w:tc>
        <w:tc>
          <w:tcPr>
            <w:tcW w:w="868" w:type="dxa"/>
            <w:tcBorders>
              <w:top w:val="nil"/>
              <w:left w:val="nil"/>
              <w:bottom w:val="single" w:sz="4" w:space="0" w:color="auto"/>
              <w:right w:val="nil"/>
            </w:tcBorders>
            <w:shd w:val="clear" w:color="auto" w:fill="auto"/>
            <w:noWrap/>
            <w:vAlign w:val="center"/>
            <w:hideMark/>
          </w:tcPr>
          <w:p w14:paraId="593C8249"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288/256</w:t>
            </w:r>
          </w:p>
        </w:tc>
        <w:tc>
          <w:tcPr>
            <w:tcW w:w="432" w:type="dxa"/>
            <w:tcBorders>
              <w:top w:val="nil"/>
              <w:left w:val="nil"/>
              <w:bottom w:val="single" w:sz="4" w:space="0" w:color="auto"/>
              <w:right w:val="nil"/>
            </w:tcBorders>
            <w:shd w:val="clear" w:color="auto" w:fill="auto"/>
            <w:noWrap/>
            <w:vAlign w:val="center"/>
            <w:hideMark/>
          </w:tcPr>
          <w:p w14:paraId="015F18AB"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w:t>
            </w:r>
          </w:p>
        </w:tc>
        <w:tc>
          <w:tcPr>
            <w:tcW w:w="1636" w:type="dxa"/>
            <w:tcBorders>
              <w:top w:val="nil"/>
              <w:left w:val="nil"/>
              <w:bottom w:val="single" w:sz="4" w:space="0" w:color="auto"/>
              <w:right w:val="nil"/>
            </w:tcBorders>
            <w:shd w:val="clear" w:color="auto" w:fill="auto"/>
            <w:noWrap/>
            <w:vAlign w:val="center"/>
            <w:hideMark/>
          </w:tcPr>
          <w:p w14:paraId="38420C0C" w14:textId="26467C39"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8</w:t>
            </w:r>
            <w:r w:rsidR="00AC17D5">
              <w:rPr>
                <w:rFonts w:eastAsia="等线" w:cs="Times New Roman"/>
                <w:color w:val="000000"/>
                <w:sz w:val="16"/>
                <w:szCs w:val="16"/>
              </w:rPr>
              <w:t>.</w:t>
            </w:r>
            <w:r w:rsidRPr="003823AA">
              <w:rPr>
                <w:rFonts w:eastAsia="等线" w:cs="Times New Roman"/>
                <w:color w:val="000000"/>
                <w:sz w:val="16"/>
                <w:szCs w:val="16"/>
              </w:rPr>
              <w:t>0/1</w:t>
            </w:r>
            <w:r w:rsidR="00AC17D5">
              <w:rPr>
                <w:rFonts w:eastAsia="等线" w:cs="Times New Roman"/>
                <w:color w:val="000000"/>
                <w:sz w:val="16"/>
                <w:szCs w:val="16"/>
              </w:rPr>
              <w:t>.</w:t>
            </w:r>
            <w:r w:rsidRPr="003823AA">
              <w:rPr>
                <w:rFonts w:eastAsia="等线" w:cs="Times New Roman"/>
                <w:color w:val="000000"/>
                <w:sz w:val="16"/>
                <w:szCs w:val="16"/>
              </w:rPr>
              <w:t>0</w:t>
            </w:r>
          </w:p>
        </w:tc>
      </w:tr>
      <w:tr w:rsidR="00162934" w:rsidRPr="003823AA" w14:paraId="5A471278" w14:textId="77777777" w:rsidTr="00AC7C77">
        <w:trPr>
          <w:trHeight w:val="263"/>
        </w:trPr>
        <w:tc>
          <w:tcPr>
            <w:tcW w:w="2886" w:type="dxa"/>
            <w:vMerge/>
            <w:tcBorders>
              <w:left w:val="nil"/>
              <w:right w:val="nil"/>
            </w:tcBorders>
            <w:shd w:val="clear" w:color="auto" w:fill="auto"/>
            <w:vAlign w:val="center"/>
            <w:hideMark/>
          </w:tcPr>
          <w:p w14:paraId="7E0D23CF" w14:textId="77777777" w:rsidR="00162934" w:rsidRPr="003823AA" w:rsidRDefault="00162934" w:rsidP="00AC7C77">
            <w:pPr>
              <w:rPr>
                <w:rFonts w:eastAsia="等线" w:cs="Times New Roman"/>
                <w:color w:val="000000"/>
                <w:sz w:val="16"/>
                <w:szCs w:val="16"/>
              </w:rPr>
            </w:pPr>
          </w:p>
        </w:tc>
        <w:tc>
          <w:tcPr>
            <w:tcW w:w="2643" w:type="dxa"/>
            <w:vMerge w:val="restart"/>
            <w:tcBorders>
              <w:top w:val="single" w:sz="4" w:space="0" w:color="auto"/>
              <w:left w:val="nil"/>
              <w:right w:val="nil"/>
            </w:tcBorders>
            <w:shd w:val="clear" w:color="auto" w:fill="auto"/>
            <w:vAlign w:val="center"/>
            <w:hideMark/>
          </w:tcPr>
          <w:p w14:paraId="5923AB04"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 xml:space="preserve">SIEMENS, </w:t>
            </w:r>
            <w:proofErr w:type="spellStart"/>
            <w:r w:rsidRPr="003823AA">
              <w:rPr>
                <w:rFonts w:eastAsia="等线" w:cs="Times New Roman"/>
                <w:color w:val="000000"/>
                <w:sz w:val="16"/>
                <w:szCs w:val="16"/>
              </w:rPr>
              <w:t>Skyra</w:t>
            </w:r>
            <w:proofErr w:type="spellEnd"/>
          </w:p>
          <w:p w14:paraId="4864AB2B" w14:textId="368EDFF8"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w:t>
            </w:r>
            <w:r w:rsidR="00AC17D5">
              <w:rPr>
                <w:rFonts w:eastAsia="等线" w:cs="Times New Roman"/>
                <w:color w:val="000000"/>
                <w:sz w:val="16"/>
                <w:szCs w:val="16"/>
              </w:rPr>
              <w:t>.</w:t>
            </w:r>
            <w:r w:rsidRPr="003823AA">
              <w:rPr>
                <w:rFonts w:eastAsia="等线" w:cs="Times New Roman"/>
                <w:color w:val="000000"/>
                <w:sz w:val="16"/>
                <w:szCs w:val="16"/>
              </w:rPr>
              <w:t>0T</w:t>
            </w:r>
          </w:p>
        </w:tc>
        <w:tc>
          <w:tcPr>
            <w:tcW w:w="3157" w:type="dxa"/>
            <w:tcBorders>
              <w:top w:val="single" w:sz="4" w:space="0" w:color="auto"/>
              <w:left w:val="nil"/>
              <w:bottom w:val="nil"/>
              <w:right w:val="nil"/>
            </w:tcBorders>
            <w:shd w:val="clear" w:color="auto" w:fill="auto"/>
            <w:vAlign w:val="center"/>
            <w:hideMark/>
          </w:tcPr>
          <w:p w14:paraId="59076DFB" w14:textId="77777777"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T2WI</w:t>
            </w:r>
          </w:p>
        </w:tc>
        <w:tc>
          <w:tcPr>
            <w:tcW w:w="706" w:type="dxa"/>
            <w:tcBorders>
              <w:top w:val="single" w:sz="4" w:space="0" w:color="auto"/>
              <w:left w:val="nil"/>
              <w:bottom w:val="nil"/>
              <w:right w:val="nil"/>
            </w:tcBorders>
            <w:shd w:val="clear" w:color="auto" w:fill="auto"/>
            <w:noWrap/>
            <w:vAlign w:val="center"/>
            <w:hideMark/>
          </w:tcPr>
          <w:p w14:paraId="0D131C77"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1500</w:t>
            </w:r>
          </w:p>
        </w:tc>
        <w:tc>
          <w:tcPr>
            <w:tcW w:w="694" w:type="dxa"/>
            <w:tcBorders>
              <w:top w:val="single" w:sz="4" w:space="0" w:color="auto"/>
              <w:left w:val="nil"/>
              <w:bottom w:val="nil"/>
              <w:right w:val="nil"/>
            </w:tcBorders>
            <w:shd w:val="clear" w:color="auto" w:fill="auto"/>
            <w:noWrap/>
            <w:vAlign w:val="center"/>
            <w:hideMark/>
          </w:tcPr>
          <w:p w14:paraId="3137B262"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100</w:t>
            </w:r>
          </w:p>
        </w:tc>
        <w:tc>
          <w:tcPr>
            <w:tcW w:w="936" w:type="dxa"/>
            <w:tcBorders>
              <w:top w:val="single" w:sz="4" w:space="0" w:color="auto"/>
              <w:left w:val="nil"/>
              <w:bottom w:val="nil"/>
              <w:right w:val="nil"/>
            </w:tcBorders>
            <w:shd w:val="clear" w:color="auto" w:fill="auto"/>
            <w:noWrap/>
            <w:vAlign w:val="center"/>
            <w:hideMark/>
          </w:tcPr>
          <w:p w14:paraId="40C3396F" w14:textId="77777777" w:rsidR="00162934" w:rsidRPr="003823AA" w:rsidRDefault="00162934" w:rsidP="00AC7C77">
            <w:pPr>
              <w:jc w:val="center"/>
              <w:rPr>
                <w:rFonts w:eastAsia="等线" w:cs="Times New Roman"/>
                <w:sz w:val="16"/>
                <w:szCs w:val="16"/>
              </w:rPr>
            </w:pPr>
            <w:r w:rsidRPr="003823AA">
              <w:rPr>
                <w:rFonts w:eastAsia="等线" w:cs="Times New Roman"/>
                <w:sz w:val="16"/>
                <w:szCs w:val="16"/>
              </w:rPr>
              <w:t>230</w:t>
            </w:r>
          </w:p>
        </w:tc>
        <w:tc>
          <w:tcPr>
            <w:tcW w:w="868" w:type="dxa"/>
            <w:tcBorders>
              <w:top w:val="single" w:sz="4" w:space="0" w:color="auto"/>
              <w:left w:val="nil"/>
              <w:bottom w:val="nil"/>
              <w:right w:val="nil"/>
            </w:tcBorders>
            <w:shd w:val="clear" w:color="auto" w:fill="auto"/>
            <w:noWrap/>
            <w:vAlign w:val="center"/>
            <w:hideMark/>
          </w:tcPr>
          <w:p w14:paraId="1C7F3D61"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320/320</w:t>
            </w:r>
          </w:p>
        </w:tc>
        <w:tc>
          <w:tcPr>
            <w:tcW w:w="432" w:type="dxa"/>
            <w:tcBorders>
              <w:top w:val="single" w:sz="4" w:space="0" w:color="auto"/>
              <w:left w:val="nil"/>
              <w:bottom w:val="nil"/>
              <w:right w:val="nil"/>
            </w:tcBorders>
            <w:shd w:val="clear" w:color="auto" w:fill="auto"/>
            <w:noWrap/>
            <w:vAlign w:val="center"/>
            <w:hideMark/>
          </w:tcPr>
          <w:p w14:paraId="586274D9"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2</w:t>
            </w:r>
          </w:p>
        </w:tc>
        <w:tc>
          <w:tcPr>
            <w:tcW w:w="1636" w:type="dxa"/>
            <w:tcBorders>
              <w:top w:val="single" w:sz="4" w:space="0" w:color="auto"/>
              <w:left w:val="nil"/>
              <w:bottom w:val="nil"/>
              <w:right w:val="nil"/>
            </w:tcBorders>
            <w:shd w:val="clear" w:color="auto" w:fill="auto"/>
            <w:noWrap/>
            <w:vAlign w:val="center"/>
            <w:hideMark/>
          </w:tcPr>
          <w:p w14:paraId="54299507" w14:textId="174AF6C8"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5</w:t>
            </w:r>
            <w:r w:rsidR="00AC17D5">
              <w:rPr>
                <w:rFonts w:eastAsia="等线" w:cs="Times New Roman"/>
                <w:color w:val="000000"/>
                <w:sz w:val="16"/>
                <w:szCs w:val="16"/>
              </w:rPr>
              <w:t>.</w:t>
            </w:r>
            <w:r w:rsidRPr="003823AA">
              <w:rPr>
                <w:rFonts w:eastAsia="等线" w:cs="Times New Roman"/>
                <w:color w:val="000000"/>
                <w:sz w:val="16"/>
                <w:szCs w:val="16"/>
              </w:rPr>
              <w:t>0/NA</w:t>
            </w:r>
          </w:p>
        </w:tc>
      </w:tr>
      <w:tr w:rsidR="00162934" w:rsidRPr="003823AA" w14:paraId="34B679F1" w14:textId="77777777" w:rsidTr="00AC7C77">
        <w:trPr>
          <w:trHeight w:val="360"/>
        </w:trPr>
        <w:tc>
          <w:tcPr>
            <w:tcW w:w="2886" w:type="dxa"/>
            <w:vMerge/>
            <w:tcBorders>
              <w:left w:val="nil"/>
              <w:right w:val="nil"/>
            </w:tcBorders>
            <w:shd w:val="clear" w:color="auto" w:fill="auto"/>
            <w:vAlign w:val="center"/>
            <w:hideMark/>
          </w:tcPr>
          <w:p w14:paraId="739C7921" w14:textId="77777777" w:rsidR="00162934" w:rsidRPr="003823AA" w:rsidRDefault="00162934" w:rsidP="00AC7C77">
            <w:pPr>
              <w:rPr>
                <w:rFonts w:eastAsia="等线" w:cs="Times New Roman"/>
                <w:color w:val="000000"/>
                <w:sz w:val="16"/>
                <w:szCs w:val="16"/>
              </w:rPr>
            </w:pPr>
          </w:p>
        </w:tc>
        <w:tc>
          <w:tcPr>
            <w:tcW w:w="2643" w:type="dxa"/>
            <w:vMerge/>
            <w:tcBorders>
              <w:left w:val="nil"/>
              <w:right w:val="nil"/>
            </w:tcBorders>
            <w:shd w:val="clear" w:color="auto" w:fill="auto"/>
            <w:vAlign w:val="center"/>
            <w:hideMark/>
          </w:tcPr>
          <w:p w14:paraId="54DFEAA3" w14:textId="77777777" w:rsidR="00162934" w:rsidRPr="003823AA" w:rsidRDefault="00162934" w:rsidP="00AC7C77">
            <w:pPr>
              <w:rPr>
                <w:rFonts w:eastAsia="等线" w:cs="Times New Roman"/>
                <w:color w:val="000000"/>
                <w:sz w:val="16"/>
                <w:szCs w:val="16"/>
              </w:rPr>
            </w:pPr>
          </w:p>
        </w:tc>
        <w:tc>
          <w:tcPr>
            <w:tcW w:w="3157" w:type="dxa"/>
            <w:tcBorders>
              <w:left w:val="nil"/>
              <w:right w:val="nil"/>
            </w:tcBorders>
            <w:shd w:val="clear" w:color="auto" w:fill="auto"/>
            <w:noWrap/>
            <w:vAlign w:val="center"/>
            <w:hideMark/>
          </w:tcPr>
          <w:p w14:paraId="2D394E9A" w14:textId="67AC406D"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DWI (b=800 s/mm</w:t>
            </w:r>
            <w:r w:rsidRPr="003823AA">
              <w:rPr>
                <w:rFonts w:eastAsia="等线" w:cs="Times New Roman"/>
                <w:color w:val="000000"/>
                <w:sz w:val="16"/>
                <w:szCs w:val="16"/>
                <w:vertAlign w:val="superscript"/>
              </w:rPr>
              <w:t>2</w:t>
            </w:r>
            <w:r w:rsidRPr="003823AA">
              <w:rPr>
                <w:rFonts w:eastAsia="等线" w:cs="Times New Roman"/>
                <w:color w:val="000000"/>
                <w:sz w:val="16"/>
                <w:szCs w:val="16"/>
              </w:rPr>
              <w:t>)</w:t>
            </w:r>
          </w:p>
        </w:tc>
        <w:tc>
          <w:tcPr>
            <w:tcW w:w="706" w:type="dxa"/>
            <w:tcBorders>
              <w:left w:val="nil"/>
              <w:bottom w:val="nil"/>
              <w:right w:val="nil"/>
            </w:tcBorders>
            <w:shd w:val="clear" w:color="auto" w:fill="auto"/>
            <w:noWrap/>
            <w:vAlign w:val="center"/>
            <w:hideMark/>
          </w:tcPr>
          <w:p w14:paraId="0A892631"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4900</w:t>
            </w:r>
          </w:p>
        </w:tc>
        <w:tc>
          <w:tcPr>
            <w:tcW w:w="694" w:type="dxa"/>
            <w:tcBorders>
              <w:left w:val="nil"/>
              <w:bottom w:val="nil"/>
              <w:right w:val="nil"/>
            </w:tcBorders>
            <w:shd w:val="clear" w:color="auto" w:fill="auto"/>
            <w:noWrap/>
            <w:vAlign w:val="center"/>
            <w:hideMark/>
          </w:tcPr>
          <w:p w14:paraId="4A8ADAC6"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60</w:t>
            </w:r>
          </w:p>
        </w:tc>
        <w:tc>
          <w:tcPr>
            <w:tcW w:w="936" w:type="dxa"/>
            <w:tcBorders>
              <w:left w:val="nil"/>
              <w:bottom w:val="nil"/>
              <w:right w:val="nil"/>
            </w:tcBorders>
            <w:shd w:val="clear" w:color="auto" w:fill="auto"/>
            <w:noWrap/>
            <w:vAlign w:val="center"/>
            <w:hideMark/>
          </w:tcPr>
          <w:p w14:paraId="4BF7C7E1" w14:textId="77777777" w:rsidR="00162934" w:rsidRPr="003823AA" w:rsidRDefault="00162934" w:rsidP="00AC7C77">
            <w:pPr>
              <w:jc w:val="center"/>
              <w:rPr>
                <w:rFonts w:eastAsia="等线" w:cs="Times New Roman"/>
                <w:sz w:val="16"/>
                <w:szCs w:val="16"/>
              </w:rPr>
            </w:pPr>
            <w:r w:rsidRPr="003823AA">
              <w:rPr>
                <w:rFonts w:eastAsia="等线" w:cs="Times New Roman"/>
                <w:sz w:val="16"/>
                <w:szCs w:val="16"/>
              </w:rPr>
              <w:t>200</w:t>
            </w:r>
          </w:p>
        </w:tc>
        <w:tc>
          <w:tcPr>
            <w:tcW w:w="868" w:type="dxa"/>
            <w:tcBorders>
              <w:left w:val="nil"/>
              <w:bottom w:val="nil"/>
              <w:right w:val="nil"/>
            </w:tcBorders>
            <w:shd w:val="clear" w:color="auto" w:fill="auto"/>
            <w:noWrap/>
            <w:vAlign w:val="center"/>
            <w:hideMark/>
          </w:tcPr>
          <w:p w14:paraId="7BBBD66E"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140/126</w:t>
            </w:r>
          </w:p>
        </w:tc>
        <w:tc>
          <w:tcPr>
            <w:tcW w:w="432" w:type="dxa"/>
            <w:tcBorders>
              <w:left w:val="nil"/>
              <w:bottom w:val="nil"/>
              <w:right w:val="nil"/>
            </w:tcBorders>
            <w:shd w:val="clear" w:color="auto" w:fill="auto"/>
            <w:noWrap/>
            <w:vAlign w:val="center"/>
            <w:hideMark/>
          </w:tcPr>
          <w:p w14:paraId="701E360A" w14:textId="77777777"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 xml:space="preserve">  2</w:t>
            </w:r>
          </w:p>
        </w:tc>
        <w:tc>
          <w:tcPr>
            <w:tcW w:w="1636" w:type="dxa"/>
            <w:tcBorders>
              <w:left w:val="nil"/>
              <w:bottom w:val="nil"/>
              <w:right w:val="nil"/>
            </w:tcBorders>
            <w:shd w:val="clear" w:color="auto" w:fill="auto"/>
            <w:noWrap/>
            <w:vAlign w:val="center"/>
            <w:hideMark/>
          </w:tcPr>
          <w:p w14:paraId="520C160B" w14:textId="2EE58809"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5</w:t>
            </w:r>
            <w:r w:rsidR="00AC17D5">
              <w:rPr>
                <w:rFonts w:eastAsia="等线" w:cs="Times New Roman"/>
                <w:color w:val="000000"/>
                <w:sz w:val="16"/>
                <w:szCs w:val="16"/>
              </w:rPr>
              <w:t>.</w:t>
            </w:r>
            <w:r w:rsidRPr="003823AA">
              <w:rPr>
                <w:rFonts w:eastAsia="等线" w:cs="Times New Roman"/>
                <w:color w:val="000000"/>
                <w:sz w:val="16"/>
                <w:szCs w:val="16"/>
              </w:rPr>
              <w:t>5/0</w:t>
            </w:r>
            <w:r w:rsidR="00AC17D5">
              <w:rPr>
                <w:rFonts w:eastAsia="等线" w:cs="Times New Roman"/>
                <w:color w:val="000000"/>
                <w:sz w:val="16"/>
                <w:szCs w:val="16"/>
              </w:rPr>
              <w:t>.</w:t>
            </w:r>
            <w:r w:rsidRPr="003823AA">
              <w:rPr>
                <w:rFonts w:eastAsia="等线" w:cs="Times New Roman"/>
                <w:color w:val="000000"/>
                <w:sz w:val="16"/>
                <w:szCs w:val="16"/>
              </w:rPr>
              <w:t>5</w:t>
            </w:r>
          </w:p>
        </w:tc>
      </w:tr>
      <w:tr w:rsidR="00162934" w:rsidRPr="003823AA" w14:paraId="596257AE" w14:textId="77777777" w:rsidTr="00AC7C77">
        <w:trPr>
          <w:trHeight w:val="263"/>
        </w:trPr>
        <w:tc>
          <w:tcPr>
            <w:tcW w:w="2886" w:type="dxa"/>
            <w:vMerge/>
            <w:tcBorders>
              <w:left w:val="nil"/>
              <w:bottom w:val="single" w:sz="4" w:space="0" w:color="auto"/>
              <w:right w:val="nil"/>
            </w:tcBorders>
            <w:shd w:val="clear" w:color="auto" w:fill="auto"/>
            <w:vAlign w:val="center"/>
            <w:hideMark/>
          </w:tcPr>
          <w:p w14:paraId="5770D323" w14:textId="77777777" w:rsidR="00162934" w:rsidRPr="003823AA" w:rsidRDefault="00162934" w:rsidP="00AC7C77">
            <w:pPr>
              <w:rPr>
                <w:rFonts w:eastAsia="等线" w:cs="Times New Roman"/>
                <w:color w:val="000000"/>
                <w:sz w:val="16"/>
                <w:szCs w:val="16"/>
              </w:rPr>
            </w:pPr>
          </w:p>
        </w:tc>
        <w:tc>
          <w:tcPr>
            <w:tcW w:w="2643" w:type="dxa"/>
            <w:vMerge/>
            <w:tcBorders>
              <w:left w:val="nil"/>
              <w:bottom w:val="single" w:sz="4" w:space="0" w:color="auto"/>
              <w:right w:val="nil"/>
            </w:tcBorders>
            <w:shd w:val="clear" w:color="auto" w:fill="auto"/>
            <w:vAlign w:val="center"/>
            <w:hideMark/>
          </w:tcPr>
          <w:p w14:paraId="1E60D596" w14:textId="77777777" w:rsidR="00162934" w:rsidRPr="003823AA" w:rsidRDefault="00162934" w:rsidP="00AC7C77">
            <w:pPr>
              <w:rPr>
                <w:rFonts w:eastAsia="等线" w:cs="Times New Roman"/>
                <w:color w:val="000000"/>
                <w:sz w:val="16"/>
                <w:szCs w:val="16"/>
              </w:rPr>
            </w:pPr>
          </w:p>
        </w:tc>
        <w:tc>
          <w:tcPr>
            <w:tcW w:w="3157" w:type="dxa"/>
            <w:tcBorders>
              <w:left w:val="nil"/>
              <w:bottom w:val="single" w:sz="4" w:space="0" w:color="auto"/>
              <w:right w:val="nil"/>
            </w:tcBorders>
            <w:shd w:val="clear" w:color="auto" w:fill="auto"/>
            <w:vAlign w:val="center"/>
            <w:hideMark/>
          </w:tcPr>
          <w:p w14:paraId="03EE963D" w14:textId="77777777" w:rsidR="00162934" w:rsidRPr="003823AA" w:rsidRDefault="00162934" w:rsidP="00AC7C77">
            <w:pPr>
              <w:rPr>
                <w:rFonts w:eastAsia="等线" w:cs="Times New Roman"/>
                <w:color w:val="000000"/>
                <w:sz w:val="16"/>
                <w:szCs w:val="16"/>
              </w:rPr>
            </w:pPr>
            <w:r w:rsidRPr="003823AA">
              <w:rPr>
                <w:rFonts w:eastAsia="等线" w:cs="Times New Roman"/>
                <w:color w:val="000000"/>
                <w:sz w:val="16"/>
                <w:szCs w:val="16"/>
              </w:rPr>
              <w:t>Oblique Axial T1WIC</w:t>
            </w:r>
          </w:p>
        </w:tc>
        <w:tc>
          <w:tcPr>
            <w:tcW w:w="706" w:type="dxa"/>
            <w:tcBorders>
              <w:top w:val="nil"/>
              <w:left w:val="nil"/>
              <w:bottom w:val="single" w:sz="4" w:space="0" w:color="auto"/>
              <w:right w:val="nil"/>
            </w:tcBorders>
            <w:shd w:val="clear" w:color="auto" w:fill="auto"/>
            <w:noWrap/>
            <w:vAlign w:val="center"/>
            <w:hideMark/>
          </w:tcPr>
          <w:p w14:paraId="73066538" w14:textId="49E9F8AA"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w:t>
            </w:r>
            <w:r w:rsidR="00AC17D5">
              <w:rPr>
                <w:rFonts w:eastAsia="等线" w:cs="Times New Roman"/>
                <w:color w:val="000000"/>
                <w:sz w:val="16"/>
                <w:szCs w:val="16"/>
              </w:rPr>
              <w:t>.</w:t>
            </w:r>
            <w:r w:rsidRPr="003823AA">
              <w:rPr>
                <w:rFonts w:eastAsia="等线" w:cs="Times New Roman"/>
                <w:color w:val="000000"/>
                <w:sz w:val="16"/>
                <w:szCs w:val="16"/>
              </w:rPr>
              <w:t>56</w:t>
            </w:r>
          </w:p>
        </w:tc>
        <w:tc>
          <w:tcPr>
            <w:tcW w:w="694" w:type="dxa"/>
            <w:tcBorders>
              <w:top w:val="nil"/>
              <w:left w:val="nil"/>
              <w:bottom w:val="single" w:sz="4" w:space="0" w:color="auto"/>
              <w:right w:val="nil"/>
            </w:tcBorders>
            <w:shd w:val="clear" w:color="auto" w:fill="auto"/>
            <w:noWrap/>
            <w:vAlign w:val="center"/>
            <w:hideMark/>
          </w:tcPr>
          <w:p w14:paraId="576604FC" w14:textId="74280A05"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w:t>
            </w:r>
            <w:r w:rsidR="00AC17D5">
              <w:rPr>
                <w:rFonts w:eastAsia="等线" w:cs="Times New Roman"/>
                <w:color w:val="000000"/>
                <w:sz w:val="16"/>
                <w:szCs w:val="16"/>
              </w:rPr>
              <w:t>.</w:t>
            </w:r>
            <w:r w:rsidRPr="003823AA">
              <w:rPr>
                <w:rFonts w:eastAsia="等线" w:cs="Times New Roman"/>
                <w:color w:val="000000"/>
                <w:sz w:val="16"/>
                <w:szCs w:val="16"/>
              </w:rPr>
              <w:t>39</w:t>
            </w:r>
          </w:p>
        </w:tc>
        <w:tc>
          <w:tcPr>
            <w:tcW w:w="936" w:type="dxa"/>
            <w:tcBorders>
              <w:top w:val="nil"/>
              <w:left w:val="nil"/>
              <w:bottom w:val="single" w:sz="4" w:space="0" w:color="auto"/>
              <w:right w:val="nil"/>
            </w:tcBorders>
            <w:shd w:val="clear" w:color="auto" w:fill="auto"/>
            <w:noWrap/>
            <w:vAlign w:val="center"/>
            <w:hideMark/>
          </w:tcPr>
          <w:p w14:paraId="7FDA2A42" w14:textId="77777777" w:rsidR="00162934" w:rsidRPr="003823AA" w:rsidRDefault="00162934" w:rsidP="00AC7C77">
            <w:pPr>
              <w:jc w:val="center"/>
              <w:rPr>
                <w:rFonts w:eastAsia="等线" w:cs="Times New Roman"/>
                <w:sz w:val="16"/>
                <w:szCs w:val="16"/>
              </w:rPr>
            </w:pPr>
            <w:r w:rsidRPr="003823AA">
              <w:rPr>
                <w:rFonts w:eastAsia="等线" w:cs="Times New Roman"/>
                <w:sz w:val="16"/>
                <w:szCs w:val="16"/>
              </w:rPr>
              <w:t>350</w:t>
            </w:r>
          </w:p>
        </w:tc>
        <w:tc>
          <w:tcPr>
            <w:tcW w:w="868" w:type="dxa"/>
            <w:tcBorders>
              <w:top w:val="nil"/>
              <w:left w:val="nil"/>
              <w:bottom w:val="single" w:sz="4" w:space="0" w:color="auto"/>
              <w:right w:val="nil"/>
            </w:tcBorders>
            <w:shd w:val="clear" w:color="auto" w:fill="auto"/>
            <w:noWrap/>
            <w:vAlign w:val="center"/>
            <w:hideMark/>
          </w:tcPr>
          <w:p w14:paraId="6F9429B3"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384/384</w:t>
            </w:r>
          </w:p>
        </w:tc>
        <w:tc>
          <w:tcPr>
            <w:tcW w:w="432" w:type="dxa"/>
            <w:tcBorders>
              <w:top w:val="nil"/>
              <w:left w:val="nil"/>
              <w:bottom w:val="single" w:sz="4" w:space="0" w:color="auto"/>
              <w:right w:val="nil"/>
            </w:tcBorders>
            <w:shd w:val="clear" w:color="auto" w:fill="auto"/>
            <w:noWrap/>
            <w:vAlign w:val="center"/>
            <w:hideMark/>
          </w:tcPr>
          <w:p w14:paraId="22109E75" w14:textId="77777777"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1</w:t>
            </w:r>
          </w:p>
        </w:tc>
        <w:tc>
          <w:tcPr>
            <w:tcW w:w="1636" w:type="dxa"/>
            <w:tcBorders>
              <w:top w:val="nil"/>
              <w:left w:val="nil"/>
              <w:bottom w:val="single" w:sz="4" w:space="0" w:color="auto"/>
              <w:right w:val="nil"/>
            </w:tcBorders>
            <w:shd w:val="clear" w:color="auto" w:fill="auto"/>
            <w:noWrap/>
            <w:vAlign w:val="center"/>
            <w:hideMark/>
          </w:tcPr>
          <w:p w14:paraId="729BADAA" w14:textId="31025B4A" w:rsidR="00162934" w:rsidRPr="003823AA" w:rsidRDefault="00162934" w:rsidP="00AC7C77">
            <w:pPr>
              <w:jc w:val="center"/>
              <w:rPr>
                <w:rFonts w:eastAsia="等线" w:cs="Times New Roman"/>
                <w:color w:val="000000"/>
                <w:sz w:val="16"/>
                <w:szCs w:val="16"/>
              </w:rPr>
            </w:pPr>
            <w:r w:rsidRPr="003823AA">
              <w:rPr>
                <w:rFonts w:eastAsia="等线" w:cs="Times New Roman"/>
                <w:color w:val="000000"/>
                <w:sz w:val="16"/>
                <w:szCs w:val="16"/>
              </w:rPr>
              <w:t>4</w:t>
            </w:r>
            <w:r w:rsidR="00AC17D5">
              <w:rPr>
                <w:rFonts w:eastAsia="等线" w:cs="Times New Roman"/>
                <w:color w:val="000000"/>
                <w:sz w:val="16"/>
                <w:szCs w:val="16"/>
              </w:rPr>
              <w:t>.</w:t>
            </w:r>
            <w:r w:rsidRPr="003823AA">
              <w:rPr>
                <w:rFonts w:eastAsia="等线" w:cs="Times New Roman"/>
                <w:color w:val="000000"/>
                <w:sz w:val="16"/>
                <w:szCs w:val="16"/>
              </w:rPr>
              <w:t>5/NA</w:t>
            </w:r>
          </w:p>
        </w:tc>
      </w:tr>
    </w:tbl>
    <w:p w14:paraId="2CCA910B" w14:textId="31756EB2" w:rsidR="00162934" w:rsidRPr="003823AA" w:rsidRDefault="00162934" w:rsidP="0094081B">
      <w:pPr>
        <w:jc w:val="left"/>
        <w:rPr>
          <w:rFonts w:cs="Times New Roman"/>
        </w:rPr>
      </w:pPr>
      <w:r w:rsidRPr="003823AA">
        <w:rPr>
          <w:rFonts w:cs="Times New Roman"/>
        </w:rPr>
        <w:t xml:space="preserve">MRI acquisition parameters across two medical </w:t>
      </w:r>
      <w:r w:rsidR="00517B8E" w:rsidRPr="003823AA">
        <w:rPr>
          <w:rFonts w:cs="Times New Roman"/>
        </w:rPr>
        <w:t>centre</w:t>
      </w:r>
      <w:r w:rsidRPr="003823AA">
        <w:rPr>
          <w:rFonts w:cs="Times New Roman"/>
        </w:rPr>
        <w:t>s using multiple scanner platforms (GE and Siemens, 1</w:t>
      </w:r>
      <w:r w:rsidR="00AC17D5">
        <w:rPr>
          <w:rFonts w:cs="Times New Roman"/>
        </w:rPr>
        <w:t>.</w:t>
      </w:r>
      <w:r w:rsidRPr="003823AA">
        <w:rPr>
          <w:rFonts w:cs="Times New Roman"/>
        </w:rPr>
        <w:t>5T and 3</w:t>
      </w:r>
      <w:r w:rsidR="00AC17D5">
        <w:rPr>
          <w:rFonts w:cs="Times New Roman"/>
        </w:rPr>
        <w:t>.</w:t>
      </w:r>
      <w:r w:rsidRPr="003823AA">
        <w:rPr>
          <w:rFonts w:cs="Times New Roman"/>
        </w:rPr>
        <w:t xml:space="preserve">0T). All </w:t>
      </w:r>
      <w:r w:rsidR="00517B8E" w:rsidRPr="003823AA">
        <w:rPr>
          <w:rFonts w:cs="Times New Roman"/>
        </w:rPr>
        <w:t>centre</w:t>
      </w:r>
      <w:r w:rsidRPr="003823AA">
        <w:rPr>
          <w:rFonts w:cs="Times New Roman"/>
        </w:rPr>
        <w:t xml:space="preserve">s employed </w:t>
      </w:r>
      <w:r w:rsidR="00AC17D5">
        <w:rPr>
          <w:rFonts w:cs="Times New Roman"/>
        </w:rPr>
        <w:t>a consistent oblique axial imaging protocol,</w:t>
      </w:r>
      <w:r w:rsidRPr="003823AA">
        <w:rPr>
          <w:rFonts w:cs="Times New Roman"/>
        </w:rPr>
        <w:t xml:space="preserve"> including T2-weighted imaging, diffusion-weighted imaging with apparent diffusion coefficient (ADC) maps automatically calculated from DWI sequences using b-values of 0 and 800 s/mm², and contrast-enhanced T1-weighted imaging. Parameter variations reflect </w:t>
      </w:r>
      <w:r w:rsidR="00AC17D5">
        <w:rPr>
          <w:rFonts w:cs="Times New Roman"/>
        </w:rPr>
        <w:t xml:space="preserve">a </w:t>
      </w:r>
      <w:r w:rsidRPr="003823AA">
        <w:rPr>
          <w:rFonts w:cs="Times New Roman"/>
        </w:rPr>
        <w:t>multi-vendor environment while maintaining clinically acceptable ranges for diagnostic consistency. TR</w:t>
      </w:r>
      <w:r w:rsidR="00CE7EE3" w:rsidRPr="003823AA">
        <w:rPr>
          <w:rFonts w:cs="Times New Roman"/>
        </w:rPr>
        <w:t>=</w:t>
      </w:r>
      <w:r w:rsidRPr="003823AA">
        <w:rPr>
          <w:rFonts w:cs="Times New Roman"/>
        </w:rPr>
        <w:t>repetition time</w:t>
      </w:r>
      <w:r w:rsidR="00CE7EE3" w:rsidRPr="003823AA">
        <w:rPr>
          <w:rFonts w:cs="Times New Roman"/>
        </w:rPr>
        <w:t>.</w:t>
      </w:r>
      <w:r w:rsidRPr="003823AA">
        <w:rPr>
          <w:rFonts w:cs="Times New Roman"/>
        </w:rPr>
        <w:t xml:space="preserve"> TE</w:t>
      </w:r>
      <w:r w:rsidR="00CE7EE3" w:rsidRPr="003823AA">
        <w:rPr>
          <w:rFonts w:cs="Times New Roman"/>
        </w:rPr>
        <w:t>=</w:t>
      </w:r>
      <w:r w:rsidRPr="003823AA">
        <w:rPr>
          <w:rFonts w:cs="Times New Roman"/>
        </w:rPr>
        <w:t>echo time</w:t>
      </w:r>
      <w:r w:rsidR="00CE7EE3" w:rsidRPr="003823AA">
        <w:rPr>
          <w:rFonts w:cs="Times New Roman"/>
        </w:rPr>
        <w:t>.</w:t>
      </w:r>
      <w:r w:rsidRPr="003823AA">
        <w:rPr>
          <w:rFonts w:cs="Times New Roman"/>
        </w:rPr>
        <w:t xml:space="preserve"> FOV</w:t>
      </w:r>
      <w:r w:rsidR="00CE7EE3" w:rsidRPr="003823AA">
        <w:rPr>
          <w:rFonts w:cs="Times New Roman"/>
        </w:rPr>
        <w:t>=</w:t>
      </w:r>
      <w:r w:rsidRPr="003823AA">
        <w:rPr>
          <w:rFonts w:cs="Times New Roman"/>
        </w:rPr>
        <w:t>field of view</w:t>
      </w:r>
      <w:r w:rsidR="00CE7EE3" w:rsidRPr="003823AA">
        <w:rPr>
          <w:rFonts w:cs="Times New Roman"/>
        </w:rPr>
        <w:t>.</w:t>
      </w:r>
      <w:r w:rsidRPr="003823AA">
        <w:rPr>
          <w:rFonts w:cs="Times New Roman"/>
        </w:rPr>
        <w:t xml:space="preserve"> NEX</w:t>
      </w:r>
      <w:r w:rsidR="00CE7EE3" w:rsidRPr="003823AA">
        <w:rPr>
          <w:rFonts w:cs="Times New Roman"/>
        </w:rPr>
        <w:t>=</w:t>
      </w:r>
      <w:r w:rsidRPr="003823AA">
        <w:rPr>
          <w:rFonts w:cs="Times New Roman"/>
        </w:rPr>
        <w:t>number of excitations</w:t>
      </w:r>
      <w:r w:rsidR="00CE7EE3" w:rsidRPr="003823AA">
        <w:rPr>
          <w:rFonts w:cs="Times New Roman"/>
        </w:rPr>
        <w:t>.</w:t>
      </w:r>
      <w:r w:rsidRPr="003823AA">
        <w:rPr>
          <w:rFonts w:cs="Times New Roman"/>
        </w:rPr>
        <w:t xml:space="preserve"> T2WI</w:t>
      </w:r>
      <w:r w:rsidR="00CE7EE3" w:rsidRPr="003823AA">
        <w:rPr>
          <w:rFonts w:cs="Times New Roman"/>
        </w:rPr>
        <w:t>=</w:t>
      </w:r>
      <w:r w:rsidRPr="003823AA">
        <w:rPr>
          <w:rFonts w:cs="Times New Roman"/>
        </w:rPr>
        <w:t>T2-weighted imaging</w:t>
      </w:r>
      <w:r w:rsidR="00CE7EE3" w:rsidRPr="003823AA">
        <w:rPr>
          <w:rFonts w:cs="Times New Roman"/>
        </w:rPr>
        <w:t>.</w:t>
      </w:r>
      <w:r w:rsidRPr="003823AA">
        <w:rPr>
          <w:rFonts w:cs="Times New Roman"/>
        </w:rPr>
        <w:t xml:space="preserve"> DWI</w:t>
      </w:r>
      <w:r w:rsidR="00CE7EE3" w:rsidRPr="003823AA">
        <w:rPr>
          <w:rFonts w:cs="Times New Roman"/>
        </w:rPr>
        <w:t>=</w:t>
      </w:r>
      <w:r w:rsidRPr="003823AA">
        <w:rPr>
          <w:rFonts w:cs="Times New Roman"/>
        </w:rPr>
        <w:t>diffusion-weighted imaging</w:t>
      </w:r>
      <w:r w:rsidR="00CE7EE3" w:rsidRPr="003823AA">
        <w:rPr>
          <w:rFonts w:cs="Times New Roman"/>
        </w:rPr>
        <w:t>.</w:t>
      </w:r>
      <w:r w:rsidRPr="003823AA">
        <w:rPr>
          <w:rFonts w:cs="Times New Roman"/>
        </w:rPr>
        <w:t xml:space="preserve"> ADC</w:t>
      </w:r>
      <w:r w:rsidR="00CE7EE3" w:rsidRPr="003823AA">
        <w:rPr>
          <w:rFonts w:cs="Times New Roman"/>
        </w:rPr>
        <w:t>=</w:t>
      </w:r>
      <w:r w:rsidRPr="003823AA">
        <w:rPr>
          <w:rFonts w:cs="Times New Roman"/>
        </w:rPr>
        <w:t>apparent diffusion coefficient</w:t>
      </w:r>
      <w:r w:rsidR="00CE7EE3" w:rsidRPr="003823AA">
        <w:rPr>
          <w:rFonts w:cs="Times New Roman"/>
        </w:rPr>
        <w:t>.</w:t>
      </w:r>
      <w:r w:rsidRPr="003823AA">
        <w:rPr>
          <w:rFonts w:cs="Times New Roman"/>
        </w:rPr>
        <w:t xml:space="preserve"> T1WIC</w:t>
      </w:r>
      <w:r w:rsidR="00CE7EE3" w:rsidRPr="003823AA">
        <w:rPr>
          <w:rFonts w:cs="Times New Roman"/>
        </w:rPr>
        <w:t>=</w:t>
      </w:r>
      <w:r w:rsidRPr="003823AA">
        <w:rPr>
          <w:rFonts w:cs="Times New Roman"/>
        </w:rPr>
        <w:t>T1-weighted imaging with contrast enhancement.</w:t>
      </w:r>
    </w:p>
    <w:p w14:paraId="04B872CE" w14:textId="09F2708A" w:rsidR="00D561D1" w:rsidRPr="003823AA" w:rsidRDefault="00D561D1" w:rsidP="00D561D1">
      <w:pPr>
        <w:rPr>
          <w:rFonts w:cs="Times New Roman"/>
        </w:rPr>
        <w:sectPr w:rsidR="00D561D1" w:rsidRPr="003823AA" w:rsidSect="00D561D1">
          <w:pgSz w:w="16838" w:h="11906" w:orient="landscape"/>
          <w:pgMar w:top="1797" w:right="1440" w:bottom="1797" w:left="1440" w:header="851" w:footer="992" w:gutter="0"/>
          <w:cols w:space="425"/>
          <w:docGrid w:type="linesAndChars" w:linePitch="312"/>
        </w:sectPr>
      </w:pPr>
    </w:p>
    <w:p w14:paraId="74E675F5" w14:textId="220E2E14" w:rsidR="003E56FC" w:rsidRPr="003823AA" w:rsidRDefault="00F40D9E" w:rsidP="00F40D9E">
      <w:pPr>
        <w:pStyle w:val="3"/>
      </w:pPr>
      <w:bookmarkStart w:id="3" w:name="_Hlk204711442"/>
      <w:bookmarkEnd w:id="1"/>
      <w:bookmarkEnd w:id="2"/>
      <w:r w:rsidRPr="00F40D9E">
        <w:rPr>
          <w:rFonts w:eastAsiaTheme="minorEastAsia"/>
        </w:rPr>
        <w:lastRenderedPageBreak/>
        <w:t>Supplementary</w:t>
      </w:r>
      <w:r>
        <w:rPr>
          <w:rFonts w:eastAsiaTheme="minorEastAsia"/>
        </w:rPr>
        <w:t xml:space="preserve"> </w:t>
      </w:r>
      <w:r w:rsidR="003E56FC" w:rsidRPr="003823AA">
        <w:t xml:space="preserve">Table </w:t>
      </w:r>
      <w:r w:rsidR="00D561D1" w:rsidRPr="003823AA">
        <w:t>2</w:t>
      </w:r>
      <w:bookmarkEnd w:id="3"/>
      <w:r w:rsidR="00064784">
        <w:t xml:space="preserve"> </w:t>
      </w:r>
      <w:r w:rsidR="00064784" w:rsidRPr="00CF3A85">
        <w:rPr>
          <w:b w:val="0"/>
          <w:bCs w:val="0"/>
        </w:rPr>
        <w:t>|</w:t>
      </w:r>
      <w:r w:rsidR="003E56FC" w:rsidRPr="003823AA">
        <w:t xml:space="preserve"> Performance of GIRS for survival prediction across different datasets</w:t>
      </w:r>
    </w:p>
    <w:tbl>
      <w:tblPr>
        <w:tblStyle w:val="a7"/>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1153"/>
        <w:gridCol w:w="1578"/>
        <w:gridCol w:w="24"/>
        <w:gridCol w:w="1614"/>
        <w:gridCol w:w="1616"/>
        <w:gridCol w:w="48"/>
        <w:gridCol w:w="1583"/>
      </w:tblGrid>
      <w:tr w:rsidR="003E56FC" w:rsidRPr="003823AA" w14:paraId="224B632C" w14:textId="77777777" w:rsidTr="0011159C">
        <w:trPr>
          <w:trHeight w:val="170"/>
        </w:trPr>
        <w:tc>
          <w:tcPr>
            <w:tcW w:w="690" w:type="dxa"/>
            <w:tcBorders>
              <w:top w:val="single" w:sz="12" w:space="0" w:color="auto"/>
            </w:tcBorders>
            <w:shd w:val="clear" w:color="auto" w:fill="auto"/>
          </w:tcPr>
          <w:p w14:paraId="48483EE0" w14:textId="77777777" w:rsidR="003E56FC" w:rsidRPr="003823AA" w:rsidRDefault="003E56FC" w:rsidP="0011159C">
            <w:pPr>
              <w:rPr>
                <w:rFonts w:cs="Times New Roman"/>
                <w:sz w:val="16"/>
                <w:szCs w:val="16"/>
              </w:rPr>
            </w:pPr>
          </w:p>
        </w:tc>
        <w:tc>
          <w:tcPr>
            <w:tcW w:w="1153" w:type="dxa"/>
            <w:tcBorders>
              <w:top w:val="single" w:sz="12" w:space="0" w:color="auto"/>
              <w:bottom w:val="single" w:sz="4" w:space="0" w:color="auto"/>
            </w:tcBorders>
            <w:shd w:val="clear" w:color="auto" w:fill="auto"/>
          </w:tcPr>
          <w:p w14:paraId="16A0EF6B" w14:textId="77777777" w:rsidR="003E56FC" w:rsidRPr="003823AA" w:rsidRDefault="003E56FC" w:rsidP="0011159C">
            <w:pPr>
              <w:rPr>
                <w:rFonts w:cs="Times New Roman"/>
                <w:b/>
                <w:bCs/>
                <w:sz w:val="16"/>
                <w:szCs w:val="16"/>
              </w:rPr>
            </w:pPr>
            <w:r w:rsidRPr="003823AA">
              <w:rPr>
                <w:rFonts w:cs="Times New Roman"/>
                <w:b/>
                <w:bCs/>
                <w:sz w:val="16"/>
                <w:szCs w:val="16"/>
              </w:rPr>
              <w:t>Dataset</w:t>
            </w:r>
          </w:p>
        </w:tc>
        <w:tc>
          <w:tcPr>
            <w:tcW w:w="1578" w:type="dxa"/>
            <w:tcBorders>
              <w:top w:val="single" w:sz="12" w:space="0" w:color="auto"/>
              <w:bottom w:val="single" w:sz="4" w:space="0" w:color="auto"/>
            </w:tcBorders>
            <w:shd w:val="clear" w:color="auto" w:fill="auto"/>
          </w:tcPr>
          <w:p w14:paraId="370D9FC2" w14:textId="77777777" w:rsidR="003E56FC" w:rsidRPr="003823AA" w:rsidRDefault="003E56FC" w:rsidP="0011159C">
            <w:pPr>
              <w:rPr>
                <w:rFonts w:cs="Times New Roman"/>
                <w:b/>
                <w:bCs/>
                <w:sz w:val="16"/>
                <w:szCs w:val="16"/>
              </w:rPr>
            </w:pPr>
            <w:r w:rsidRPr="003823AA">
              <w:rPr>
                <w:rFonts w:cs="Times New Roman"/>
                <w:b/>
                <w:bCs/>
                <w:sz w:val="16"/>
                <w:szCs w:val="16"/>
              </w:rPr>
              <w:t>C-index</w:t>
            </w:r>
          </w:p>
        </w:tc>
        <w:tc>
          <w:tcPr>
            <w:tcW w:w="1638" w:type="dxa"/>
            <w:gridSpan w:val="2"/>
            <w:tcBorders>
              <w:top w:val="single" w:sz="12" w:space="0" w:color="auto"/>
              <w:bottom w:val="single" w:sz="4" w:space="0" w:color="auto"/>
            </w:tcBorders>
            <w:shd w:val="clear" w:color="auto" w:fill="auto"/>
          </w:tcPr>
          <w:p w14:paraId="20B69EAF" w14:textId="77777777" w:rsidR="003E56FC" w:rsidRPr="003823AA" w:rsidRDefault="003E56FC" w:rsidP="0011159C">
            <w:pPr>
              <w:rPr>
                <w:rFonts w:cs="Times New Roman"/>
                <w:b/>
                <w:bCs/>
                <w:sz w:val="16"/>
                <w:szCs w:val="16"/>
              </w:rPr>
            </w:pPr>
            <w:r w:rsidRPr="003823AA">
              <w:rPr>
                <w:rFonts w:cs="Times New Roman"/>
                <w:b/>
                <w:bCs/>
                <w:sz w:val="16"/>
                <w:szCs w:val="16"/>
              </w:rPr>
              <w:t>HR</w:t>
            </w:r>
          </w:p>
        </w:tc>
        <w:tc>
          <w:tcPr>
            <w:tcW w:w="1616" w:type="dxa"/>
            <w:tcBorders>
              <w:top w:val="single" w:sz="12" w:space="0" w:color="auto"/>
              <w:bottom w:val="single" w:sz="4" w:space="0" w:color="auto"/>
            </w:tcBorders>
            <w:shd w:val="clear" w:color="auto" w:fill="auto"/>
          </w:tcPr>
          <w:p w14:paraId="18F264D0" w14:textId="4AC3E0A8" w:rsidR="003E56FC" w:rsidRPr="003823AA" w:rsidRDefault="00CE7EE3" w:rsidP="0011159C">
            <w:pPr>
              <w:rPr>
                <w:rFonts w:cs="Times New Roman"/>
                <w:b/>
                <w:bCs/>
                <w:sz w:val="16"/>
                <w:szCs w:val="16"/>
              </w:rPr>
            </w:pPr>
            <w:r w:rsidRPr="003823AA">
              <w:rPr>
                <w:rFonts w:eastAsiaTheme="minorEastAsia" w:cs="Times New Roman"/>
                <w:b/>
                <w:bCs/>
                <w:sz w:val="16"/>
                <w:szCs w:val="16"/>
              </w:rPr>
              <w:t>p</w:t>
            </w:r>
            <w:r w:rsidR="00AD353F" w:rsidRPr="003823AA">
              <w:rPr>
                <w:rFonts w:cs="Times New Roman"/>
                <w:b/>
                <w:bCs/>
                <w:sz w:val="16"/>
                <w:szCs w:val="16"/>
              </w:rPr>
              <w:t xml:space="preserve"> </w:t>
            </w:r>
            <w:r w:rsidR="003E56FC" w:rsidRPr="003823AA">
              <w:rPr>
                <w:rFonts w:cs="Times New Roman"/>
                <w:b/>
                <w:bCs/>
                <w:sz w:val="16"/>
                <w:szCs w:val="16"/>
              </w:rPr>
              <w:t>value</w:t>
            </w:r>
          </w:p>
        </w:tc>
        <w:tc>
          <w:tcPr>
            <w:tcW w:w="1631" w:type="dxa"/>
            <w:gridSpan w:val="2"/>
            <w:tcBorders>
              <w:top w:val="single" w:sz="12" w:space="0" w:color="auto"/>
              <w:bottom w:val="single" w:sz="4" w:space="0" w:color="auto"/>
            </w:tcBorders>
            <w:shd w:val="clear" w:color="auto" w:fill="auto"/>
          </w:tcPr>
          <w:p w14:paraId="26122CBF" w14:textId="77777777" w:rsidR="003E56FC" w:rsidRPr="003823AA" w:rsidRDefault="003E56FC" w:rsidP="0011159C">
            <w:pPr>
              <w:rPr>
                <w:rFonts w:cs="Times New Roman"/>
                <w:b/>
                <w:bCs/>
                <w:sz w:val="16"/>
                <w:szCs w:val="16"/>
              </w:rPr>
            </w:pPr>
            <w:r w:rsidRPr="003823AA">
              <w:rPr>
                <w:rFonts w:cs="Times New Roman"/>
                <w:b/>
                <w:bCs/>
                <w:sz w:val="16"/>
                <w:szCs w:val="16"/>
              </w:rPr>
              <w:t>N (Low/High)</w:t>
            </w:r>
          </w:p>
        </w:tc>
      </w:tr>
      <w:tr w:rsidR="003E56FC" w:rsidRPr="003823AA" w14:paraId="308EC691" w14:textId="77777777" w:rsidTr="0011159C">
        <w:trPr>
          <w:trHeight w:val="170"/>
        </w:trPr>
        <w:tc>
          <w:tcPr>
            <w:tcW w:w="690" w:type="dxa"/>
            <w:vMerge w:val="restart"/>
            <w:tcBorders>
              <w:bottom w:val="single" w:sz="4" w:space="0" w:color="auto"/>
            </w:tcBorders>
            <w:shd w:val="clear" w:color="auto" w:fill="auto"/>
          </w:tcPr>
          <w:p w14:paraId="412842E9" w14:textId="77777777" w:rsidR="003E56FC" w:rsidRPr="003823AA" w:rsidRDefault="003E56FC" w:rsidP="0011159C">
            <w:pPr>
              <w:rPr>
                <w:rFonts w:cs="Times New Roman"/>
                <w:b/>
                <w:bCs/>
                <w:sz w:val="16"/>
                <w:szCs w:val="16"/>
              </w:rPr>
            </w:pPr>
            <w:r w:rsidRPr="003823AA">
              <w:rPr>
                <w:rFonts w:cs="Times New Roman"/>
                <w:b/>
                <w:bCs/>
                <w:sz w:val="16"/>
                <w:szCs w:val="16"/>
              </w:rPr>
              <w:t>OS</w:t>
            </w:r>
          </w:p>
        </w:tc>
        <w:tc>
          <w:tcPr>
            <w:tcW w:w="1153" w:type="dxa"/>
            <w:tcBorders>
              <w:top w:val="single" w:sz="4" w:space="0" w:color="auto"/>
            </w:tcBorders>
            <w:shd w:val="clear" w:color="auto" w:fill="auto"/>
          </w:tcPr>
          <w:p w14:paraId="409BB9C3" w14:textId="77777777" w:rsidR="003E56FC" w:rsidRPr="003823AA" w:rsidRDefault="003E56FC" w:rsidP="0011159C">
            <w:pPr>
              <w:rPr>
                <w:rFonts w:cs="Times New Roman"/>
                <w:b/>
                <w:bCs/>
                <w:sz w:val="16"/>
                <w:szCs w:val="16"/>
              </w:rPr>
            </w:pPr>
            <w:r w:rsidRPr="003823AA">
              <w:rPr>
                <w:rFonts w:cs="Times New Roman"/>
                <w:b/>
                <w:bCs/>
                <w:sz w:val="16"/>
                <w:szCs w:val="16"/>
              </w:rPr>
              <w:t>Training</w:t>
            </w:r>
          </w:p>
        </w:tc>
        <w:tc>
          <w:tcPr>
            <w:tcW w:w="1602" w:type="dxa"/>
            <w:gridSpan w:val="2"/>
            <w:tcBorders>
              <w:top w:val="single" w:sz="4" w:space="0" w:color="auto"/>
            </w:tcBorders>
            <w:shd w:val="clear" w:color="auto" w:fill="auto"/>
          </w:tcPr>
          <w:p w14:paraId="313254DE" w14:textId="433AC2DC" w:rsidR="003E56FC" w:rsidRPr="003823AA" w:rsidRDefault="003E56FC" w:rsidP="0011159C">
            <w:pPr>
              <w:rPr>
                <w:rFonts w:cs="Times New Roman"/>
                <w:sz w:val="16"/>
                <w:szCs w:val="16"/>
              </w:rPr>
            </w:pPr>
            <w:r w:rsidRPr="003823AA">
              <w:rPr>
                <w:rFonts w:cs="Times New Roman"/>
                <w:sz w:val="16"/>
                <w:szCs w:val="16"/>
              </w:rPr>
              <w:t>0</w:t>
            </w:r>
            <w:r w:rsidR="00AC17D5">
              <w:rPr>
                <w:rFonts w:cs="Times New Roman"/>
                <w:sz w:val="16"/>
                <w:szCs w:val="16"/>
              </w:rPr>
              <w:t>.</w:t>
            </w:r>
            <w:r w:rsidRPr="003823AA">
              <w:rPr>
                <w:rFonts w:cs="Times New Roman"/>
                <w:sz w:val="16"/>
                <w:szCs w:val="16"/>
              </w:rPr>
              <w:t>652 (0</w:t>
            </w:r>
            <w:r w:rsidR="00AC17D5">
              <w:rPr>
                <w:rFonts w:cs="Times New Roman"/>
                <w:sz w:val="16"/>
                <w:szCs w:val="16"/>
              </w:rPr>
              <w:t>.</w:t>
            </w:r>
            <w:r w:rsidRPr="003823AA">
              <w:rPr>
                <w:rFonts w:cs="Times New Roman"/>
                <w:sz w:val="16"/>
                <w:szCs w:val="16"/>
              </w:rPr>
              <w:t>605</w:t>
            </w:r>
            <w:r w:rsidR="00106AB4" w:rsidRPr="003823AA">
              <w:rPr>
                <w:rFonts w:cs="Times New Roman"/>
                <w:sz w:val="16"/>
                <w:szCs w:val="16"/>
              </w:rPr>
              <w:t>–</w:t>
            </w:r>
            <w:r w:rsidRPr="003823AA">
              <w:rPr>
                <w:rFonts w:cs="Times New Roman"/>
                <w:sz w:val="16"/>
                <w:szCs w:val="16"/>
              </w:rPr>
              <w:t>0</w:t>
            </w:r>
            <w:r w:rsidR="00AC17D5">
              <w:rPr>
                <w:rFonts w:cs="Times New Roman"/>
                <w:sz w:val="16"/>
                <w:szCs w:val="16"/>
              </w:rPr>
              <w:t>.</w:t>
            </w:r>
            <w:r w:rsidRPr="003823AA">
              <w:rPr>
                <w:rFonts w:cs="Times New Roman"/>
                <w:sz w:val="16"/>
                <w:szCs w:val="16"/>
              </w:rPr>
              <w:t>703)</w:t>
            </w:r>
          </w:p>
        </w:tc>
        <w:tc>
          <w:tcPr>
            <w:tcW w:w="1614" w:type="dxa"/>
            <w:tcBorders>
              <w:top w:val="single" w:sz="4" w:space="0" w:color="auto"/>
            </w:tcBorders>
            <w:shd w:val="clear" w:color="auto" w:fill="auto"/>
          </w:tcPr>
          <w:p w14:paraId="72EE991E" w14:textId="58D046F8" w:rsidR="003E56FC" w:rsidRPr="003823AA" w:rsidRDefault="003E56FC" w:rsidP="0011159C">
            <w:pPr>
              <w:rPr>
                <w:rFonts w:cs="Times New Roman"/>
                <w:sz w:val="16"/>
                <w:szCs w:val="16"/>
              </w:rPr>
            </w:pPr>
            <w:r w:rsidRPr="003823AA">
              <w:rPr>
                <w:rFonts w:cs="Times New Roman"/>
                <w:sz w:val="16"/>
                <w:szCs w:val="16"/>
              </w:rPr>
              <w:t>2</w:t>
            </w:r>
            <w:r w:rsidR="00AC17D5">
              <w:rPr>
                <w:rFonts w:cs="Times New Roman"/>
                <w:sz w:val="16"/>
                <w:szCs w:val="16"/>
              </w:rPr>
              <w:t>.</w:t>
            </w:r>
            <w:r w:rsidRPr="003823AA">
              <w:rPr>
                <w:rFonts w:cs="Times New Roman"/>
                <w:sz w:val="16"/>
                <w:szCs w:val="16"/>
              </w:rPr>
              <w:t>0 (1</w:t>
            </w:r>
            <w:r w:rsidR="00AC17D5">
              <w:rPr>
                <w:rFonts w:cs="Times New Roman"/>
                <w:sz w:val="16"/>
                <w:szCs w:val="16"/>
              </w:rPr>
              <w:t>.</w:t>
            </w:r>
            <w:r w:rsidRPr="003823AA">
              <w:rPr>
                <w:rFonts w:cs="Times New Roman"/>
                <w:sz w:val="16"/>
                <w:szCs w:val="16"/>
              </w:rPr>
              <w:t>3</w:t>
            </w:r>
            <w:r w:rsidR="00106AB4" w:rsidRPr="003823AA">
              <w:rPr>
                <w:rFonts w:cs="Times New Roman"/>
                <w:sz w:val="16"/>
                <w:szCs w:val="16"/>
              </w:rPr>
              <w:t>–</w:t>
            </w:r>
            <w:r w:rsidRPr="003823AA">
              <w:rPr>
                <w:rFonts w:cs="Times New Roman"/>
                <w:sz w:val="16"/>
                <w:szCs w:val="16"/>
              </w:rPr>
              <w:t>3</w:t>
            </w:r>
            <w:r w:rsidR="00AC17D5">
              <w:rPr>
                <w:rFonts w:cs="Times New Roman"/>
                <w:sz w:val="16"/>
                <w:szCs w:val="16"/>
              </w:rPr>
              <w:t>.</w:t>
            </w:r>
            <w:r w:rsidRPr="003823AA">
              <w:rPr>
                <w:rFonts w:cs="Times New Roman"/>
                <w:sz w:val="16"/>
                <w:szCs w:val="16"/>
              </w:rPr>
              <w:t>2)</w:t>
            </w:r>
          </w:p>
        </w:tc>
        <w:tc>
          <w:tcPr>
            <w:tcW w:w="1664" w:type="dxa"/>
            <w:gridSpan w:val="2"/>
            <w:tcBorders>
              <w:top w:val="single" w:sz="4" w:space="0" w:color="auto"/>
            </w:tcBorders>
            <w:shd w:val="clear" w:color="auto" w:fill="auto"/>
          </w:tcPr>
          <w:p w14:paraId="4675173F" w14:textId="21FCEFC2" w:rsidR="003E56FC" w:rsidRPr="003823AA" w:rsidRDefault="003E56FC" w:rsidP="0011159C">
            <w:pPr>
              <w:rPr>
                <w:rFonts w:cs="Times New Roman"/>
                <w:sz w:val="16"/>
                <w:szCs w:val="16"/>
              </w:rPr>
            </w:pPr>
            <w:r w:rsidRPr="003823AA">
              <w:rPr>
                <w:rFonts w:cs="Times New Roman"/>
                <w:sz w:val="16"/>
                <w:szCs w:val="16"/>
              </w:rPr>
              <w:t>0</w:t>
            </w:r>
            <w:r w:rsidR="00AC17D5">
              <w:rPr>
                <w:rFonts w:cs="Times New Roman"/>
                <w:sz w:val="16"/>
                <w:szCs w:val="16"/>
              </w:rPr>
              <w:t>.</w:t>
            </w:r>
            <w:r w:rsidRPr="003823AA">
              <w:rPr>
                <w:rFonts w:cs="Times New Roman"/>
                <w:sz w:val="16"/>
                <w:szCs w:val="16"/>
              </w:rPr>
              <w:t>002</w:t>
            </w:r>
          </w:p>
        </w:tc>
        <w:tc>
          <w:tcPr>
            <w:tcW w:w="1583" w:type="dxa"/>
            <w:tcBorders>
              <w:top w:val="single" w:sz="4" w:space="0" w:color="auto"/>
            </w:tcBorders>
            <w:shd w:val="clear" w:color="auto" w:fill="auto"/>
          </w:tcPr>
          <w:p w14:paraId="1509B5C3" w14:textId="77777777" w:rsidR="003E56FC" w:rsidRPr="003823AA" w:rsidRDefault="003E56FC" w:rsidP="0011159C">
            <w:pPr>
              <w:rPr>
                <w:rFonts w:cs="Times New Roman"/>
                <w:sz w:val="16"/>
                <w:szCs w:val="16"/>
              </w:rPr>
            </w:pPr>
            <w:r w:rsidRPr="003823AA">
              <w:rPr>
                <w:rFonts w:cs="Times New Roman"/>
                <w:sz w:val="16"/>
                <w:szCs w:val="16"/>
              </w:rPr>
              <w:t>493 (385/108)</w:t>
            </w:r>
          </w:p>
        </w:tc>
      </w:tr>
      <w:tr w:rsidR="003E56FC" w:rsidRPr="003823AA" w14:paraId="5B84B5DF" w14:textId="77777777" w:rsidTr="0011159C">
        <w:trPr>
          <w:trHeight w:val="170"/>
        </w:trPr>
        <w:tc>
          <w:tcPr>
            <w:tcW w:w="690" w:type="dxa"/>
            <w:vMerge/>
            <w:tcBorders>
              <w:bottom w:val="single" w:sz="4" w:space="0" w:color="auto"/>
            </w:tcBorders>
            <w:shd w:val="clear" w:color="auto" w:fill="auto"/>
          </w:tcPr>
          <w:p w14:paraId="70648283" w14:textId="77777777" w:rsidR="003E56FC" w:rsidRPr="003823AA" w:rsidRDefault="003E56FC" w:rsidP="0011159C">
            <w:pPr>
              <w:rPr>
                <w:rFonts w:cs="Times New Roman"/>
                <w:b/>
                <w:bCs/>
                <w:sz w:val="16"/>
                <w:szCs w:val="16"/>
              </w:rPr>
            </w:pPr>
          </w:p>
        </w:tc>
        <w:tc>
          <w:tcPr>
            <w:tcW w:w="1153" w:type="dxa"/>
            <w:shd w:val="clear" w:color="auto" w:fill="auto"/>
          </w:tcPr>
          <w:p w14:paraId="5AEFD3A0" w14:textId="74BF2503" w:rsidR="003E56FC" w:rsidRPr="003823AA" w:rsidRDefault="003E56FC" w:rsidP="0011159C">
            <w:pPr>
              <w:rPr>
                <w:rFonts w:cs="Times New Roman"/>
                <w:b/>
                <w:bCs/>
                <w:sz w:val="16"/>
                <w:szCs w:val="16"/>
              </w:rPr>
            </w:pPr>
            <w:r w:rsidRPr="003823AA">
              <w:rPr>
                <w:rFonts w:cs="Times New Roman"/>
                <w:b/>
                <w:bCs/>
                <w:sz w:val="16"/>
                <w:szCs w:val="16"/>
              </w:rPr>
              <w:t>Internal Test</w:t>
            </w:r>
          </w:p>
        </w:tc>
        <w:tc>
          <w:tcPr>
            <w:tcW w:w="1602" w:type="dxa"/>
            <w:gridSpan w:val="2"/>
            <w:shd w:val="clear" w:color="auto" w:fill="auto"/>
          </w:tcPr>
          <w:p w14:paraId="3D967AAA" w14:textId="0D8CF777" w:rsidR="003E56FC" w:rsidRPr="003823AA" w:rsidRDefault="003E56FC" w:rsidP="0011159C">
            <w:pPr>
              <w:rPr>
                <w:rFonts w:cs="Times New Roman"/>
                <w:sz w:val="16"/>
                <w:szCs w:val="16"/>
              </w:rPr>
            </w:pPr>
            <w:r w:rsidRPr="003823AA">
              <w:rPr>
                <w:rFonts w:cs="Times New Roman"/>
                <w:sz w:val="16"/>
                <w:szCs w:val="16"/>
              </w:rPr>
              <w:t>0</w:t>
            </w:r>
            <w:r w:rsidR="00AC17D5">
              <w:rPr>
                <w:rFonts w:cs="Times New Roman"/>
                <w:sz w:val="16"/>
                <w:szCs w:val="16"/>
              </w:rPr>
              <w:t>.</w:t>
            </w:r>
            <w:r w:rsidRPr="003823AA">
              <w:rPr>
                <w:rFonts w:cs="Times New Roman"/>
                <w:sz w:val="16"/>
                <w:szCs w:val="16"/>
              </w:rPr>
              <w:t>712 (0</w:t>
            </w:r>
            <w:r w:rsidR="00AC17D5">
              <w:rPr>
                <w:rFonts w:cs="Times New Roman"/>
                <w:sz w:val="16"/>
                <w:szCs w:val="16"/>
              </w:rPr>
              <w:t>.</w:t>
            </w:r>
            <w:r w:rsidRPr="003823AA">
              <w:rPr>
                <w:rFonts w:cs="Times New Roman"/>
                <w:sz w:val="16"/>
                <w:szCs w:val="16"/>
              </w:rPr>
              <w:t>604</w:t>
            </w:r>
            <w:r w:rsidR="00106AB4" w:rsidRPr="003823AA">
              <w:rPr>
                <w:rFonts w:cs="Times New Roman"/>
                <w:sz w:val="16"/>
                <w:szCs w:val="16"/>
              </w:rPr>
              <w:t>–</w:t>
            </w:r>
            <w:r w:rsidRPr="003823AA">
              <w:rPr>
                <w:rFonts w:cs="Times New Roman"/>
                <w:sz w:val="16"/>
                <w:szCs w:val="16"/>
              </w:rPr>
              <w:t>0</w:t>
            </w:r>
            <w:r w:rsidR="00AC17D5">
              <w:rPr>
                <w:rFonts w:cs="Times New Roman"/>
                <w:sz w:val="16"/>
                <w:szCs w:val="16"/>
              </w:rPr>
              <w:t>.</w:t>
            </w:r>
            <w:r w:rsidRPr="003823AA">
              <w:rPr>
                <w:rFonts w:cs="Times New Roman"/>
                <w:sz w:val="16"/>
                <w:szCs w:val="16"/>
              </w:rPr>
              <w:t>799)</w:t>
            </w:r>
          </w:p>
        </w:tc>
        <w:tc>
          <w:tcPr>
            <w:tcW w:w="1614" w:type="dxa"/>
            <w:shd w:val="clear" w:color="auto" w:fill="auto"/>
          </w:tcPr>
          <w:p w14:paraId="50ECA7EB" w14:textId="6428DF07" w:rsidR="003E56FC" w:rsidRPr="003823AA" w:rsidRDefault="003E56FC" w:rsidP="0011159C">
            <w:pPr>
              <w:rPr>
                <w:rFonts w:cs="Times New Roman"/>
                <w:sz w:val="16"/>
                <w:szCs w:val="16"/>
              </w:rPr>
            </w:pPr>
            <w:r w:rsidRPr="003823AA">
              <w:rPr>
                <w:rFonts w:cs="Times New Roman"/>
                <w:sz w:val="16"/>
                <w:szCs w:val="16"/>
              </w:rPr>
              <w:t>3</w:t>
            </w:r>
            <w:r w:rsidR="00AC17D5">
              <w:rPr>
                <w:rFonts w:cs="Times New Roman"/>
                <w:sz w:val="16"/>
                <w:szCs w:val="16"/>
              </w:rPr>
              <w:t>.</w:t>
            </w:r>
            <w:r w:rsidRPr="003823AA">
              <w:rPr>
                <w:rFonts w:cs="Times New Roman"/>
                <w:sz w:val="16"/>
                <w:szCs w:val="16"/>
              </w:rPr>
              <w:t>6 (1</w:t>
            </w:r>
            <w:r w:rsidR="00AC17D5">
              <w:rPr>
                <w:rFonts w:cs="Times New Roman"/>
                <w:sz w:val="16"/>
                <w:szCs w:val="16"/>
              </w:rPr>
              <w:t>.</w:t>
            </w:r>
            <w:r w:rsidRPr="003823AA">
              <w:rPr>
                <w:rFonts w:cs="Times New Roman"/>
                <w:sz w:val="16"/>
                <w:szCs w:val="16"/>
              </w:rPr>
              <w:t>5</w:t>
            </w:r>
            <w:r w:rsidR="00106AB4" w:rsidRPr="003823AA">
              <w:rPr>
                <w:rFonts w:cs="Times New Roman"/>
                <w:sz w:val="16"/>
                <w:szCs w:val="16"/>
              </w:rPr>
              <w:t>–</w:t>
            </w:r>
            <w:r w:rsidRPr="003823AA">
              <w:rPr>
                <w:rFonts w:cs="Times New Roman"/>
                <w:sz w:val="16"/>
                <w:szCs w:val="16"/>
              </w:rPr>
              <w:t>9</w:t>
            </w:r>
            <w:r w:rsidR="00AC17D5">
              <w:rPr>
                <w:rFonts w:cs="Times New Roman"/>
                <w:sz w:val="16"/>
                <w:szCs w:val="16"/>
              </w:rPr>
              <w:t>.</w:t>
            </w:r>
            <w:r w:rsidRPr="003823AA">
              <w:rPr>
                <w:rFonts w:cs="Times New Roman"/>
                <w:sz w:val="16"/>
                <w:szCs w:val="16"/>
              </w:rPr>
              <w:t>0)</w:t>
            </w:r>
          </w:p>
        </w:tc>
        <w:tc>
          <w:tcPr>
            <w:tcW w:w="1664" w:type="dxa"/>
            <w:gridSpan w:val="2"/>
            <w:shd w:val="clear" w:color="auto" w:fill="auto"/>
          </w:tcPr>
          <w:p w14:paraId="21F2CC3F" w14:textId="32EED04A" w:rsidR="003E56FC" w:rsidRPr="003823AA" w:rsidRDefault="003E56FC" w:rsidP="0011159C">
            <w:pPr>
              <w:rPr>
                <w:rFonts w:cs="Times New Roman"/>
                <w:sz w:val="16"/>
                <w:szCs w:val="16"/>
              </w:rPr>
            </w:pPr>
            <w:r w:rsidRPr="003823AA">
              <w:rPr>
                <w:rFonts w:cs="Times New Roman"/>
                <w:sz w:val="16"/>
                <w:szCs w:val="16"/>
              </w:rPr>
              <w:t>0</w:t>
            </w:r>
            <w:r w:rsidR="00AC17D5">
              <w:rPr>
                <w:rFonts w:cs="Times New Roman"/>
                <w:sz w:val="16"/>
                <w:szCs w:val="16"/>
              </w:rPr>
              <w:t>.</w:t>
            </w:r>
            <w:r w:rsidRPr="003823AA">
              <w:rPr>
                <w:rFonts w:cs="Times New Roman"/>
                <w:sz w:val="16"/>
                <w:szCs w:val="16"/>
              </w:rPr>
              <w:t>003</w:t>
            </w:r>
          </w:p>
        </w:tc>
        <w:tc>
          <w:tcPr>
            <w:tcW w:w="1583" w:type="dxa"/>
            <w:shd w:val="clear" w:color="auto" w:fill="auto"/>
          </w:tcPr>
          <w:p w14:paraId="7A92599C" w14:textId="77777777" w:rsidR="003E56FC" w:rsidRPr="003823AA" w:rsidRDefault="003E56FC" w:rsidP="0011159C">
            <w:pPr>
              <w:rPr>
                <w:rFonts w:cs="Times New Roman"/>
                <w:sz w:val="16"/>
                <w:szCs w:val="16"/>
              </w:rPr>
            </w:pPr>
            <w:r w:rsidRPr="003823AA">
              <w:rPr>
                <w:rFonts w:cs="Times New Roman"/>
                <w:sz w:val="16"/>
                <w:szCs w:val="16"/>
              </w:rPr>
              <w:t>116 (87/29)</w:t>
            </w:r>
          </w:p>
        </w:tc>
      </w:tr>
      <w:tr w:rsidR="003E56FC" w:rsidRPr="003823AA" w14:paraId="1B0AD8CF" w14:textId="77777777" w:rsidTr="0011159C">
        <w:trPr>
          <w:trHeight w:val="170"/>
        </w:trPr>
        <w:tc>
          <w:tcPr>
            <w:tcW w:w="690" w:type="dxa"/>
            <w:vMerge/>
            <w:tcBorders>
              <w:bottom w:val="single" w:sz="4" w:space="0" w:color="auto"/>
            </w:tcBorders>
            <w:shd w:val="clear" w:color="auto" w:fill="auto"/>
          </w:tcPr>
          <w:p w14:paraId="0D422420" w14:textId="77777777" w:rsidR="003E56FC" w:rsidRPr="003823AA" w:rsidRDefault="003E56FC" w:rsidP="0011159C">
            <w:pPr>
              <w:rPr>
                <w:rFonts w:cs="Times New Roman"/>
                <w:b/>
                <w:bCs/>
                <w:sz w:val="16"/>
                <w:szCs w:val="16"/>
              </w:rPr>
            </w:pPr>
          </w:p>
        </w:tc>
        <w:tc>
          <w:tcPr>
            <w:tcW w:w="1153" w:type="dxa"/>
            <w:tcBorders>
              <w:bottom w:val="single" w:sz="4" w:space="0" w:color="auto"/>
            </w:tcBorders>
            <w:shd w:val="clear" w:color="auto" w:fill="auto"/>
          </w:tcPr>
          <w:p w14:paraId="3D70999F" w14:textId="77777777" w:rsidR="003E56FC" w:rsidRPr="003823AA" w:rsidRDefault="003E56FC" w:rsidP="0011159C">
            <w:pPr>
              <w:rPr>
                <w:rFonts w:cs="Times New Roman"/>
                <w:b/>
                <w:bCs/>
                <w:sz w:val="16"/>
                <w:szCs w:val="16"/>
              </w:rPr>
            </w:pPr>
            <w:r w:rsidRPr="003823AA">
              <w:rPr>
                <w:rFonts w:cs="Times New Roman"/>
                <w:b/>
                <w:bCs/>
                <w:sz w:val="16"/>
                <w:szCs w:val="16"/>
              </w:rPr>
              <w:t xml:space="preserve">External Test  </w:t>
            </w:r>
          </w:p>
        </w:tc>
        <w:tc>
          <w:tcPr>
            <w:tcW w:w="1602" w:type="dxa"/>
            <w:gridSpan w:val="2"/>
            <w:tcBorders>
              <w:bottom w:val="single" w:sz="4" w:space="0" w:color="auto"/>
            </w:tcBorders>
            <w:shd w:val="clear" w:color="auto" w:fill="auto"/>
          </w:tcPr>
          <w:p w14:paraId="23C232DE" w14:textId="06B7CF45" w:rsidR="003E56FC" w:rsidRPr="003823AA" w:rsidRDefault="003E56FC" w:rsidP="0011159C">
            <w:pPr>
              <w:rPr>
                <w:rFonts w:cs="Times New Roman"/>
                <w:sz w:val="16"/>
                <w:szCs w:val="16"/>
              </w:rPr>
            </w:pPr>
            <w:r w:rsidRPr="003823AA">
              <w:rPr>
                <w:rFonts w:cs="Times New Roman"/>
                <w:sz w:val="16"/>
                <w:szCs w:val="16"/>
              </w:rPr>
              <w:t>0</w:t>
            </w:r>
            <w:r w:rsidR="00AC17D5">
              <w:rPr>
                <w:rFonts w:cs="Times New Roman"/>
                <w:sz w:val="16"/>
                <w:szCs w:val="16"/>
              </w:rPr>
              <w:t>.</w:t>
            </w:r>
            <w:r w:rsidRPr="003823AA">
              <w:rPr>
                <w:rFonts w:cs="Times New Roman"/>
                <w:sz w:val="16"/>
                <w:szCs w:val="16"/>
              </w:rPr>
              <w:t>617 (0</w:t>
            </w:r>
            <w:r w:rsidR="00AC17D5">
              <w:rPr>
                <w:rFonts w:cs="Times New Roman"/>
                <w:sz w:val="16"/>
                <w:szCs w:val="16"/>
              </w:rPr>
              <w:t>.</w:t>
            </w:r>
            <w:r w:rsidRPr="003823AA">
              <w:rPr>
                <w:rFonts w:cs="Times New Roman"/>
                <w:sz w:val="16"/>
                <w:szCs w:val="16"/>
              </w:rPr>
              <w:t>533</w:t>
            </w:r>
            <w:r w:rsidR="00106AB4" w:rsidRPr="003823AA">
              <w:rPr>
                <w:rFonts w:cs="Times New Roman"/>
                <w:sz w:val="16"/>
                <w:szCs w:val="16"/>
              </w:rPr>
              <w:t>–</w:t>
            </w:r>
            <w:r w:rsidRPr="003823AA">
              <w:rPr>
                <w:rFonts w:cs="Times New Roman"/>
                <w:sz w:val="16"/>
                <w:szCs w:val="16"/>
              </w:rPr>
              <w:t>0</w:t>
            </w:r>
            <w:r w:rsidR="00AC17D5">
              <w:rPr>
                <w:rFonts w:cs="Times New Roman"/>
                <w:sz w:val="16"/>
                <w:szCs w:val="16"/>
              </w:rPr>
              <w:t>.</w:t>
            </w:r>
            <w:r w:rsidRPr="003823AA">
              <w:rPr>
                <w:rFonts w:cs="Times New Roman"/>
                <w:sz w:val="16"/>
                <w:szCs w:val="16"/>
              </w:rPr>
              <w:t>696)</w:t>
            </w:r>
          </w:p>
        </w:tc>
        <w:tc>
          <w:tcPr>
            <w:tcW w:w="1614" w:type="dxa"/>
            <w:tcBorders>
              <w:bottom w:val="single" w:sz="4" w:space="0" w:color="auto"/>
            </w:tcBorders>
            <w:shd w:val="clear" w:color="auto" w:fill="auto"/>
          </w:tcPr>
          <w:p w14:paraId="6C263AC6" w14:textId="254242C0" w:rsidR="003E56FC" w:rsidRPr="003823AA" w:rsidRDefault="003E56FC" w:rsidP="0011159C">
            <w:pPr>
              <w:rPr>
                <w:rFonts w:cs="Times New Roman"/>
                <w:sz w:val="16"/>
                <w:szCs w:val="16"/>
              </w:rPr>
            </w:pPr>
            <w:r w:rsidRPr="003823AA">
              <w:rPr>
                <w:rFonts w:cs="Times New Roman"/>
                <w:sz w:val="16"/>
                <w:szCs w:val="16"/>
              </w:rPr>
              <w:t>2</w:t>
            </w:r>
            <w:r w:rsidR="00AC17D5">
              <w:rPr>
                <w:rFonts w:cs="Times New Roman"/>
                <w:sz w:val="16"/>
                <w:szCs w:val="16"/>
              </w:rPr>
              <w:t>.</w:t>
            </w:r>
            <w:r w:rsidRPr="003823AA">
              <w:rPr>
                <w:rFonts w:cs="Times New Roman"/>
                <w:sz w:val="16"/>
                <w:szCs w:val="16"/>
              </w:rPr>
              <w:t>1 (1</w:t>
            </w:r>
            <w:r w:rsidR="00AC17D5">
              <w:rPr>
                <w:rFonts w:cs="Times New Roman"/>
                <w:sz w:val="16"/>
                <w:szCs w:val="16"/>
              </w:rPr>
              <w:t>.</w:t>
            </w:r>
            <w:r w:rsidRPr="003823AA">
              <w:rPr>
                <w:rFonts w:cs="Times New Roman"/>
                <w:sz w:val="16"/>
                <w:szCs w:val="16"/>
              </w:rPr>
              <w:t>1</w:t>
            </w:r>
            <w:r w:rsidR="00106AB4" w:rsidRPr="003823AA">
              <w:rPr>
                <w:rFonts w:cs="Times New Roman"/>
                <w:sz w:val="16"/>
                <w:szCs w:val="16"/>
              </w:rPr>
              <w:t>–</w:t>
            </w:r>
            <w:r w:rsidRPr="003823AA">
              <w:rPr>
                <w:rFonts w:cs="Times New Roman"/>
                <w:sz w:val="16"/>
                <w:szCs w:val="16"/>
              </w:rPr>
              <w:t>3</w:t>
            </w:r>
            <w:r w:rsidR="00AC17D5">
              <w:rPr>
                <w:rFonts w:cs="Times New Roman"/>
                <w:sz w:val="16"/>
                <w:szCs w:val="16"/>
              </w:rPr>
              <w:t>.</w:t>
            </w:r>
            <w:r w:rsidRPr="003823AA">
              <w:rPr>
                <w:rFonts w:cs="Times New Roman"/>
                <w:sz w:val="16"/>
                <w:szCs w:val="16"/>
              </w:rPr>
              <w:t>8)</w:t>
            </w:r>
          </w:p>
        </w:tc>
        <w:tc>
          <w:tcPr>
            <w:tcW w:w="1664" w:type="dxa"/>
            <w:gridSpan w:val="2"/>
            <w:tcBorders>
              <w:bottom w:val="single" w:sz="4" w:space="0" w:color="auto"/>
            </w:tcBorders>
            <w:shd w:val="clear" w:color="auto" w:fill="auto"/>
          </w:tcPr>
          <w:p w14:paraId="11A9ACC0" w14:textId="0B7D4281" w:rsidR="003E56FC" w:rsidRPr="003823AA" w:rsidRDefault="003E56FC" w:rsidP="0011159C">
            <w:pPr>
              <w:rPr>
                <w:rFonts w:cs="Times New Roman"/>
                <w:sz w:val="16"/>
                <w:szCs w:val="16"/>
              </w:rPr>
            </w:pPr>
            <w:r w:rsidRPr="003823AA">
              <w:rPr>
                <w:rFonts w:cs="Times New Roman"/>
                <w:sz w:val="16"/>
                <w:szCs w:val="16"/>
              </w:rPr>
              <w:t>0</w:t>
            </w:r>
            <w:r w:rsidR="00AC17D5">
              <w:rPr>
                <w:rFonts w:cs="Times New Roman"/>
                <w:sz w:val="16"/>
                <w:szCs w:val="16"/>
              </w:rPr>
              <w:t>.</w:t>
            </w:r>
            <w:r w:rsidRPr="003823AA">
              <w:rPr>
                <w:rFonts w:cs="Times New Roman"/>
                <w:sz w:val="16"/>
                <w:szCs w:val="16"/>
              </w:rPr>
              <w:t>020</w:t>
            </w:r>
          </w:p>
        </w:tc>
        <w:tc>
          <w:tcPr>
            <w:tcW w:w="1583" w:type="dxa"/>
            <w:tcBorders>
              <w:bottom w:val="single" w:sz="4" w:space="0" w:color="auto"/>
            </w:tcBorders>
            <w:shd w:val="clear" w:color="auto" w:fill="auto"/>
          </w:tcPr>
          <w:p w14:paraId="35550E1A" w14:textId="77777777" w:rsidR="003E56FC" w:rsidRPr="003823AA" w:rsidRDefault="003E56FC" w:rsidP="0011159C">
            <w:pPr>
              <w:rPr>
                <w:rFonts w:cs="Times New Roman"/>
                <w:sz w:val="16"/>
                <w:szCs w:val="16"/>
              </w:rPr>
            </w:pPr>
            <w:r w:rsidRPr="003823AA">
              <w:rPr>
                <w:rFonts w:cs="Times New Roman"/>
                <w:sz w:val="16"/>
                <w:szCs w:val="16"/>
              </w:rPr>
              <w:t>143 (65/78)</w:t>
            </w:r>
          </w:p>
        </w:tc>
      </w:tr>
      <w:tr w:rsidR="003E56FC" w:rsidRPr="003823AA" w14:paraId="0708D2A8" w14:textId="77777777" w:rsidTr="0011159C">
        <w:trPr>
          <w:trHeight w:val="170"/>
        </w:trPr>
        <w:tc>
          <w:tcPr>
            <w:tcW w:w="690" w:type="dxa"/>
            <w:vMerge w:val="restart"/>
            <w:tcBorders>
              <w:top w:val="single" w:sz="4" w:space="0" w:color="auto"/>
            </w:tcBorders>
            <w:shd w:val="clear" w:color="auto" w:fill="auto"/>
          </w:tcPr>
          <w:p w14:paraId="0A2C3D1E" w14:textId="77777777" w:rsidR="003E56FC" w:rsidRPr="003823AA" w:rsidRDefault="003E56FC" w:rsidP="0011159C">
            <w:pPr>
              <w:rPr>
                <w:rFonts w:cs="Times New Roman"/>
                <w:b/>
                <w:bCs/>
                <w:sz w:val="16"/>
                <w:szCs w:val="16"/>
              </w:rPr>
            </w:pPr>
            <w:r w:rsidRPr="003823AA">
              <w:rPr>
                <w:rFonts w:cs="Times New Roman"/>
                <w:b/>
                <w:bCs/>
                <w:sz w:val="16"/>
                <w:szCs w:val="16"/>
              </w:rPr>
              <w:t>DFS</w:t>
            </w:r>
          </w:p>
        </w:tc>
        <w:tc>
          <w:tcPr>
            <w:tcW w:w="1153" w:type="dxa"/>
            <w:tcBorders>
              <w:top w:val="single" w:sz="4" w:space="0" w:color="auto"/>
            </w:tcBorders>
            <w:shd w:val="clear" w:color="auto" w:fill="auto"/>
          </w:tcPr>
          <w:p w14:paraId="5E31590D" w14:textId="77777777" w:rsidR="003E56FC" w:rsidRPr="003823AA" w:rsidRDefault="003E56FC" w:rsidP="0011159C">
            <w:pPr>
              <w:rPr>
                <w:rFonts w:cs="Times New Roman"/>
                <w:b/>
                <w:bCs/>
                <w:sz w:val="16"/>
                <w:szCs w:val="16"/>
              </w:rPr>
            </w:pPr>
            <w:r w:rsidRPr="003823AA">
              <w:rPr>
                <w:rFonts w:cs="Times New Roman"/>
                <w:b/>
                <w:bCs/>
                <w:sz w:val="16"/>
                <w:szCs w:val="16"/>
              </w:rPr>
              <w:t>Training</w:t>
            </w:r>
          </w:p>
        </w:tc>
        <w:tc>
          <w:tcPr>
            <w:tcW w:w="1602" w:type="dxa"/>
            <w:gridSpan w:val="2"/>
            <w:tcBorders>
              <w:top w:val="single" w:sz="4" w:space="0" w:color="auto"/>
            </w:tcBorders>
            <w:shd w:val="clear" w:color="auto" w:fill="auto"/>
          </w:tcPr>
          <w:p w14:paraId="2632278F" w14:textId="7A9C4A8F" w:rsidR="003E56FC" w:rsidRPr="003823AA" w:rsidRDefault="003E56FC" w:rsidP="0011159C">
            <w:pPr>
              <w:rPr>
                <w:rFonts w:cs="Times New Roman"/>
                <w:sz w:val="16"/>
                <w:szCs w:val="16"/>
              </w:rPr>
            </w:pPr>
            <w:r w:rsidRPr="003823AA">
              <w:rPr>
                <w:rFonts w:cs="Times New Roman"/>
                <w:sz w:val="16"/>
                <w:szCs w:val="16"/>
              </w:rPr>
              <w:t>0</w:t>
            </w:r>
            <w:r w:rsidR="00AC17D5">
              <w:rPr>
                <w:rFonts w:cs="Times New Roman"/>
                <w:sz w:val="16"/>
                <w:szCs w:val="16"/>
              </w:rPr>
              <w:t>.</w:t>
            </w:r>
            <w:r w:rsidRPr="003823AA">
              <w:rPr>
                <w:rFonts w:cs="Times New Roman"/>
                <w:sz w:val="16"/>
                <w:szCs w:val="16"/>
              </w:rPr>
              <w:t>630 (0</w:t>
            </w:r>
            <w:r w:rsidR="00AC17D5">
              <w:rPr>
                <w:rFonts w:cs="Times New Roman"/>
                <w:sz w:val="16"/>
                <w:szCs w:val="16"/>
              </w:rPr>
              <w:t>.</w:t>
            </w:r>
            <w:r w:rsidRPr="003823AA">
              <w:rPr>
                <w:rFonts w:cs="Times New Roman"/>
                <w:sz w:val="16"/>
                <w:szCs w:val="16"/>
              </w:rPr>
              <w:t>587</w:t>
            </w:r>
            <w:r w:rsidR="00106AB4" w:rsidRPr="003823AA">
              <w:rPr>
                <w:rFonts w:cs="Times New Roman"/>
                <w:sz w:val="16"/>
                <w:szCs w:val="16"/>
              </w:rPr>
              <w:t>–</w:t>
            </w:r>
            <w:r w:rsidRPr="003823AA">
              <w:rPr>
                <w:rFonts w:cs="Times New Roman"/>
                <w:sz w:val="16"/>
                <w:szCs w:val="16"/>
              </w:rPr>
              <w:t>0</w:t>
            </w:r>
            <w:r w:rsidR="00AC17D5">
              <w:rPr>
                <w:rFonts w:cs="Times New Roman"/>
                <w:sz w:val="16"/>
                <w:szCs w:val="16"/>
              </w:rPr>
              <w:t>.</w:t>
            </w:r>
            <w:r w:rsidRPr="003823AA">
              <w:rPr>
                <w:rFonts w:cs="Times New Roman"/>
                <w:sz w:val="16"/>
                <w:szCs w:val="16"/>
              </w:rPr>
              <w:t>674)</w:t>
            </w:r>
          </w:p>
        </w:tc>
        <w:tc>
          <w:tcPr>
            <w:tcW w:w="1614" w:type="dxa"/>
            <w:tcBorders>
              <w:top w:val="single" w:sz="4" w:space="0" w:color="auto"/>
            </w:tcBorders>
            <w:shd w:val="clear" w:color="auto" w:fill="auto"/>
          </w:tcPr>
          <w:p w14:paraId="6D2458A3" w14:textId="0389C770" w:rsidR="003E56FC" w:rsidRPr="003823AA" w:rsidRDefault="003E56FC" w:rsidP="0011159C">
            <w:pPr>
              <w:rPr>
                <w:rFonts w:cs="Times New Roman"/>
                <w:sz w:val="16"/>
                <w:szCs w:val="16"/>
              </w:rPr>
            </w:pPr>
            <w:r w:rsidRPr="003823AA">
              <w:rPr>
                <w:rFonts w:cs="Times New Roman"/>
                <w:sz w:val="16"/>
                <w:szCs w:val="16"/>
              </w:rPr>
              <w:t>1</w:t>
            </w:r>
            <w:r w:rsidR="00AC17D5">
              <w:rPr>
                <w:rFonts w:cs="Times New Roman"/>
                <w:sz w:val="16"/>
                <w:szCs w:val="16"/>
              </w:rPr>
              <w:t>.</w:t>
            </w:r>
            <w:r w:rsidRPr="003823AA">
              <w:rPr>
                <w:rFonts w:cs="Times New Roman"/>
                <w:sz w:val="16"/>
                <w:szCs w:val="16"/>
              </w:rPr>
              <w:t>8 (1</w:t>
            </w:r>
            <w:r w:rsidR="00AC17D5">
              <w:rPr>
                <w:rFonts w:cs="Times New Roman"/>
                <w:sz w:val="16"/>
                <w:szCs w:val="16"/>
              </w:rPr>
              <w:t>.</w:t>
            </w:r>
            <w:r w:rsidRPr="003823AA">
              <w:rPr>
                <w:rFonts w:cs="Times New Roman"/>
                <w:sz w:val="16"/>
                <w:szCs w:val="16"/>
              </w:rPr>
              <w:t>34</w:t>
            </w:r>
            <w:r w:rsidR="00106AB4" w:rsidRPr="003823AA">
              <w:rPr>
                <w:rFonts w:cs="Times New Roman"/>
                <w:sz w:val="16"/>
                <w:szCs w:val="16"/>
              </w:rPr>
              <w:t>–</w:t>
            </w:r>
            <w:r w:rsidRPr="003823AA">
              <w:rPr>
                <w:rFonts w:cs="Times New Roman"/>
                <w:sz w:val="16"/>
                <w:szCs w:val="16"/>
              </w:rPr>
              <w:t>2</w:t>
            </w:r>
            <w:r w:rsidR="00AC17D5">
              <w:rPr>
                <w:rFonts w:cs="Times New Roman"/>
                <w:sz w:val="16"/>
                <w:szCs w:val="16"/>
              </w:rPr>
              <w:t>.</w:t>
            </w:r>
            <w:r w:rsidRPr="003823AA">
              <w:rPr>
                <w:rFonts w:cs="Times New Roman"/>
                <w:sz w:val="16"/>
                <w:szCs w:val="16"/>
              </w:rPr>
              <w:t xml:space="preserve">64) </w:t>
            </w:r>
          </w:p>
        </w:tc>
        <w:tc>
          <w:tcPr>
            <w:tcW w:w="1664" w:type="dxa"/>
            <w:gridSpan w:val="2"/>
            <w:tcBorders>
              <w:top w:val="single" w:sz="4" w:space="0" w:color="auto"/>
            </w:tcBorders>
            <w:shd w:val="clear" w:color="auto" w:fill="auto"/>
          </w:tcPr>
          <w:p w14:paraId="26694E31" w14:textId="4F18331C" w:rsidR="003E56FC" w:rsidRPr="003823AA" w:rsidRDefault="003E56FC" w:rsidP="0011159C">
            <w:pPr>
              <w:rPr>
                <w:rFonts w:cs="Times New Roman"/>
                <w:sz w:val="16"/>
                <w:szCs w:val="16"/>
              </w:rPr>
            </w:pPr>
            <w:r w:rsidRPr="003823AA">
              <w:rPr>
                <w:rFonts w:cs="Times New Roman"/>
                <w:sz w:val="16"/>
                <w:szCs w:val="16"/>
              </w:rPr>
              <w:t>&lt;0</w:t>
            </w:r>
            <w:r w:rsidR="00AC17D5">
              <w:rPr>
                <w:rFonts w:cs="Times New Roman"/>
                <w:sz w:val="16"/>
                <w:szCs w:val="16"/>
              </w:rPr>
              <w:t>.</w:t>
            </w:r>
            <w:r w:rsidRPr="003823AA">
              <w:rPr>
                <w:rFonts w:cs="Times New Roman"/>
                <w:sz w:val="16"/>
                <w:szCs w:val="16"/>
              </w:rPr>
              <w:t>001</w:t>
            </w:r>
          </w:p>
        </w:tc>
        <w:tc>
          <w:tcPr>
            <w:tcW w:w="1583" w:type="dxa"/>
            <w:tcBorders>
              <w:top w:val="single" w:sz="4" w:space="0" w:color="auto"/>
            </w:tcBorders>
            <w:shd w:val="clear" w:color="auto" w:fill="auto"/>
          </w:tcPr>
          <w:p w14:paraId="30E973B6" w14:textId="77777777" w:rsidR="003E56FC" w:rsidRPr="003823AA" w:rsidRDefault="003E56FC" w:rsidP="0011159C">
            <w:pPr>
              <w:rPr>
                <w:rFonts w:cs="Times New Roman"/>
                <w:sz w:val="16"/>
                <w:szCs w:val="16"/>
              </w:rPr>
            </w:pPr>
            <w:r w:rsidRPr="003823AA">
              <w:rPr>
                <w:rFonts w:cs="Times New Roman"/>
                <w:sz w:val="16"/>
                <w:szCs w:val="16"/>
              </w:rPr>
              <w:t>493 (385/108)</w:t>
            </w:r>
          </w:p>
        </w:tc>
      </w:tr>
      <w:tr w:rsidR="003E56FC" w:rsidRPr="003823AA" w14:paraId="7C1A5B14" w14:textId="77777777" w:rsidTr="0011159C">
        <w:trPr>
          <w:trHeight w:val="170"/>
        </w:trPr>
        <w:tc>
          <w:tcPr>
            <w:tcW w:w="690" w:type="dxa"/>
            <w:vMerge/>
            <w:shd w:val="clear" w:color="auto" w:fill="auto"/>
          </w:tcPr>
          <w:p w14:paraId="788619B8" w14:textId="77777777" w:rsidR="003E56FC" w:rsidRPr="003823AA" w:rsidRDefault="003E56FC" w:rsidP="0011159C">
            <w:pPr>
              <w:rPr>
                <w:rFonts w:cs="Times New Roman"/>
                <w:b/>
                <w:bCs/>
                <w:sz w:val="16"/>
                <w:szCs w:val="16"/>
              </w:rPr>
            </w:pPr>
          </w:p>
        </w:tc>
        <w:tc>
          <w:tcPr>
            <w:tcW w:w="1153" w:type="dxa"/>
            <w:shd w:val="clear" w:color="auto" w:fill="auto"/>
          </w:tcPr>
          <w:p w14:paraId="4B95ABDE" w14:textId="5246996C" w:rsidR="003E56FC" w:rsidRPr="003823AA" w:rsidRDefault="003E56FC" w:rsidP="0011159C">
            <w:pPr>
              <w:rPr>
                <w:rFonts w:cs="Times New Roman"/>
                <w:b/>
                <w:bCs/>
                <w:sz w:val="16"/>
                <w:szCs w:val="16"/>
              </w:rPr>
            </w:pPr>
            <w:r w:rsidRPr="003823AA">
              <w:rPr>
                <w:rFonts w:cs="Times New Roman"/>
                <w:b/>
                <w:bCs/>
                <w:sz w:val="16"/>
                <w:szCs w:val="16"/>
              </w:rPr>
              <w:t>Internal Test</w:t>
            </w:r>
          </w:p>
        </w:tc>
        <w:tc>
          <w:tcPr>
            <w:tcW w:w="1602" w:type="dxa"/>
            <w:gridSpan w:val="2"/>
            <w:shd w:val="clear" w:color="auto" w:fill="auto"/>
          </w:tcPr>
          <w:p w14:paraId="47EF3F96" w14:textId="4AA8F490" w:rsidR="003E56FC" w:rsidRPr="003823AA" w:rsidRDefault="003E56FC" w:rsidP="0011159C">
            <w:pPr>
              <w:rPr>
                <w:rFonts w:cs="Times New Roman"/>
                <w:sz w:val="16"/>
                <w:szCs w:val="16"/>
              </w:rPr>
            </w:pPr>
            <w:r w:rsidRPr="003823AA">
              <w:rPr>
                <w:rFonts w:cs="Times New Roman"/>
                <w:sz w:val="16"/>
                <w:szCs w:val="16"/>
              </w:rPr>
              <w:t>0</w:t>
            </w:r>
            <w:r w:rsidR="00AC17D5">
              <w:rPr>
                <w:rFonts w:cs="Times New Roman"/>
                <w:sz w:val="16"/>
                <w:szCs w:val="16"/>
              </w:rPr>
              <w:t>.</w:t>
            </w:r>
            <w:r w:rsidRPr="003823AA">
              <w:rPr>
                <w:rFonts w:cs="Times New Roman"/>
                <w:sz w:val="16"/>
                <w:szCs w:val="16"/>
              </w:rPr>
              <w:t>697 (0</w:t>
            </w:r>
            <w:r w:rsidR="00AC17D5">
              <w:rPr>
                <w:rFonts w:cs="Times New Roman"/>
                <w:sz w:val="16"/>
                <w:szCs w:val="16"/>
              </w:rPr>
              <w:t>.</w:t>
            </w:r>
            <w:r w:rsidRPr="003823AA">
              <w:rPr>
                <w:rFonts w:cs="Times New Roman"/>
                <w:sz w:val="16"/>
                <w:szCs w:val="16"/>
              </w:rPr>
              <w:t>619</w:t>
            </w:r>
            <w:r w:rsidR="00106AB4" w:rsidRPr="003823AA">
              <w:rPr>
                <w:rFonts w:cs="Times New Roman"/>
                <w:sz w:val="16"/>
                <w:szCs w:val="16"/>
              </w:rPr>
              <w:t>–</w:t>
            </w:r>
            <w:r w:rsidRPr="003823AA">
              <w:rPr>
                <w:rFonts w:cs="Times New Roman"/>
                <w:sz w:val="16"/>
                <w:szCs w:val="16"/>
              </w:rPr>
              <w:t>0</w:t>
            </w:r>
            <w:r w:rsidR="00AC17D5">
              <w:rPr>
                <w:rFonts w:cs="Times New Roman"/>
                <w:sz w:val="16"/>
                <w:szCs w:val="16"/>
              </w:rPr>
              <w:t>.</w:t>
            </w:r>
            <w:r w:rsidRPr="003823AA">
              <w:rPr>
                <w:rFonts w:cs="Times New Roman"/>
                <w:sz w:val="16"/>
                <w:szCs w:val="16"/>
              </w:rPr>
              <w:t>766)</w:t>
            </w:r>
          </w:p>
        </w:tc>
        <w:tc>
          <w:tcPr>
            <w:tcW w:w="1614" w:type="dxa"/>
            <w:shd w:val="clear" w:color="auto" w:fill="auto"/>
          </w:tcPr>
          <w:p w14:paraId="40673276" w14:textId="7076AF3E" w:rsidR="003E56FC" w:rsidRPr="003823AA" w:rsidRDefault="003E56FC" w:rsidP="0011159C">
            <w:pPr>
              <w:rPr>
                <w:rFonts w:cs="Times New Roman"/>
                <w:sz w:val="16"/>
                <w:szCs w:val="16"/>
              </w:rPr>
            </w:pPr>
            <w:r w:rsidRPr="003823AA">
              <w:rPr>
                <w:rFonts w:cs="Times New Roman"/>
                <w:sz w:val="16"/>
                <w:szCs w:val="16"/>
              </w:rPr>
              <w:t>3</w:t>
            </w:r>
            <w:r w:rsidR="00AC17D5">
              <w:rPr>
                <w:rFonts w:cs="Times New Roman"/>
                <w:sz w:val="16"/>
                <w:szCs w:val="16"/>
              </w:rPr>
              <w:t>.</w:t>
            </w:r>
            <w:r w:rsidRPr="003823AA">
              <w:rPr>
                <w:rFonts w:cs="Times New Roman"/>
                <w:sz w:val="16"/>
                <w:szCs w:val="16"/>
              </w:rPr>
              <w:t>1 (1</w:t>
            </w:r>
            <w:r w:rsidR="00AC17D5">
              <w:rPr>
                <w:rFonts w:cs="Times New Roman"/>
                <w:sz w:val="16"/>
                <w:szCs w:val="16"/>
              </w:rPr>
              <w:t>.</w:t>
            </w:r>
            <w:r w:rsidRPr="003823AA">
              <w:rPr>
                <w:rFonts w:cs="Times New Roman"/>
                <w:sz w:val="16"/>
                <w:szCs w:val="16"/>
              </w:rPr>
              <w:t>7</w:t>
            </w:r>
            <w:r w:rsidR="00106AB4" w:rsidRPr="003823AA">
              <w:rPr>
                <w:rFonts w:cs="Times New Roman"/>
                <w:sz w:val="16"/>
                <w:szCs w:val="16"/>
              </w:rPr>
              <w:t>–</w:t>
            </w:r>
            <w:r w:rsidRPr="003823AA">
              <w:rPr>
                <w:rFonts w:cs="Times New Roman"/>
                <w:sz w:val="16"/>
                <w:szCs w:val="16"/>
              </w:rPr>
              <w:t>5</w:t>
            </w:r>
            <w:r w:rsidR="00AC17D5">
              <w:rPr>
                <w:rFonts w:cs="Times New Roman"/>
                <w:sz w:val="16"/>
                <w:szCs w:val="16"/>
              </w:rPr>
              <w:t>.</w:t>
            </w:r>
            <w:r w:rsidRPr="003823AA">
              <w:rPr>
                <w:rFonts w:cs="Times New Roman"/>
                <w:sz w:val="16"/>
                <w:szCs w:val="16"/>
              </w:rPr>
              <w:t>5)</w:t>
            </w:r>
          </w:p>
        </w:tc>
        <w:tc>
          <w:tcPr>
            <w:tcW w:w="1664" w:type="dxa"/>
            <w:gridSpan w:val="2"/>
            <w:shd w:val="clear" w:color="auto" w:fill="auto"/>
          </w:tcPr>
          <w:p w14:paraId="5207B1F5" w14:textId="3F0D3567" w:rsidR="003E56FC" w:rsidRPr="003823AA" w:rsidRDefault="003E56FC" w:rsidP="0011159C">
            <w:pPr>
              <w:rPr>
                <w:rFonts w:cs="Times New Roman"/>
                <w:sz w:val="16"/>
                <w:szCs w:val="16"/>
              </w:rPr>
            </w:pPr>
            <w:r w:rsidRPr="003823AA">
              <w:rPr>
                <w:rFonts w:cs="Times New Roman"/>
                <w:sz w:val="16"/>
                <w:szCs w:val="16"/>
              </w:rPr>
              <w:t>&lt;0</w:t>
            </w:r>
            <w:r w:rsidR="00AC17D5">
              <w:rPr>
                <w:rFonts w:cs="Times New Roman"/>
                <w:sz w:val="16"/>
                <w:szCs w:val="16"/>
              </w:rPr>
              <w:t>.</w:t>
            </w:r>
            <w:r w:rsidRPr="003823AA">
              <w:rPr>
                <w:rFonts w:cs="Times New Roman"/>
                <w:sz w:val="16"/>
                <w:szCs w:val="16"/>
              </w:rPr>
              <w:t>001</w:t>
            </w:r>
          </w:p>
        </w:tc>
        <w:tc>
          <w:tcPr>
            <w:tcW w:w="1583" w:type="dxa"/>
            <w:shd w:val="clear" w:color="auto" w:fill="auto"/>
          </w:tcPr>
          <w:p w14:paraId="0C42DCB9" w14:textId="77777777" w:rsidR="003E56FC" w:rsidRPr="003823AA" w:rsidRDefault="003E56FC" w:rsidP="0011159C">
            <w:pPr>
              <w:rPr>
                <w:rFonts w:cs="Times New Roman"/>
                <w:sz w:val="16"/>
                <w:szCs w:val="16"/>
              </w:rPr>
            </w:pPr>
            <w:r w:rsidRPr="003823AA">
              <w:rPr>
                <w:rFonts w:cs="Times New Roman"/>
                <w:sz w:val="16"/>
                <w:szCs w:val="16"/>
              </w:rPr>
              <w:t>116 (87/29)</w:t>
            </w:r>
          </w:p>
        </w:tc>
      </w:tr>
      <w:tr w:rsidR="003E56FC" w:rsidRPr="003823AA" w14:paraId="7AB9981C" w14:textId="77777777" w:rsidTr="0011159C">
        <w:trPr>
          <w:trHeight w:val="170"/>
        </w:trPr>
        <w:tc>
          <w:tcPr>
            <w:tcW w:w="690" w:type="dxa"/>
            <w:vMerge/>
            <w:tcBorders>
              <w:bottom w:val="single" w:sz="12" w:space="0" w:color="auto"/>
            </w:tcBorders>
            <w:shd w:val="clear" w:color="auto" w:fill="auto"/>
          </w:tcPr>
          <w:p w14:paraId="1A24FF1C" w14:textId="77777777" w:rsidR="003E56FC" w:rsidRPr="003823AA" w:rsidRDefault="003E56FC" w:rsidP="0011159C">
            <w:pPr>
              <w:rPr>
                <w:rFonts w:cs="Times New Roman"/>
                <w:b/>
                <w:bCs/>
                <w:sz w:val="16"/>
                <w:szCs w:val="16"/>
              </w:rPr>
            </w:pPr>
          </w:p>
        </w:tc>
        <w:tc>
          <w:tcPr>
            <w:tcW w:w="1153" w:type="dxa"/>
            <w:tcBorders>
              <w:bottom w:val="single" w:sz="12" w:space="0" w:color="auto"/>
            </w:tcBorders>
            <w:shd w:val="clear" w:color="auto" w:fill="auto"/>
          </w:tcPr>
          <w:p w14:paraId="185B9DEE" w14:textId="2499E1F6" w:rsidR="003E56FC" w:rsidRPr="003823AA" w:rsidRDefault="003E56FC" w:rsidP="0011159C">
            <w:pPr>
              <w:rPr>
                <w:rFonts w:cs="Times New Roman"/>
                <w:b/>
                <w:bCs/>
                <w:sz w:val="16"/>
                <w:szCs w:val="16"/>
              </w:rPr>
            </w:pPr>
            <w:r w:rsidRPr="003823AA">
              <w:rPr>
                <w:rFonts w:cs="Times New Roman"/>
                <w:b/>
                <w:bCs/>
                <w:sz w:val="16"/>
                <w:szCs w:val="16"/>
              </w:rPr>
              <w:t>External Test</w:t>
            </w:r>
          </w:p>
        </w:tc>
        <w:tc>
          <w:tcPr>
            <w:tcW w:w="1602" w:type="dxa"/>
            <w:gridSpan w:val="2"/>
            <w:tcBorders>
              <w:bottom w:val="single" w:sz="12" w:space="0" w:color="auto"/>
            </w:tcBorders>
            <w:shd w:val="clear" w:color="auto" w:fill="auto"/>
          </w:tcPr>
          <w:p w14:paraId="0DC67540" w14:textId="611AE923" w:rsidR="003E56FC" w:rsidRPr="003823AA" w:rsidRDefault="003E56FC" w:rsidP="0011159C">
            <w:pPr>
              <w:rPr>
                <w:rFonts w:cs="Times New Roman"/>
                <w:sz w:val="16"/>
                <w:szCs w:val="16"/>
              </w:rPr>
            </w:pPr>
            <w:r w:rsidRPr="003823AA">
              <w:rPr>
                <w:rFonts w:cs="Times New Roman"/>
                <w:sz w:val="16"/>
                <w:szCs w:val="16"/>
              </w:rPr>
              <w:t>0</w:t>
            </w:r>
            <w:r w:rsidR="00AC17D5">
              <w:rPr>
                <w:rFonts w:cs="Times New Roman"/>
                <w:sz w:val="16"/>
                <w:szCs w:val="16"/>
              </w:rPr>
              <w:t>.</w:t>
            </w:r>
            <w:r w:rsidRPr="003823AA">
              <w:rPr>
                <w:rFonts w:cs="Times New Roman"/>
                <w:sz w:val="16"/>
                <w:szCs w:val="16"/>
              </w:rPr>
              <w:t>598 (0</w:t>
            </w:r>
            <w:r w:rsidR="00AC17D5">
              <w:rPr>
                <w:rFonts w:cs="Times New Roman"/>
                <w:sz w:val="16"/>
                <w:szCs w:val="16"/>
              </w:rPr>
              <w:t>.</w:t>
            </w:r>
            <w:r w:rsidRPr="003823AA">
              <w:rPr>
                <w:rFonts w:cs="Times New Roman"/>
                <w:sz w:val="16"/>
                <w:szCs w:val="16"/>
              </w:rPr>
              <w:t>523</w:t>
            </w:r>
            <w:r w:rsidR="00106AB4" w:rsidRPr="003823AA">
              <w:rPr>
                <w:rFonts w:cs="Times New Roman"/>
                <w:sz w:val="16"/>
                <w:szCs w:val="16"/>
              </w:rPr>
              <w:t>–</w:t>
            </w:r>
            <w:r w:rsidRPr="003823AA">
              <w:rPr>
                <w:rFonts w:cs="Times New Roman"/>
                <w:sz w:val="16"/>
                <w:szCs w:val="16"/>
              </w:rPr>
              <w:t>0</w:t>
            </w:r>
            <w:r w:rsidR="00AC17D5">
              <w:rPr>
                <w:rFonts w:cs="Times New Roman"/>
                <w:sz w:val="16"/>
                <w:szCs w:val="16"/>
              </w:rPr>
              <w:t>.</w:t>
            </w:r>
            <w:r w:rsidRPr="003823AA">
              <w:rPr>
                <w:rFonts w:cs="Times New Roman"/>
                <w:sz w:val="16"/>
                <w:szCs w:val="16"/>
              </w:rPr>
              <w:t>672)</w:t>
            </w:r>
          </w:p>
        </w:tc>
        <w:tc>
          <w:tcPr>
            <w:tcW w:w="1614" w:type="dxa"/>
            <w:tcBorders>
              <w:bottom w:val="single" w:sz="12" w:space="0" w:color="auto"/>
            </w:tcBorders>
            <w:shd w:val="clear" w:color="auto" w:fill="auto"/>
          </w:tcPr>
          <w:p w14:paraId="118CDE29" w14:textId="3B0452E6" w:rsidR="003E56FC" w:rsidRPr="003823AA" w:rsidRDefault="003E56FC" w:rsidP="0011159C">
            <w:pPr>
              <w:rPr>
                <w:rFonts w:cs="Times New Roman"/>
                <w:sz w:val="16"/>
                <w:szCs w:val="16"/>
              </w:rPr>
            </w:pPr>
            <w:r w:rsidRPr="003823AA">
              <w:rPr>
                <w:rFonts w:cs="Times New Roman"/>
                <w:sz w:val="16"/>
                <w:szCs w:val="16"/>
              </w:rPr>
              <w:t>1</w:t>
            </w:r>
            <w:r w:rsidR="00AC17D5">
              <w:rPr>
                <w:rFonts w:cs="Times New Roman"/>
                <w:sz w:val="16"/>
                <w:szCs w:val="16"/>
              </w:rPr>
              <w:t>.</w:t>
            </w:r>
            <w:r w:rsidRPr="003823AA">
              <w:rPr>
                <w:rFonts w:cs="Times New Roman"/>
                <w:sz w:val="16"/>
                <w:szCs w:val="16"/>
              </w:rPr>
              <w:t>9 (1</w:t>
            </w:r>
            <w:r w:rsidR="00AC17D5">
              <w:rPr>
                <w:rFonts w:cs="Times New Roman"/>
                <w:sz w:val="16"/>
                <w:szCs w:val="16"/>
              </w:rPr>
              <w:t>.</w:t>
            </w:r>
            <w:r w:rsidRPr="003823AA">
              <w:rPr>
                <w:rFonts w:cs="Times New Roman"/>
                <w:sz w:val="16"/>
                <w:szCs w:val="16"/>
              </w:rPr>
              <w:t>1</w:t>
            </w:r>
            <w:r w:rsidR="00106AB4" w:rsidRPr="003823AA">
              <w:rPr>
                <w:rFonts w:cs="Times New Roman"/>
                <w:sz w:val="16"/>
                <w:szCs w:val="16"/>
              </w:rPr>
              <w:t>–</w:t>
            </w:r>
            <w:r w:rsidRPr="003823AA">
              <w:rPr>
                <w:rFonts w:cs="Times New Roman"/>
                <w:sz w:val="16"/>
                <w:szCs w:val="16"/>
              </w:rPr>
              <w:t>3</w:t>
            </w:r>
            <w:r w:rsidR="00AC17D5">
              <w:rPr>
                <w:rFonts w:cs="Times New Roman"/>
                <w:sz w:val="16"/>
                <w:szCs w:val="16"/>
              </w:rPr>
              <w:t>.</w:t>
            </w:r>
            <w:r w:rsidRPr="003823AA">
              <w:rPr>
                <w:rFonts w:cs="Times New Roman"/>
                <w:sz w:val="16"/>
                <w:szCs w:val="16"/>
              </w:rPr>
              <w:t>3)</w:t>
            </w:r>
          </w:p>
        </w:tc>
        <w:tc>
          <w:tcPr>
            <w:tcW w:w="1664" w:type="dxa"/>
            <w:gridSpan w:val="2"/>
            <w:tcBorders>
              <w:bottom w:val="single" w:sz="12" w:space="0" w:color="auto"/>
            </w:tcBorders>
            <w:shd w:val="clear" w:color="auto" w:fill="auto"/>
          </w:tcPr>
          <w:p w14:paraId="6433906D" w14:textId="36D63CA4" w:rsidR="003E56FC" w:rsidRPr="003823AA" w:rsidRDefault="003E56FC" w:rsidP="0011159C">
            <w:pPr>
              <w:rPr>
                <w:rFonts w:cs="Times New Roman"/>
                <w:sz w:val="16"/>
                <w:szCs w:val="16"/>
              </w:rPr>
            </w:pPr>
            <w:r w:rsidRPr="003823AA">
              <w:rPr>
                <w:rFonts w:cs="Times New Roman"/>
                <w:sz w:val="16"/>
                <w:szCs w:val="16"/>
              </w:rPr>
              <w:t>0</w:t>
            </w:r>
            <w:r w:rsidR="00AC17D5">
              <w:rPr>
                <w:rFonts w:cs="Times New Roman"/>
                <w:sz w:val="16"/>
                <w:szCs w:val="16"/>
              </w:rPr>
              <w:t>.</w:t>
            </w:r>
            <w:r w:rsidRPr="003823AA">
              <w:rPr>
                <w:rFonts w:cs="Times New Roman"/>
                <w:sz w:val="16"/>
                <w:szCs w:val="16"/>
              </w:rPr>
              <w:t>018</w:t>
            </w:r>
          </w:p>
        </w:tc>
        <w:tc>
          <w:tcPr>
            <w:tcW w:w="1583" w:type="dxa"/>
            <w:tcBorders>
              <w:bottom w:val="single" w:sz="12" w:space="0" w:color="auto"/>
            </w:tcBorders>
            <w:shd w:val="clear" w:color="auto" w:fill="auto"/>
          </w:tcPr>
          <w:p w14:paraId="29389505" w14:textId="77777777" w:rsidR="003E56FC" w:rsidRPr="003823AA" w:rsidRDefault="003E56FC" w:rsidP="0011159C">
            <w:pPr>
              <w:rPr>
                <w:rFonts w:cs="Times New Roman"/>
                <w:sz w:val="16"/>
                <w:szCs w:val="16"/>
              </w:rPr>
            </w:pPr>
            <w:r w:rsidRPr="003823AA">
              <w:rPr>
                <w:rFonts w:cs="Times New Roman"/>
                <w:sz w:val="16"/>
                <w:szCs w:val="16"/>
              </w:rPr>
              <w:t>143 (65/78)</w:t>
            </w:r>
          </w:p>
        </w:tc>
      </w:tr>
    </w:tbl>
    <w:p w14:paraId="69C2246C" w14:textId="38420750" w:rsidR="003E56FC" w:rsidRPr="003823AA" w:rsidRDefault="008F6155" w:rsidP="0094081B">
      <w:pPr>
        <w:jc w:val="left"/>
        <w:rPr>
          <w:rFonts w:eastAsiaTheme="minorEastAsia" w:cs="Times New Roman"/>
        </w:rPr>
      </w:pPr>
      <w:r w:rsidRPr="003823AA">
        <w:rPr>
          <w:rFonts w:cs="Times New Roman"/>
        </w:rPr>
        <w:t xml:space="preserve">Data are presented as C-index (95% CI), HR (95% CI), p value, and patient distribution. HR values were calculated by comparing high-risk versus low-risk groups based on GIRS classification. p values were determined using </w:t>
      </w:r>
      <w:r w:rsidR="00AC17D5">
        <w:rPr>
          <w:rFonts w:cs="Times New Roman"/>
        </w:rPr>
        <w:t xml:space="preserve">the </w:t>
      </w:r>
      <w:r w:rsidRPr="003823AA">
        <w:rPr>
          <w:rFonts w:cs="Times New Roman"/>
        </w:rPr>
        <w:t>log-rank test. N (Low/High) represents the number of patients in low-risk and high-risk groups, respectively. C-index=concordance index</w:t>
      </w:r>
      <w:r w:rsidR="0048773F" w:rsidRPr="003823AA">
        <w:rPr>
          <w:rFonts w:cs="Times New Roman"/>
        </w:rPr>
        <w:t>.</w:t>
      </w:r>
      <w:r w:rsidRPr="003823AA">
        <w:rPr>
          <w:rFonts w:cs="Times New Roman"/>
        </w:rPr>
        <w:t xml:space="preserve"> HR=hazard ratio</w:t>
      </w:r>
      <w:r w:rsidR="0048773F" w:rsidRPr="003823AA">
        <w:rPr>
          <w:rFonts w:cs="Times New Roman"/>
        </w:rPr>
        <w:t>.</w:t>
      </w:r>
      <w:r w:rsidRPr="003823AA">
        <w:rPr>
          <w:rFonts w:cs="Times New Roman"/>
        </w:rPr>
        <w:t xml:space="preserve"> </w:t>
      </w:r>
      <w:r w:rsidR="00AC17D5">
        <w:rPr>
          <w:rFonts w:cs="Times New Roman"/>
        </w:rPr>
        <w:t>GIRS=Guideline-based</w:t>
      </w:r>
      <w:r w:rsidRPr="003823AA">
        <w:rPr>
          <w:rFonts w:cs="Times New Roman"/>
        </w:rPr>
        <w:t xml:space="preserve"> Imaging Risk Score</w:t>
      </w:r>
      <w:r w:rsidR="0048773F" w:rsidRPr="003823AA">
        <w:rPr>
          <w:rFonts w:cs="Times New Roman"/>
        </w:rPr>
        <w:t>.</w:t>
      </w:r>
      <w:r w:rsidRPr="003823AA">
        <w:rPr>
          <w:rFonts w:cs="Times New Roman"/>
        </w:rPr>
        <w:t xml:space="preserve"> </w:t>
      </w:r>
      <w:r w:rsidR="00AC17D5">
        <w:rPr>
          <w:rFonts w:cs="Times New Roman"/>
        </w:rPr>
        <w:t>OS=</w:t>
      </w:r>
      <w:r w:rsidR="00D20AF0">
        <w:rPr>
          <w:rFonts w:cs="Times New Roman"/>
        </w:rPr>
        <w:t>o</w:t>
      </w:r>
      <w:r w:rsidR="00AC17D5">
        <w:rPr>
          <w:rFonts w:cs="Times New Roman"/>
        </w:rPr>
        <w:t>verall</w:t>
      </w:r>
      <w:r w:rsidRPr="003823AA">
        <w:rPr>
          <w:rFonts w:cs="Times New Roman"/>
        </w:rPr>
        <w:t xml:space="preserve"> survival</w:t>
      </w:r>
      <w:r w:rsidR="0048773F" w:rsidRPr="003823AA">
        <w:rPr>
          <w:rFonts w:cs="Times New Roman"/>
        </w:rPr>
        <w:t>.</w:t>
      </w:r>
      <w:r w:rsidRPr="003823AA">
        <w:rPr>
          <w:rFonts w:cs="Times New Roman"/>
        </w:rPr>
        <w:t xml:space="preserve"> DFS=disease-free survival.</w:t>
      </w:r>
    </w:p>
    <w:p w14:paraId="2F5DC402" w14:textId="5266D88E" w:rsidR="00CC0E1E" w:rsidRPr="00064784" w:rsidRDefault="00F40D9E" w:rsidP="00064784">
      <w:pPr>
        <w:widowControl/>
        <w:jc w:val="left"/>
        <w:rPr>
          <w:rFonts w:eastAsiaTheme="minorEastAsia" w:cs="Times New Roman"/>
          <w:b/>
          <w:bCs/>
        </w:rPr>
      </w:pPr>
      <w:bookmarkStart w:id="4" w:name="_Hlk204711724"/>
      <w:bookmarkStart w:id="5" w:name="_Hlk201853205"/>
      <w:r>
        <w:rPr>
          <w:rFonts w:cs="Times New Roman"/>
          <w:b/>
          <w:bCs/>
        </w:rPr>
        <w:br w:type="page"/>
      </w:r>
      <w:bookmarkEnd w:id="4"/>
      <w:bookmarkEnd w:id="5"/>
    </w:p>
    <w:p w14:paraId="47017342" w14:textId="77777777" w:rsidR="003E56FC" w:rsidRPr="003823AA" w:rsidRDefault="003E56FC" w:rsidP="003E56FC">
      <w:pPr>
        <w:widowControl/>
        <w:spacing w:before="100" w:beforeAutospacing="1" w:after="100" w:afterAutospacing="1"/>
        <w:jc w:val="left"/>
        <w:rPr>
          <w:rFonts w:cs="Times New Roman"/>
          <w:kern w:val="0"/>
          <w:sz w:val="24"/>
          <w:szCs w:val="24"/>
        </w:rPr>
      </w:pPr>
      <w:r w:rsidRPr="003823AA">
        <w:rPr>
          <w:rFonts w:cs="Times New Roman"/>
          <w:noProof/>
          <w:kern w:val="0"/>
          <w:sz w:val="24"/>
          <w:szCs w:val="24"/>
        </w:rPr>
        <w:lastRenderedPageBreak/>
        <w:drawing>
          <wp:inline distT="0" distB="0" distL="0" distR="0" wp14:anchorId="73B1DEA3" wp14:editId="0B18FCC4">
            <wp:extent cx="5274309" cy="3370037"/>
            <wp:effectExtent l="0" t="0" r="317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a:stretch>
                      <a:fillRect/>
                    </a:stretch>
                  </pic:blipFill>
                  <pic:spPr>
                    <a:xfrm>
                      <a:off x="0" y="0"/>
                      <a:ext cx="5274309" cy="3370037"/>
                    </a:xfrm>
                    <a:prstGeom prst="rect">
                      <a:avLst/>
                    </a:prstGeom>
                  </pic:spPr>
                </pic:pic>
              </a:graphicData>
            </a:graphic>
          </wp:inline>
        </w:drawing>
      </w:r>
    </w:p>
    <w:p w14:paraId="1119E5A5" w14:textId="4F4965B0" w:rsidR="00C50C5E" w:rsidRDefault="00095E85" w:rsidP="00C50C5E">
      <w:pPr>
        <w:jc w:val="left"/>
        <w:rPr>
          <w:rFonts w:cs="Times New Roman"/>
        </w:rPr>
      </w:pPr>
      <w:r w:rsidRPr="00095E85">
        <w:rPr>
          <w:rFonts w:eastAsiaTheme="minorEastAsia"/>
          <w:b/>
          <w:bCs/>
        </w:rPr>
        <w:t>Supplementary</w:t>
      </w:r>
      <w:r w:rsidRPr="00095E85">
        <w:rPr>
          <w:b/>
          <w:bCs/>
        </w:rPr>
        <w:t xml:space="preserve"> Fig. 1 |</w:t>
      </w:r>
      <w:r w:rsidR="003E56FC" w:rsidRPr="00095E85">
        <w:rPr>
          <w:rFonts w:cs="Times New Roman"/>
          <w:b/>
          <w:bCs/>
        </w:rPr>
        <w:t xml:space="preserve"> </w:t>
      </w:r>
      <w:r w:rsidR="003E56FC" w:rsidRPr="003823AA">
        <w:rPr>
          <w:rFonts w:cs="Times New Roman"/>
          <w:b/>
          <w:bCs/>
        </w:rPr>
        <w:t>Kaplan-Meier survival analysis of patients stratified by GIRS.</w:t>
      </w:r>
      <w:r w:rsidR="006677D5" w:rsidRPr="003823AA">
        <w:rPr>
          <w:rFonts w:cs="Times New Roman"/>
          <w:b/>
          <w:bCs/>
        </w:rPr>
        <w:t xml:space="preserve"> </w:t>
      </w:r>
      <w:r w:rsidR="003E56FC" w:rsidRPr="003823AA">
        <w:rPr>
          <w:rFonts w:cs="Times New Roman"/>
        </w:rPr>
        <w:t>(A, C, E) OS curves for training sets, internal test sets, and external test sets, respectively. (B, D, F) DFS curves for training sets, internal test sets, and external test sets, respectively. Patients were stratified into low-risk (blue line, 0</w:t>
      </w:r>
      <w:r w:rsidR="002F7EFF" w:rsidRPr="003823AA">
        <w:rPr>
          <w:rFonts w:cs="Times New Roman"/>
          <w:b/>
          <w:bCs/>
          <w:sz w:val="16"/>
          <w:szCs w:val="16"/>
        </w:rPr>
        <w:t>–</w:t>
      </w:r>
      <w:r w:rsidR="003E56FC" w:rsidRPr="003823AA">
        <w:rPr>
          <w:rFonts w:cs="Times New Roman"/>
        </w:rPr>
        <w:t>2 points) and high-risk (red line, 3</w:t>
      </w:r>
      <w:r w:rsidR="002F7EFF" w:rsidRPr="003823AA">
        <w:rPr>
          <w:rFonts w:cs="Times New Roman"/>
          <w:b/>
          <w:bCs/>
          <w:sz w:val="16"/>
          <w:szCs w:val="16"/>
        </w:rPr>
        <w:t>–</w:t>
      </w:r>
      <w:r w:rsidR="003E56FC" w:rsidRPr="003823AA">
        <w:rPr>
          <w:rFonts w:cs="Times New Roman"/>
        </w:rPr>
        <w:t xml:space="preserve">4 points) groups based on </w:t>
      </w:r>
      <w:r w:rsidR="00AC17D5">
        <w:rPr>
          <w:rFonts w:cs="Times New Roman"/>
        </w:rPr>
        <w:t xml:space="preserve">the </w:t>
      </w:r>
      <w:r w:rsidR="003E56FC" w:rsidRPr="003823AA">
        <w:rPr>
          <w:rFonts w:cs="Times New Roman"/>
        </w:rPr>
        <w:t xml:space="preserve">GIRS system. </w:t>
      </w:r>
      <w:r w:rsidR="005B7576" w:rsidRPr="003823AA">
        <w:rPr>
          <w:rFonts w:cs="Times New Roman"/>
        </w:rPr>
        <w:t xml:space="preserve">p </w:t>
      </w:r>
      <w:r w:rsidR="003E56FC" w:rsidRPr="003823AA">
        <w:rPr>
          <w:rFonts w:cs="Times New Roman"/>
        </w:rPr>
        <w:t xml:space="preserve">values were calculated using </w:t>
      </w:r>
      <w:r w:rsidR="00AC17D5">
        <w:rPr>
          <w:rFonts w:cs="Times New Roman"/>
        </w:rPr>
        <w:t xml:space="preserve">the </w:t>
      </w:r>
      <w:r w:rsidR="003E56FC" w:rsidRPr="003823AA">
        <w:rPr>
          <w:rFonts w:cs="Times New Roman"/>
        </w:rPr>
        <w:t>log-rank test. Numbers at risk are shown below each survival curve at different time points.</w:t>
      </w:r>
      <w:r w:rsidR="007811FC" w:rsidRPr="003823AA">
        <w:rPr>
          <w:rFonts w:cs="Times New Roman"/>
        </w:rPr>
        <w:t xml:space="preserve"> OS=</w:t>
      </w:r>
      <w:r w:rsidR="00D20AF0">
        <w:rPr>
          <w:rFonts w:cs="Times New Roman"/>
        </w:rPr>
        <w:t>o</w:t>
      </w:r>
      <w:r w:rsidR="007811FC" w:rsidRPr="003823AA">
        <w:rPr>
          <w:rFonts w:cs="Times New Roman"/>
        </w:rPr>
        <w:t>verall survival. DFS=</w:t>
      </w:r>
      <w:r w:rsidR="00D20AF0">
        <w:rPr>
          <w:rFonts w:cs="Times New Roman"/>
        </w:rPr>
        <w:t>d</w:t>
      </w:r>
      <w:r w:rsidR="007811FC" w:rsidRPr="003823AA">
        <w:rPr>
          <w:rFonts w:cs="Times New Roman"/>
        </w:rPr>
        <w:t>isease-free survival.</w:t>
      </w:r>
      <w:r w:rsidR="00CE7EE3" w:rsidRPr="003823AA">
        <w:rPr>
          <w:rFonts w:cs="Times New Roman"/>
        </w:rPr>
        <w:t xml:space="preserve"> HR=hazard ratio.</w:t>
      </w:r>
    </w:p>
    <w:p w14:paraId="70C21E1A" w14:textId="28BFD87C" w:rsidR="00B871EE" w:rsidRPr="00C50C5E" w:rsidRDefault="00C50C5E" w:rsidP="00C50C5E">
      <w:pPr>
        <w:widowControl/>
        <w:jc w:val="left"/>
        <w:rPr>
          <w:rFonts w:eastAsiaTheme="minorEastAsia" w:cs="Times New Roman"/>
        </w:rPr>
      </w:pPr>
      <w:r>
        <w:rPr>
          <w:rFonts w:cs="Times New Roman"/>
        </w:rPr>
        <w:br w:type="page"/>
      </w:r>
    </w:p>
    <w:p w14:paraId="3BD2BDA8" w14:textId="2B87BAE6" w:rsidR="00F15EF8" w:rsidRPr="003823AA" w:rsidRDefault="003E56FC">
      <w:pPr>
        <w:rPr>
          <w:rFonts w:cs="Times New Roman"/>
        </w:rPr>
      </w:pPr>
      <w:r w:rsidRPr="003823AA">
        <w:rPr>
          <w:rFonts w:cs="Times New Roman"/>
          <w:noProof/>
        </w:rPr>
        <w:lastRenderedPageBreak/>
        <w:drawing>
          <wp:inline distT="0" distB="0" distL="0" distR="0" wp14:anchorId="0B7EDB03" wp14:editId="6AC45002">
            <wp:extent cx="5244974" cy="5025191"/>
            <wp:effectExtent l="0" t="0" r="0" b="4445"/>
            <wp:docPr id="1" name="消融km-0705-600dpi.png"/>
            <wp:cNvGraphicFramePr/>
            <a:graphic xmlns:a="http://schemas.openxmlformats.org/drawingml/2006/main">
              <a:graphicData uri="http://schemas.openxmlformats.org/drawingml/2006/picture">
                <pic:pic xmlns:pic="http://schemas.openxmlformats.org/drawingml/2006/picture">
                  <pic:nvPicPr>
                    <pic:cNvPr id="1" name="消融km-0705-600dpi.png"/>
                    <pic:cNvPicPr/>
                  </pic:nvPicPr>
                  <pic:blipFill>
                    <a:blip r:embed="rId8"/>
                    <a:stretch>
                      <a:fillRect/>
                    </a:stretch>
                  </pic:blipFill>
                  <pic:spPr>
                    <a:xfrm>
                      <a:off x="0" y="0"/>
                      <a:ext cx="5244974" cy="5025191"/>
                    </a:xfrm>
                    <a:prstGeom prst="rect">
                      <a:avLst/>
                    </a:prstGeom>
                  </pic:spPr>
                </pic:pic>
              </a:graphicData>
            </a:graphic>
          </wp:inline>
        </w:drawing>
      </w:r>
    </w:p>
    <w:p w14:paraId="5EEDD45F" w14:textId="0661A7D3" w:rsidR="00B871EE" w:rsidRPr="002E198B" w:rsidRDefault="00095E85" w:rsidP="002E198B">
      <w:pPr>
        <w:jc w:val="left"/>
        <w:rPr>
          <w:rFonts w:eastAsiaTheme="minorEastAsia" w:cs="Times New Roman"/>
          <w:lang w:val="en-US"/>
        </w:rPr>
      </w:pPr>
      <w:r w:rsidRPr="00095E85">
        <w:rPr>
          <w:rFonts w:eastAsiaTheme="minorEastAsia"/>
          <w:b/>
          <w:bCs/>
        </w:rPr>
        <w:t>Supplementary</w:t>
      </w:r>
      <w:r w:rsidRPr="00095E85">
        <w:rPr>
          <w:b/>
          <w:bCs/>
        </w:rPr>
        <w:t xml:space="preserve"> Fig. </w:t>
      </w:r>
      <w:r>
        <w:rPr>
          <w:b/>
          <w:bCs/>
        </w:rPr>
        <w:t>2</w:t>
      </w:r>
      <w:r w:rsidRPr="00095E85">
        <w:rPr>
          <w:b/>
          <w:bCs/>
        </w:rPr>
        <w:t xml:space="preserve"> |</w:t>
      </w:r>
      <w:r w:rsidRPr="00095E85">
        <w:rPr>
          <w:rFonts w:cs="Times New Roman"/>
          <w:b/>
          <w:bCs/>
        </w:rPr>
        <w:t xml:space="preserve"> </w:t>
      </w:r>
      <w:r w:rsidR="002E198B" w:rsidRPr="002E198B">
        <w:rPr>
          <w:rFonts w:cs="Times New Roman"/>
          <w:b/>
          <w:bCs/>
        </w:rPr>
        <w:t xml:space="preserve">Ablation study comparing survival prediction performance across different modal combinations in </w:t>
      </w:r>
      <w:r w:rsidR="00AC17D5">
        <w:rPr>
          <w:rFonts w:cs="Times New Roman"/>
          <w:b/>
          <w:bCs/>
        </w:rPr>
        <w:t xml:space="preserve">the </w:t>
      </w:r>
      <w:r w:rsidR="002E198B" w:rsidRPr="002E198B">
        <w:rPr>
          <w:rFonts w:cs="Times New Roman"/>
          <w:b/>
          <w:bCs/>
        </w:rPr>
        <w:t>IMPACT framework.</w:t>
      </w:r>
      <w:r w:rsidR="006677D5" w:rsidRPr="003823AA">
        <w:rPr>
          <w:rFonts w:cs="Times New Roman"/>
          <w:b/>
          <w:bCs/>
        </w:rPr>
        <w:t xml:space="preserve"> </w:t>
      </w:r>
      <w:r w:rsidR="002E198B" w:rsidRPr="002E198B">
        <w:rPr>
          <w:rFonts w:cs="Times New Roman"/>
        </w:rPr>
        <w:t>Kaplan-Meier survival curves for OS and DFS</w:t>
      </w:r>
      <w:r w:rsidR="002E198B">
        <w:rPr>
          <w:rFonts w:cs="Times New Roman"/>
        </w:rPr>
        <w:t xml:space="preserve"> </w:t>
      </w:r>
      <w:r w:rsidR="002E198B" w:rsidRPr="002E198B">
        <w:rPr>
          <w:rFonts w:cs="Times New Roman"/>
        </w:rPr>
        <w:t xml:space="preserve">across </w:t>
      </w:r>
      <w:r w:rsidR="00AC17D5">
        <w:rPr>
          <w:rFonts w:cs="Times New Roman"/>
        </w:rPr>
        <w:t xml:space="preserve">the internal test set (n=116) and the </w:t>
      </w:r>
      <w:r w:rsidR="002E198B" w:rsidRPr="002E198B">
        <w:rPr>
          <w:rFonts w:cs="Times New Roman"/>
        </w:rPr>
        <w:t xml:space="preserve">external test set (n=143). (A-D) MRI model; (E-H) Pathology model; (I-L) Text model; (M-P) IMP model. Patients were stratified into low-risk (blue) and high-risk (red) groups based on median risk scores from respective models. Statistical significance was assessed using </w:t>
      </w:r>
      <w:r w:rsidR="00AC17D5">
        <w:rPr>
          <w:rFonts w:cs="Times New Roman"/>
        </w:rPr>
        <w:t xml:space="preserve">the </w:t>
      </w:r>
      <w:r w:rsidR="002E198B" w:rsidRPr="002E198B">
        <w:rPr>
          <w:rFonts w:cs="Times New Roman"/>
        </w:rPr>
        <w:t>log-rank test. Numbers at risk are displayed below each survival curve. MRI=pelvic MRI (single-modal model); Pathology=pathological biopsy WSI (single-modal model); Text=clinical information (single-modal model); IMP=Integrated MRI and Pathology (dual-modal model); HR=hazard ratio; OS=overall survival; DFS=disease-free survival.</w:t>
      </w:r>
    </w:p>
    <w:p w14:paraId="7AB429C3" w14:textId="46A4F684" w:rsidR="00C50C5E" w:rsidRDefault="00C50C5E">
      <w:pPr>
        <w:widowControl/>
        <w:jc w:val="left"/>
        <w:rPr>
          <w:rFonts w:cs="Times New Roman"/>
          <w:b/>
          <w:bCs/>
        </w:rPr>
      </w:pPr>
      <w:r>
        <w:rPr>
          <w:rFonts w:cs="Times New Roman"/>
          <w:b/>
          <w:bCs/>
        </w:rPr>
        <w:br w:type="page"/>
      </w:r>
    </w:p>
    <w:p w14:paraId="4191F6A7" w14:textId="77777777" w:rsidR="00C208EA" w:rsidRPr="003823AA" w:rsidRDefault="00C208EA" w:rsidP="00C208EA">
      <w:pPr>
        <w:rPr>
          <w:rFonts w:eastAsiaTheme="minorEastAsia" w:cs="Times New Roman"/>
        </w:rPr>
      </w:pPr>
    </w:p>
    <w:p w14:paraId="011070FB" w14:textId="77777777" w:rsidR="00C208EA" w:rsidRPr="003823AA" w:rsidRDefault="00C208EA" w:rsidP="00C208EA">
      <w:pPr>
        <w:rPr>
          <w:rFonts w:cs="Times New Roman"/>
        </w:rPr>
      </w:pPr>
      <w:r w:rsidRPr="003823AA">
        <w:rPr>
          <w:rFonts w:cs="Times New Roman"/>
          <w:noProof/>
        </w:rPr>
        <w:drawing>
          <wp:inline distT="0" distB="0" distL="0" distR="0" wp14:anchorId="4F5AE6C2" wp14:editId="6D538EFE">
            <wp:extent cx="5274944" cy="1619816"/>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stretch>
                      <a:fillRect/>
                    </a:stretch>
                  </pic:blipFill>
                  <pic:spPr bwMode="auto">
                    <a:xfrm>
                      <a:off x="0" y="0"/>
                      <a:ext cx="5274944" cy="1619816"/>
                    </a:xfrm>
                    <a:prstGeom prst="rect">
                      <a:avLst/>
                    </a:prstGeom>
                    <a:noFill/>
                    <a:ln>
                      <a:noFill/>
                    </a:ln>
                  </pic:spPr>
                </pic:pic>
              </a:graphicData>
            </a:graphic>
          </wp:inline>
        </w:drawing>
      </w:r>
    </w:p>
    <w:p w14:paraId="3025533A" w14:textId="1DFE0D8B" w:rsidR="008F4935" w:rsidRPr="00C50C5E" w:rsidRDefault="00095E85" w:rsidP="0094081B">
      <w:pPr>
        <w:jc w:val="left"/>
        <w:rPr>
          <w:rFonts w:eastAsiaTheme="minorEastAsia" w:cs="Times New Roman"/>
        </w:rPr>
      </w:pPr>
      <w:r w:rsidRPr="00095E85">
        <w:rPr>
          <w:rFonts w:eastAsiaTheme="minorEastAsia"/>
          <w:b/>
          <w:bCs/>
        </w:rPr>
        <w:t>Supplementary</w:t>
      </w:r>
      <w:r w:rsidRPr="00095E85">
        <w:rPr>
          <w:b/>
          <w:bCs/>
        </w:rPr>
        <w:t xml:space="preserve"> Fig. </w:t>
      </w:r>
      <w:r>
        <w:rPr>
          <w:b/>
          <w:bCs/>
        </w:rPr>
        <w:t>3</w:t>
      </w:r>
      <w:r w:rsidRPr="00095E85">
        <w:rPr>
          <w:b/>
          <w:bCs/>
        </w:rPr>
        <w:t xml:space="preserve"> |</w:t>
      </w:r>
      <w:r w:rsidRPr="00095E85">
        <w:rPr>
          <w:rFonts w:cs="Times New Roman"/>
          <w:b/>
          <w:bCs/>
        </w:rPr>
        <w:t xml:space="preserve"> </w:t>
      </w:r>
      <w:r w:rsidR="00C208EA" w:rsidRPr="003823AA">
        <w:rPr>
          <w:rFonts w:cs="Times New Roman"/>
          <w:b/>
          <w:bCs/>
        </w:rPr>
        <w:t xml:space="preserve">Pathological component attention analysis results. </w:t>
      </w:r>
      <w:r w:rsidR="007811FC" w:rsidRPr="003823AA">
        <w:rPr>
          <w:rFonts w:cs="Times New Roman"/>
        </w:rPr>
        <w:t>(A–C) Box plots showing attention ratio distributions for high-risk and low-risk patient groups. Attention thresholds were defined based on normalised attention scores (0–1 range): (A) high attention (&gt;0</w:t>
      </w:r>
      <w:r w:rsidR="00AC17D5">
        <w:rPr>
          <w:rFonts w:cs="Times New Roman"/>
        </w:rPr>
        <w:t>.</w:t>
      </w:r>
      <w:r w:rsidR="007811FC" w:rsidRPr="003823AA">
        <w:rPr>
          <w:rFonts w:cs="Times New Roman"/>
        </w:rPr>
        <w:t>7), (B) low attention (&lt;0</w:t>
      </w:r>
      <w:r w:rsidR="00AC17D5">
        <w:rPr>
          <w:rFonts w:cs="Times New Roman"/>
        </w:rPr>
        <w:t>.</w:t>
      </w:r>
      <w:r w:rsidR="007811FC" w:rsidRPr="003823AA">
        <w:rPr>
          <w:rFonts w:cs="Times New Roman"/>
        </w:rPr>
        <w:t>3), and (C) medium attention (0</w:t>
      </w:r>
      <w:r w:rsidR="00AC17D5">
        <w:rPr>
          <w:rFonts w:cs="Times New Roman"/>
        </w:rPr>
        <w:t>.</w:t>
      </w:r>
      <w:r w:rsidR="007811FC" w:rsidRPr="003823AA">
        <w:rPr>
          <w:rFonts w:cs="Times New Roman"/>
        </w:rPr>
        <w:t>3–0</w:t>
      </w:r>
      <w:r w:rsidR="00AC17D5">
        <w:rPr>
          <w:rFonts w:cs="Times New Roman"/>
        </w:rPr>
        <w:t>.</w:t>
      </w:r>
      <w:r w:rsidR="007811FC" w:rsidRPr="003823AA">
        <w:rPr>
          <w:rFonts w:cs="Times New Roman"/>
        </w:rPr>
        <w:t>7). Box plots show median values, interquartile ranges, and individual data points. Statistical comparisons were performed using unpaired t-tests between risk groups.</w:t>
      </w:r>
    </w:p>
    <w:p w14:paraId="05618008" w14:textId="77777777" w:rsidR="008F4935" w:rsidRDefault="008F4935">
      <w:pPr>
        <w:widowControl/>
        <w:jc w:val="left"/>
        <w:rPr>
          <w:rFonts w:cs="Times New Roman"/>
          <w:b/>
          <w:bCs/>
          <w:szCs w:val="32"/>
        </w:rPr>
      </w:pPr>
      <w:r>
        <w:rPr>
          <w:rFonts w:cs="Times New Roman"/>
        </w:rPr>
        <w:br w:type="page"/>
      </w:r>
    </w:p>
    <w:p w14:paraId="77CED21F" w14:textId="53808B01" w:rsidR="008F4935" w:rsidRPr="007C2EE9" w:rsidRDefault="008F4935" w:rsidP="008F4935">
      <w:pPr>
        <w:pStyle w:val="3"/>
        <w:rPr>
          <w:rFonts w:cs="Times New Roman"/>
        </w:rPr>
      </w:pPr>
      <w:r w:rsidRPr="003823AA">
        <w:rPr>
          <w:rFonts w:cs="Times New Roman"/>
        </w:rPr>
        <w:lastRenderedPageBreak/>
        <w:t>References</w:t>
      </w:r>
    </w:p>
    <w:p w14:paraId="545FEDD1" w14:textId="77777777" w:rsidR="008F4935" w:rsidRPr="003E540D" w:rsidRDefault="008F4935" w:rsidP="008F4935">
      <w:pPr>
        <w:pStyle w:val="a8"/>
        <w:spacing w:line="240" w:lineRule="auto"/>
        <w:ind w:left="266" w:hanging="266"/>
        <w:rPr>
          <w:rFonts w:cs="Times New Roman"/>
        </w:rPr>
      </w:pPr>
      <w:r w:rsidRPr="003823AA">
        <w:fldChar w:fldCharType="begin"/>
      </w:r>
      <w:r>
        <w:instrText xml:space="preserve"> ADDIN ZOTERO_BIBL {"uncited":[],"omitted":[],"custom":[]} CSL_BIBLIOGRAPHY </w:instrText>
      </w:r>
      <w:r w:rsidRPr="003823AA">
        <w:fldChar w:fldCharType="separate"/>
      </w:r>
      <w:r w:rsidRPr="003E540D">
        <w:rPr>
          <w:rFonts w:cs="Times New Roman"/>
        </w:rPr>
        <w:t>1.</w:t>
      </w:r>
      <w:r w:rsidRPr="003E540D">
        <w:rPr>
          <w:rFonts w:cs="Times New Roman"/>
        </w:rPr>
        <w:tab/>
        <w:t xml:space="preserve">Isensee, F., Jaeger, P. F., Kohl, S. A. A., Petersen, J. &amp; Maier-Hein, K. H. nnU-net: A self-configuring method for deep learning-based biomedical image segmentation. </w:t>
      </w:r>
      <w:r w:rsidRPr="003E540D">
        <w:rPr>
          <w:rFonts w:cs="Times New Roman"/>
          <w:i/>
          <w:iCs/>
        </w:rPr>
        <w:t>Nat Methods</w:t>
      </w:r>
      <w:r w:rsidRPr="003E540D">
        <w:rPr>
          <w:rFonts w:cs="Times New Roman"/>
        </w:rPr>
        <w:t xml:space="preserve"> </w:t>
      </w:r>
      <w:r w:rsidRPr="003E540D">
        <w:rPr>
          <w:rFonts w:cs="Times New Roman"/>
          <w:b/>
          <w:bCs/>
        </w:rPr>
        <w:t>18</w:t>
      </w:r>
      <w:r w:rsidRPr="003E540D">
        <w:rPr>
          <w:rFonts w:cs="Times New Roman"/>
        </w:rPr>
        <w:t>, 203–211 (2021).</w:t>
      </w:r>
    </w:p>
    <w:p w14:paraId="7F333CD2" w14:textId="77777777" w:rsidR="008F4935" w:rsidRPr="003E540D" w:rsidRDefault="008F4935" w:rsidP="008F4935">
      <w:pPr>
        <w:pStyle w:val="a8"/>
        <w:spacing w:line="240" w:lineRule="auto"/>
        <w:ind w:left="266" w:hanging="266"/>
        <w:rPr>
          <w:rFonts w:cs="Times New Roman"/>
        </w:rPr>
      </w:pPr>
      <w:r w:rsidRPr="003E540D">
        <w:rPr>
          <w:rFonts w:cs="Times New Roman"/>
        </w:rPr>
        <w:t>2.</w:t>
      </w:r>
      <w:r w:rsidRPr="003E540D">
        <w:rPr>
          <w:rFonts w:cs="Times New Roman"/>
        </w:rPr>
        <w:tab/>
        <w:t xml:space="preserve">Lu, M. Y. </w:t>
      </w:r>
      <w:r w:rsidRPr="003E540D">
        <w:rPr>
          <w:rFonts w:cs="Times New Roman"/>
          <w:i/>
          <w:iCs/>
        </w:rPr>
        <w:t>et al.</w:t>
      </w:r>
      <w:r w:rsidRPr="003E540D">
        <w:rPr>
          <w:rFonts w:cs="Times New Roman"/>
        </w:rPr>
        <w:t xml:space="preserve"> Data-efficient and weakly supervised computational pathology on whole-slide images. </w:t>
      </w:r>
      <w:r w:rsidRPr="003E540D">
        <w:rPr>
          <w:rFonts w:cs="Times New Roman"/>
          <w:i/>
          <w:iCs/>
        </w:rPr>
        <w:t>Nat Biomed Eng</w:t>
      </w:r>
      <w:r w:rsidRPr="003E540D">
        <w:rPr>
          <w:rFonts w:cs="Times New Roman"/>
        </w:rPr>
        <w:t xml:space="preserve"> </w:t>
      </w:r>
      <w:r w:rsidRPr="003E540D">
        <w:rPr>
          <w:rFonts w:cs="Times New Roman"/>
          <w:b/>
          <w:bCs/>
        </w:rPr>
        <w:t>5</w:t>
      </w:r>
      <w:r w:rsidRPr="003E540D">
        <w:rPr>
          <w:rFonts w:cs="Times New Roman"/>
        </w:rPr>
        <w:t>, 555–570 (2021).</w:t>
      </w:r>
    </w:p>
    <w:p w14:paraId="6BB13295" w14:textId="77777777" w:rsidR="008F4935" w:rsidRPr="003E540D" w:rsidRDefault="008F4935" w:rsidP="008F4935">
      <w:pPr>
        <w:pStyle w:val="a8"/>
        <w:spacing w:line="240" w:lineRule="auto"/>
        <w:ind w:left="266" w:hanging="266"/>
        <w:rPr>
          <w:rFonts w:cs="Times New Roman"/>
        </w:rPr>
      </w:pPr>
      <w:r w:rsidRPr="003E540D">
        <w:rPr>
          <w:rFonts w:cs="Times New Roman"/>
        </w:rPr>
        <w:t>3.</w:t>
      </w:r>
      <w:r w:rsidRPr="003E540D">
        <w:rPr>
          <w:rFonts w:cs="Times New Roman"/>
        </w:rPr>
        <w:tab/>
        <w:t xml:space="preserve">He, K., Zhang, X., Ren, S. &amp; Sun, J. Deep residual learning for image recognition. in </w:t>
      </w:r>
      <w:r w:rsidRPr="003E540D">
        <w:rPr>
          <w:rFonts w:cs="Times New Roman"/>
          <w:i/>
          <w:iCs/>
        </w:rPr>
        <w:t>2016 IEEE Conference on Computer Vision and Pattern Recognition (CVPR)</w:t>
      </w:r>
      <w:r w:rsidRPr="003E540D">
        <w:rPr>
          <w:rFonts w:cs="Times New Roman"/>
        </w:rPr>
        <w:t xml:space="preserve"> 770–778 (IEEE, Las Vegas, NV, USA, 2016). doi:10.1109/CVPR.2016.90.</w:t>
      </w:r>
    </w:p>
    <w:p w14:paraId="07EE665C" w14:textId="77777777" w:rsidR="008F4935" w:rsidRPr="003E540D" w:rsidRDefault="008F4935" w:rsidP="008F4935">
      <w:pPr>
        <w:pStyle w:val="a8"/>
        <w:spacing w:line="240" w:lineRule="auto"/>
        <w:ind w:left="266" w:hanging="266"/>
        <w:rPr>
          <w:rFonts w:cs="Times New Roman"/>
        </w:rPr>
      </w:pPr>
      <w:r w:rsidRPr="003E540D">
        <w:rPr>
          <w:rFonts w:cs="Times New Roman"/>
        </w:rPr>
        <w:t>4.</w:t>
      </w:r>
      <w:r w:rsidRPr="003E540D">
        <w:rPr>
          <w:rFonts w:cs="Times New Roman"/>
        </w:rPr>
        <w:tab/>
        <w:t xml:space="preserve">Chen, R. J. </w:t>
      </w:r>
      <w:r w:rsidRPr="003E540D">
        <w:rPr>
          <w:rFonts w:cs="Times New Roman"/>
          <w:i/>
          <w:iCs/>
        </w:rPr>
        <w:t>et al.</w:t>
      </w:r>
      <w:r w:rsidRPr="003E540D">
        <w:rPr>
          <w:rFonts w:cs="Times New Roman"/>
        </w:rPr>
        <w:t xml:space="preserve"> Towards a general-purpose foundation model for computational pathology. </w:t>
      </w:r>
      <w:r w:rsidRPr="003E540D">
        <w:rPr>
          <w:rFonts w:cs="Times New Roman"/>
          <w:i/>
          <w:iCs/>
        </w:rPr>
        <w:t>Nat. Med.</w:t>
      </w:r>
      <w:r w:rsidRPr="003E540D">
        <w:rPr>
          <w:rFonts w:cs="Times New Roman"/>
        </w:rPr>
        <w:t xml:space="preserve"> </w:t>
      </w:r>
      <w:r w:rsidRPr="003E540D">
        <w:rPr>
          <w:rFonts w:cs="Times New Roman"/>
          <w:b/>
          <w:bCs/>
        </w:rPr>
        <w:t>30</w:t>
      </w:r>
      <w:r w:rsidRPr="003E540D">
        <w:rPr>
          <w:rFonts w:cs="Times New Roman"/>
        </w:rPr>
        <w:t>, 850–862 (2024).</w:t>
      </w:r>
    </w:p>
    <w:p w14:paraId="5FD97E02" w14:textId="77777777" w:rsidR="008F4935" w:rsidRPr="003E540D" w:rsidRDefault="008F4935" w:rsidP="008F4935">
      <w:pPr>
        <w:pStyle w:val="a8"/>
        <w:spacing w:line="240" w:lineRule="auto"/>
        <w:ind w:left="266" w:hanging="266"/>
        <w:rPr>
          <w:rFonts w:cs="Times New Roman"/>
        </w:rPr>
      </w:pPr>
      <w:r w:rsidRPr="003E540D">
        <w:rPr>
          <w:rFonts w:cs="Times New Roman"/>
        </w:rPr>
        <w:t>5.</w:t>
      </w:r>
      <w:r w:rsidRPr="003E540D">
        <w:rPr>
          <w:rFonts w:cs="Times New Roman"/>
        </w:rPr>
        <w:tab/>
        <w:t>Devlin, J., Chang, M.-W., Lee, K. &amp; Toutanova, K. BERT: pre-training of deep bidirectional transformers for language understanding. Preprint at https://doi.org/10.48550/arXiv.1810.04805 (2019).</w:t>
      </w:r>
    </w:p>
    <w:p w14:paraId="35C40179" w14:textId="77777777" w:rsidR="008F4935" w:rsidRPr="003E540D" w:rsidRDefault="008F4935" w:rsidP="008F4935">
      <w:pPr>
        <w:pStyle w:val="a8"/>
        <w:spacing w:line="240" w:lineRule="auto"/>
        <w:ind w:left="266" w:hanging="266"/>
        <w:rPr>
          <w:rFonts w:cs="Times New Roman"/>
        </w:rPr>
      </w:pPr>
      <w:r w:rsidRPr="003E540D">
        <w:rPr>
          <w:rFonts w:cs="Times New Roman"/>
        </w:rPr>
        <w:t>6.</w:t>
      </w:r>
      <w:r w:rsidRPr="003E540D">
        <w:rPr>
          <w:rFonts w:cs="Times New Roman"/>
        </w:rPr>
        <w:tab/>
        <w:t xml:space="preserve">Zhou, H.-Y. A transformer-based representation-learning model with unified processing of multimodal input for clinical diagnostics. </w:t>
      </w:r>
      <w:r w:rsidRPr="003E540D">
        <w:rPr>
          <w:rFonts w:cs="Times New Roman"/>
          <w:i/>
          <w:iCs/>
        </w:rPr>
        <w:t>Nat Biomed Eng</w:t>
      </w:r>
      <w:r w:rsidRPr="003E540D">
        <w:rPr>
          <w:rFonts w:cs="Times New Roman"/>
        </w:rPr>
        <w:t>.</w:t>
      </w:r>
    </w:p>
    <w:p w14:paraId="6C399325" w14:textId="363CBF38" w:rsidR="008F4935" w:rsidRPr="008F4935" w:rsidRDefault="008F4935" w:rsidP="008F4935">
      <w:pPr>
        <w:rPr>
          <w:rFonts w:eastAsiaTheme="minorEastAsia" w:cs="Times New Roman"/>
        </w:rPr>
      </w:pPr>
      <w:r w:rsidRPr="003823AA">
        <w:rPr>
          <w:rFonts w:cs="Times New Roman"/>
        </w:rPr>
        <w:fldChar w:fldCharType="end"/>
      </w:r>
    </w:p>
    <w:sectPr w:rsidR="008F4935" w:rsidRPr="008F4935" w:rsidSect="00D561D1">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F1725" w14:textId="77777777" w:rsidR="00DC206C" w:rsidRDefault="00DC206C" w:rsidP="003E56FC">
      <w:r>
        <w:separator/>
      </w:r>
    </w:p>
  </w:endnote>
  <w:endnote w:type="continuationSeparator" w:id="0">
    <w:p w14:paraId="5AD5B805" w14:textId="77777777" w:rsidR="00DC206C" w:rsidRDefault="00DC206C" w:rsidP="003E5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436369"/>
      <w:docPartObj>
        <w:docPartGallery w:val="Page Numbers (Bottom of Page)"/>
        <w:docPartUnique/>
      </w:docPartObj>
    </w:sdtPr>
    <w:sdtEndPr/>
    <w:sdtContent>
      <w:sdt>
        <w:sdtPr>
          <w:id w:val="1728636285"/>
          <w:docPartObj>
            <w:docPartGallery w:val="Page Numbers (Top of Page)"/>
            <w:docPartUnique/>
          </w:docPartObj>
        </w:sdtPr>
        <w:sdtEndPr/>
        <w:sdtContent>
          <w:p w14:paraId="624FBADE" w14:textId="29A955C5" w:rsidR="00A136EC" w:rsidRDefault="00A136E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31306946" w14:textId="77777777" w:rsidR="00825D8C" w:rsidRDefault="00825D8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D558F" w14:textId="77777777" w:rsidR="00DC206C" w:rsidRDefault="00DC206C" w:rsidP="003E56FC">
      <w:r>
        <w:separator/>
      </w:r>
    </w:p>
  </w:footnote>
  <w:footnote w:type="continuationSeparator" w:id="0">
    <w:p w14:paraId="2BF1990E" w14:textId="77777777" w:rsidR="00DC206C" w:rsidRDefault="00DC206C" w:rsidP="003E56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C77"/>
    <w:rsid w:val="00006E3A"/>
    <w:rsid w:val="00017967"/>
    <w:rsid w:val="00023540"/>
    <w:rsid w:val="00064784"/>
    <w:rsid w:val="00074C82"/>
    <w:rsid w:val="0009324C"/>
    <w:rsid w:val="00095E85"/>
    <w:rsid w:val="000B7ECF"/>
    <w:rsid w:val="000C5ADE"/>
    <w:rsid w:val="00106AB4"/>
    <w:rsid w:val="0011159C"/>
    <w:rsid w:val="001540E5"/>
    <w:rsid w:val="00162934"/>
    <w:rsid w:val="001764A7"/>
    <w:rsid w:val="0018512A"/>
    <w:rsid w:val="00185876"/>
    <w:rsid w:val="00187643"/>
    <w:rsid w:val="001A6D42"/>
    <w:rsid w:val="001F3A43"/>
    <w:rsid w:val="00213D20"/>
    <w:rsid w:val="002458FE"/>
    <w:rsid w:val="00274C27"/>
    <w:rsid w:val="00277A70"/>
    <w:rsid w:val="002D74FA"/>
    <w:rsid w:val="002E198B"/>
    <w:rsid w:val="002F7EFF"/>
    <w:rsid w:val="0037711F"/>
    <w:rsid w:val="003823AA"/>
    <w:rsid w:val="003A672C"/>
    <w:rsid w:val="003B452A"/>
    <w:rsid w:val="003C2636"/>
    <w:rsid w:val="003C390D"/>
    <w:rsid w:val="003E540D"/>
    <w:rsid w:val="003E56FC"/>
    <w:rsid w:val="004410E3"/>
    <w:rsid w:val="00457FB1"/>
    <w:rsid w:val="0048773F"/>
    <w:rsid w:val="00491C82"/>
    <w:rsid w:val="00517B8E"/>
    <w:rsid w:val="00520773"/>
    <w:rsid w:val="005319F6"/>
    <w:rsid w:val="00532CF4"/>
    <w:rsid w:val="00544D92"/>
    <w:rsid w:val="00587DB4"/>
    <w:rsid w:val="005A0EF2"/>
    <w:rsid w:val="005A4EF2"/>
    <w:rsid w:val="005B7576"/>
    <w:rsid w:val="00647F99"/>
    <w:rsid w:val="006677D5"/>
    <w:rsid w:val="006715F7"/>
    <w:rsid w:val="00682F0C"/>
    <w:rsid w:val="006C21A2"/>
    <w:rsid w:val="006D131C"/>
    <w:rsid w:val="006D612E"/>
    <w:rsid w:val="006E3A53"/>
    <w:rsid w:val="006E4C64"/>
    <w:rsid w:val="00711338"/>
    <w:rsid w:val="007314B9"/>
    <w:rsid w:val="007341CF"/>
    <w:rsid w:val="00760364"/>
    <w:rsid w:val="007605BB"/>
    <w:rsid w:val="00763F55"/>
    <w:rsid w:val="007811FC"/>
    <w:rsid w:val="00781E1D"/>
    <w:rsid w:val="00791AB3"/>
    <w:rsid w:val="00796001"/>
    <w:rsid w:val="007A1BDC"/>
    <w:rsid w:val="007B02F5"/>
    <w:rsid w:val="007B38A4"/>
    <w:rsid w:val="007B4201"/>
    <w:rsid w:val="007B7B9A"/>
    <w:rsid w:val="007C2EE9"/>
    <w:rsid w:val="00804D51"/>
    <w:rsid w:val="00825D8C"/>
    <w:rsid w:val="008C2CCC"/>
    <w:rsid w:val="008D2EE3"/>
    <w:rsid w:val="008D4041"/>
    <w:rsid w:val="008D5B26"/>
    <w:rsid w:val="008F4935"/>
    <w:rsid w:val="008F60AF"/>
    <w:rsid w:val="008F6155"/>
    <w:rsid w:val="00912504"/>
    <w:rsid w:val="009135B3"/>
    <w:rsid w:val="00922189"/>
    <w:rsid w:val="0094081B"/>
    <w:rsid w:val="0095540E"/>
    <w:rsid w:val="009611BE"/>
    <w:rsid w:val="009D3BDC"/>
    <w:rsid w:val="009E1F44"/>
    <w:rsid w:val="00A136EC"/>
    <w:rsid w:val="00AC17D5"/>
    <w:rsid w:val="00AD353F"/>
    <w:rsid w:val="00AD72CD"/>
    <w:rsid w:val="00B01CC2"/>
    <w:rsid w:val="00B0609E"/>
    <w:rsid w:val="00B265E2"/>
    <w:rsid w:val="00B423D4"/>
    <w:rsid w:val="00B576A9"/>
    <w:rsid w:val="00B851EE"/>
    <w:rsid w:val="00B871EE"/>
    <w:rsid w:val="00B96874"/>
    <w:rsid w:val="00C208EA"/>
    <w:rsid w:val="00C22C77"/>
    <w:rsid w:val="00C50C5E"/>
    <w:rsid w:val="00C62953"/>
    <w:rsid w:val="00C64934"/>
    <w:rsid w:val="00C701FA"/>
    <w:rsid w:val="00CB075F"/>
    <w:rsid w:val="00CB2E68"/>
    <w:rsid w:val="00CC0E1E"/>
    <w:rsid w:val="00CE7EE3"/>
    <w:rsid w:val="00D11121"/>
    <w:rsid w:val="00D11342"/>
    <w:rsid w:val="00D20AF0"/>
    <w:rsid w:val="00D55359"/>
    <w:rsid w:val="00D561D1"/>
    <w:rsid w:val="00D65AD4"/>
    <w:rsid w:val="00D765F0"/>
    <w:rsid w:val="00D97488"/>
    <w:rsid w:val="00DB5C92"/>
    <w:rsid w:val="00DC206C"/>
    <w:rsid w:val="00E037CE"/>
    <w:rsid w:val="00E569F4"/>
    <w:rsid w:val="00EB0B10"/>
    <w:rsid w:val="00EB10DE"/>
    <w:rsid w:val="00EB37BF"/>
    <w:rsid w:val="00ED1EB1"/>
    <w:rsid w:val="00EE37E3"/>
    <w:rsid w:val="00EF4877"/>
    <w:rsid w:val="00F15EF8"/>
    <w:rsid w:val="00F40D9E"/>
    <w:rsid w:val="00F45227"/>
    <w:rsid w:val="00F6692B"/>
    <w:rsid w:val="00F674A4"/>
    <w:rsid w:val="00F7676F"/>
    <w:rsid w:val="00F87974"/>
    <w:rsid w:val="00FC60BF"/>
    <w:rsid w:val="00FC73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1CBB21"/>
  <w14:defaultImageDpi w14:val="32767"/>
  <w15:chartTrackingRefBased/>
  <w15:docId w15:val="{B8617663-4947-4A29-B5C1-E64C372DC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612E"/>
    <w:pPr>
      <w:widowControl w:val="0"/>
      <w:jc w:val="both"/>
    </w:pPr>
    <w:rPr>
      <w:rFonts w:ascii="Times New Roman" w:eastAsia="Times New Roman" w:hAnsi="Times New Roman"/>
      <w:sz w:val="20"/>
      <w:lang w:val="en-GB"/>
    </w:rPr>
  </w:style>
  <w:style w:type="paragraph" w:styleId="1">
    <w:name w:val="heading 1"/>
    <w:basedOn w:val="a"/>
    <w:next w:val="a"/>
    <w:link w:val="10"/>
    <w:uiPriority w:val="9"/>
    <w:qFormat/>
    <w:rsid w:val="003E56F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D612E"/>
    <w:pPr>
      <w:keepNext/>
      <w:keepLines/>
      <w:outlineLvl w:val="1"/>
    </w:pPr>
    <w:rPr>
      <w:rFonts w:eastAsiaTheme="majorEastAsia" w:cstheme="majorBidi"/>
      <w:b/>
      <w:bCs/>
      <w:sz w:val="32"/>
      <w:szCs w:val="32"/>
    </w:rPr>
  </w:style>
  <w:style w:type="paragraph" w:styleId="3">
    <w:name w:val="heading 3"/>
    <w:basedOn w:val="a"/>
    <w:next w:val="a"/>
    <w:link w:val="30"/>
    <w:uiPriority w:val="9"/>
    <w:unhideWhenUsed/>
    <w:qFormat/>
    <w:rsid w:val="006D612E"/>
    <w:pPr>
      <w:keepNext/>
      <w:keepLines/>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56FC"/>
    <w:pPr>
      <w:pBdr>
        <w:bottom w:val="single" w:sz="6" w:space="1" w:color="auto"/>
      </w:pBdr>
      <w:tabs>
        <w:tab w:val="center" w:pos="4153"/>
        <w:tab w:val="right" w:pos="8306"/>
      </w:tabs>
      <w:snapToGrid w:val="0"/>
      <w:jc w:val="center"/>
    </w:pPr>
    <w:rPr>
      <w:rFonts w:asciiTheme="minorHAnsi" w:eastAsiaTheme="minorEastAsia" w:hAnsiTheme="minorHAnsi"/>
      <w:sz w:val="18"/>
      <w:szCs w:val="18"/>
    </w:rPr>
  </w:style>
  <w:style w:type="character" w:customStyle="1" w:styleId="a4">
    <w:name w:val="页眉 字符"/>
    <w:basedOn w:val="a0"/>
    <w:link w:val="a3"/>
    <w:uiPriority w:val="99"/>
    <w:rsid w:val="003E56FC"/>
    <w:rPr>
      <w:sz w:val="18"/>
      <w:szCs w:val="18"/>
    </w:rPr>
  </w:style>
  <w:style w:type="paragraph" w:styleId="a5">
    <w:name w:val="footer"/>
    <w:basedOn w:val="a"/>
    <w:link w:val="a6"/>
    <w:uiPriority w:val="99"/>
    <w:unhideWhenUsed/>
    <w:rsid w:val="003E56FC"/>
    <w:pPr>
      <w:tabs>
        <w:tab w:val="center" w:pos="4153"/>
        <w:tab w:val="right" w:pos="8306"/>
      </w:tabs>
      <w:snapToGrid w:val="0"/>
      <w:jc w:val="left"/>
    </w:pPr>
    <w:rPr>
      <w:rFonts w:asciiTheme="minorHAnsi" w:eastAsiaTheme="minorEastAsia" w:hAnsiTheme="minorHAnsi"/>
      <w:sz w:val="18"/>
      <w:szCs w:val="18"/>
    </w:rPr>
  </w:style>
  <w:style w:type="character" w:customStyle="1" w:styleId="a6">
    <w:name w:val="页脚 字符"/>
    <w:basedOn w:val="a0"/>
    <w:link w:val="a5"/>
    <w:uiPriority w:val="99"/>
    <w:rsid w:val="003E56FC"/>
    <w:rPr>
      <w:sz w:val="18"/>
      <w:szCs w:val="18"/>
    </w:rPr>
  </w:style>
  <w:style w:type="table" w:styleId="a7">
    <w:name w:val="Table Grid"/>
    <w:basedOn w:val="a1"/>
    <w:uiPriority w:val="39"/>
    <w:rsid w:val="003E5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3E56FC"/>
    <w:rPr>
      <w:rFonts w:ascii="Times New Roman" w:eastAsia="宋体" w:hAnsi="Times New Roman"/>
      <w:b/>
      <w:bCs/>
      <w:kern w:val="44"/>
      <w:sz w:val="44"/>
      <w:szCs w:val="44"/>
    </w:rPr>
  </w:style>
  <w:style w:type="character" w:customStyle="1" w:styleId="20">
    <w:name w:val="标题 2 字符"/>
    <w:basedOn w:val="a0"/>
    <w:link w:val="2"/>
    <w:uiPriority w:val="9"/>
    <w:rsid w:val="006D612E"/>
    <w:rPr>
      <w:rFonts w:ascii="Times New Roman" w:eastAsiaTheme="majorEastAsia" w:hAnsi="Times New Roman" w:cstheme="majorBidi"/>
      <w:b/>
      <w:bCs/>
      <w:sz w:val="32"/>
      <w:szCs w:val="32"/>
    </w:rPr>
  </w:style>
  <w:style w:type="character" w:customStyle="1" w:styleId="30">
    <w:name w:val="标题 3 字符"/>
    <w:basedOn w:val="a0"/>
    <w:link w:val="3"/>
    <w:uiPriority w:val="9"/>
    <w:rsid w:val="006D612E"/>
    <w:rPr>
      <w:rFonts w:ascii="Times New Roman" w:eastAsia="宋体" w:hAnsi="Times New Roman"/>
      <w:b/>
      <w:bCs/>
      <w:sz w:val="20"/>
      <w:szCs w:val="32"/>
    </w:rPr>
  </w:style>
  <w:style w:type="paragraph" w:styleId="a8">
    <w:name w:val="Bibliography"/>
    <w:basedOn w:val="a"/>
    <w:next w:val="a"/>
    <w:uiPriority w:val="37"/>
    <w:unhideWhenUsed/>
    <w:rsid w:val="00F45227"/>
    <w:pPr>
      <w:tabs>
        <w:tab w:val="left" w:pos="264"/>
      </w:tabs>
      <w:spacing w:line="480" w:lineRule="auto"/>
      <w:ind w:left="264" w:hanging="264"/>
    </w:pPr>
  </w:style>
  <w:style w:type="paragraph" w:styleId="a9">
    <w:name w:val="No Spacing"/>
    <w:uiPriority w:val="1"/>
    <w:qFormat/>
    <w:rsid w:val="00781E1D"/>
    <w:pPr>
      <w:widowControl w:val="0"/>
      <w:jc w:val="both"/>
    </w:pPr>
    <w:rPr>
      <w:rFonts w:ascii="Times New Roman" w:eastAsia="宋体"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978546">
      <w:bodyDiv w:val="1"/>
      <w:marLeft w:val="0"/>
      <w:marRight w:val="0"/>
      <w:marTop w:val="0"/>
      <w:marBottom w:val="0"/>
      <w:divBdr>
        <w:top w:val="none" w:sz="0" w:space="0" w:color="auto"/>
        <w:left w:val="none" w:sz="0" w:space="0" w:color="auto"/>
        <w:bottom w:val="none" w:sz="0" w:space="0" w:color="auto"/>
        <w:right w:val="none" w:sz="0" w:space="0" w:color="auto"/>
      </w:divBdr>
    </w:div>
    <w:div w:id="1380857946">
      <w:bodyDiv w:val="1"/>
      <w:marLeft w:val="0"/>
      <w:marRight w:val="0"/>
      <w:marTop w:val="0"/>
      <w:marBottom w:val="0"/>
      <w:divBdr>
        <w:top w:val="none" w:sz="0" w:space="0" w:color="auto"/>
        <w:left w:val="none" w:sz="0" w:space="0" w:color="auto"/>
        <w:bottom w:val="none" w:sz="0" w:space="0" w:color="auto"/>
        <w:right w:val="none" w:sz="0" w:space="0" w:color="auto"/>
      </w:divBdr>
      <w:divsChild>
        <w:div w:id="976953248">
          <w:marLeft w:val="0"/>
          <w:marRight w:val="0"/>
          <w:marTop w:val="0"/>
          <w:marBottom w:val="0"/>
          <w:divBdr>
            <w:top w:val="none" w:sz="0" w:space="0" w:color="auto"/>
            <w:left w:val="none" w:sz="0" w:space="0" w:color="auto"/>
            <w:bottom w:val="none" w:sz="0" w:space="0" w:color="auto"/>
            <w:right w:val="none" w:sz="0" w:space="0" w:color="auto"/>
          </w:divBdr>
          <w:divsChild>
            <w:div w:id="4305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1.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1682</TotalTime>
  <Pages>15</Pages>
  <Words>4520</Words>
  <Characters>30154</Characters>
  <Application>Microsoft Office Word</Application>
  <DocSecurity>0</DocSecurity>
  <Lines>701</Lines>
  <Paragraphs>385</Paragraphs>
  <ScaleCrop>false</ScaleCrop>
  <Company/>
  <LinksUpToDate>false</LinksUpToDate>
  <CharactersWithSpaces>34289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525367907@qq.com</dc:creator>
  <cp:keywords/>
  <dc:description/>
  <cp:lastModifiedBy>525367907@qq.com</cp:lastModifiedBy>
  <cp:revision>49</cp:revision>
  <dcterms:created xsi:type="dcterms:W3CDTF">2025-07-05T12:36:00Z</dcterms:created>
  <dcterms:modified xsi:type="dcterms:W3CDTF">2025-08-09T15:10:00Z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zotero-version="7.0.21"&gt;&lt;session id="S3yN6oQ6"/&gt;&lt;style id="http://www.zotero.org/styles/nature" hasBibliography="1" bibliographyStyleHasBeenSet="1"/&gt;&lt;prefs&gt;&lt;pref name="fieldType" value="Field"/&gt;&lt;/prefs&gt;&lt;/data&gt;</vt:lpwstr>
  </property>
  <property fmtid="{D5CDD505-2E9C-101B-9397-08002B2CF9AE}" pid="3" name="GrammarlyDocumentId">
    <vt:lpwstr>7895b961-d12c-46cd-b31c-009476c1d18c</vt:lpwstr>
  </property>
</Properties>
</file>