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6701C" w14:textId="77777777" w:rsidR="004F0175" w:rsidRPr="00CF5E3B" w:rsidRDefault="004F0175" w:rsidP="004F0175">
      <w:pPr>
        <w:pStyle w:val="Heading1"/>
        <w:spacing w:line="360" w:lineRule="auto"/>
        <w:rPr>
          <w:rFonts w:ascii="Times New Roman" w:hAnsi="Times New Roman" w:cs="Times New Roman"/>
          <w:b/>
          <w:color w:val="auto"/>
          <w:sz w:val="24"/>
          <w:szCs w:val="24"/>
        </w:rPr>
      </w:pPr>
      <w:r w:rsidRPr="00CF5E3B">
        <w:rPr>
          <w:rFonts w:ascii="Times New Roman" w:hAnsi="Times New Roman" w:cs="Times New Roman"/>
          <w:b/>
          <w:color w:val="auto"/>
          <w:sz w:val="24"/>
          <w:szCs w:val="24"/>
        </w:rPr>
        <w:t xml:space="preserve">Appendix </w:t>
      </w:r>
    </w:p>
    <w:p w14:paraId="7BB795A5" w14:textId="77777777" w:rsidR="004F0175" w:rsidRPr="00D66B82" w:rsidRDefault="004F0175" w:rsidP="004F0175">
      <w:pPr>
        <w:pStyle w:val="Heading2"/>
        <w:spacing w:line="360" w:lineRule="auto"/>
        <w:jc w:val="center"/>
        <w:rPr>
          <w:rFonts w:ascii="Times New Roman" w:hAnsi="Times New Roman" w:cs="Times New Roman"/>
          <w:b/>
          <w:bCs/>
          <w:color w:val="auto"/>
          <w:sz w:val="24"/>
          <w:szCs w:val="24"/>
        </w:rPr>
      </w:pPr>
      <w:r w:rsidRPr="00D66B82">
        <w:rPr>
          <w:rFonts w:ascii="Times New Roman" w:hAnsi="Times New Roman" w:cs="Times New Roman"/>
          <w:b/>
          <w:bCs/>
          <w:color w:val="auto"/>
          <w:sz w:val="24"/>
          <w:szCs w:val="24"/>
        </w:rPr>
        <w:t>Table 3: Taxonomy of Deep Learning Model Architectures for Insider Threat Detection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9"/>
        <w:gridCol w:w="1440"/>
        <w:gridCol w:w="1509"/>
        <w:gridCol w:w="1440"/>
        <w:gridCol w:w="1643"/>
        <w:gridCol w:w="1440"/>
      </w:tblGrid>
      <w:tr w:rsidR="004F0175" w:rsidRPr="00CF5E3B" w14:paraId="20FA33D7" w14:textId="77777777" w:rsidTr="00F1295E">
        <w:tc>
          <w:tcPr>
            <w:tcW w:w="1509" w:type="dxa"/>
          </w:tcPr>
          <w:p w14:paraId="4CF4D2F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Category</w:t>
            </w:r>
          </w:p>
        </w:tc>
        <w:tc>
          <w:tcPr>
            <w:tcW w:w="1440" w:type="dxa"/>
          </w:tcPr>
          <w:p w14:paraId="674E9A5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Models</w:t>
            </w:r>
          </w:p>
        </w:tc>
        <w:tc>
          <w:tcPr>
            <w:tcW w:w="1509" w:type="dxa"/>
          </w:tcPr>
          <w:p w14:paraId="4D84979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Key Features</w:t>
            </w:r>
          </w:p>
        </w:tc>
        <w:tc>
          <w:tcPr>
            <w:tcW w:w="1440" w:type="dxa"/>
          </w:tcPr>
          <w:p w14:paraId="72B81900"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Strengths</w:t>
            </w:r>
          </w:p>
        </w:tc>
        <w:tc>
          <w:tcPr>
            <w:tcW w:w="1643" w:type="dxa"/>
          </w:tcPr>
          <w:p w14:paraId="1BA40818"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Limitations</w:t>
            </w:r>
          </w:p>
        </w:tc>
        <w:tc>
          <w:tcPr>
            <w:tcW w:w="1440" w:type="dxa"/>
          </w:tcPr>
          <w:p w14:paraId="7ED7343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References</w:t>
            </w:r>
          </w:p>
        </w:tc>
      </w:tr>
      <w:tr w:rsidR="004F0175" w:rsidRPr="00CF5E3B" w14:paraId="70F84853" w14:textId="77777777" w:rsidTr="00F1295E">
        <w:tc>
          <w:tcPr>
            <w:tcW w:w="1509" w:type="dxa"/>
          </w:tcPr>
          <w:p w14:paraId="39A37248"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Sequential Models</w:t>
            </w:r>
          </w:p>
        </w:tc>
        <w:tc>
          <w:tcPr>
            <w:tcW w:w="1440" w:type="dxa"/>
          </w:tcPr>
          <w:p w14:paraId="4E64105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LSTM, GRU</w:t>
            </w:r>
          </w:p>
        </w:tc>
        <w:tc>
          <w:tcPr>
            <w:tcW w:w="1509" w:type="dxa"/>
          </w:tcPr>
          <w:p w14:paraId="6FD2DD4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Captures temporal dependencies</w:t>
            </w:r>
          </w:p>
        </w:tc>
        <w:tc>
          <w:tcPr>
            <w:tcW w:w="1440" w:type="dxa"/>
          </w:tcPr>
          <w:p w14:paraId="07809FB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Good for sequential behaviour logs</w:t>
            </w:r>
          </w:p>
        </w:tc>
        <w:tc>
          <w:tcPr>
            <w:tcW w:w="1643" w:type="dxa"/>
          </w:tcPr>
          <w:p w14:paraId="6C7B6FDD"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Struggles with long-term context</w:t>
            </w:r>
          </w:p>
        </w:tc>
        <w:tc>
          <w:tcPr>
            <w:tcW w:w="1440" w:type="dxa"/>
          </w:tcPr>
          <w:p w14:paraId="567F6952" w14:textId="77777777" w:rsidR="004F0175" w:rsidRPr="00CF5E3B" w:rsidRDefault="004F0175" w:rsidP="00F1295E">
            <w:pPr>
              <w:spacing w:line="360" w:lineRule="auto"/>
              <w:jc w:val="both"/>
              <w:rPr>
                <w:rFonts w:ascii="Times New Roman" w:hAnsi="Times New Roman" w:cs="Times New Roman"/>
                <w:sz w:val="24"/>
                <w:szCs w:val="24"/>
              </w:rPr>
            </w:pPr>
            <w:sdt>
              <w:sdtPr>
                <w:rPr>
                  <w:rFonts w:ascii="Times New Roman" w:hAnsi="Times New Roman" w:cs="Times New Roman"/>
                  <w:color w:val="000000"/>
                  <w:sz w:val="24"/>
                  <w:szCs w:val="24"/>
                </w:rPr>
                <w:tag w:val="MENDELEY_CITATION_v3_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"/>
                <w:id w:val="147482466"/>
                <w:placeholder>
                  <w:docPart w:val="F1064570F9614C17AB1AF52298AF739A"/>
                </w:placeholder>
              </w:sdtPr>
              <w:sdtContent>
                <w:r w:rsidRPr="00DC015B">
                  <w:rPr>
                    <w:rFonts w:ascii="Times New Roman" w:hAnsi="Times New Roman" w:cs="Times New Roman"/>
                    <w:color w:val="000000"/>
                    <w:sz w:val="24"/>
                    <w:szCs w:val="24"/>
                  </w:rPr>
                  <w:t>(Song et al., 2024c)</w:t>
                </w:r>
              </w:sdtContent>
            </w:sdt>
          </w:p>
        </w:tc>
      </w:tr>
      <w:tr w:rsidR="004F0175" w:rsidRPr="00CF5E3B" w14:paraId="44B88B0C" w14:textId="77777777" w:rsidTr="00F1295E">
        <w:tc>
          <w:tcPr>
            <w:tcW w:w="1509" w:type="dxa"/>
          </w:tcPr>
          <w:p w14:paraId="7FFB9AAD"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Attention-Enhanced Models</w:t>
            </w:r>
          </w:p>
        </w:tc>
        <w:tc>
          <w:tcPr>
            <w:tcW w:w="1440" w:type="dxa"/>
          </w:tcPr>
          <w:p w14:paraId="7269C8D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LSTM-Attention, Transformer</w:t>
            </w:r>
          </w:p>
        </w:tc>
        <w:tc>
          <w:tcPr>
            <w:tcW w:w="1509" w:type="dxa"/>
          </w:tcPr>
          <w:p w14:paraId="5F4BEDC0"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Focuses dynamically on critical points</w:t>
            </w:r>
          </w:p>
        </w:tc>
        <w:tc>
          <w:tcPr>
            <w:tcW w:w="1440" w:type="dxa"/>
          </w:tcPr>
          <w:p w14:paraId="7EECB76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Improves detection sensitivity</w:t>
            </w:r>
          </w:p>
        </w:tc>
        <w:tc>
          <w:tcPr>
            <w:tcW w:w="1643" w:type="dxa"/>
          </w:tcPr>
          <w:p w14:paraId="5A444C98"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Computational complexity; needs large datasets</w:t>
            </w:r>
          </w:p>
        </w:tc>
        <w:tc>
          <w:tcPr>
            <w:tcW w:w="1440" w:type="dxa"/>
          </w:tcPr>
          <w:p w14:paraId="093B585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Zhao et al. (2024); Amiri-Zarandi et al. (2023)</w:t>
            </w:r>
          </w:p>
        </w:tc>
      </w:tr>
      <w:tr w:rsidR="004F0175" w:rsidRPr="00CF5E3B" w14:paraId="43AB650D" w14:textId="77777777" w:rsidTr="00F1295E">
        <w:tc>
          <w:tcPr>
            <w:tcW w:w="1509" w:type="dxa"/>
          </w:tcPr>
          <w:p w14:paraId="76BB20D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Graph-Based Models</w:t>
            </w:r>
          </w:p>
        </w:tc>
        <w:tc>
          <w:tcPr>
            <w:tcW w:w="1440" w:type="dxa"/>
          </w:tcPr>
          <w:p w14:paraId="03E82EB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GCN, GAT, DeepRel-ID</w:t>
            </w:r>
          </w:p>
        </w:tc>
        <w:tc>
          <w:tcPr>
            <w:tcW w:w="1509" w:type="dxa"/>
          </w:tcPr>
          <w:p w14:paraId="7D546B4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Captures entity relationships</w:t>
            </w:r>
          </w:p>
        </w:tc>
        <w:tc>
          <w:tcPr>
            <w:tcW w:w="1440" w:type="dxa"/>
          </w:tcPr>
          <w:p w14:paraId="2AA3A1D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Good for multi-entity interactions</w:t>
            </w:r>
          </w:p>
        </w:tc>
        <w:tc>
          <w:tcPr>
            <w:tcW w:w="1643" w:type="dxa"/>
          </w:tcPr>
          <w:p w14:paraId="6284671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Lacks sentiment modelling unless augmented</w:t>
            </w:r>
          </w:p>
        </w:tc>
        <w:tc>
          <w:tcPr>
            <w:tcW w:w="1440" w:type="dxa"/>
          </w:tcPr>
          <w:p w14:paraId="0C73706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Xu et al. (2024); DeepRel-ID (2024)</w:t>
            </w:r>
          </w:p>
        </w:tc>
      </w:tr>
      <w:tr w:rsidR="004F0175" w:rsidRPr="00CF5E3B" w14:paraId="34D8E3EC" w14:textId="77777777" w:rsidTr="00F1295E">
        <w:tc>
          <w:tcPr>
            <w:tcW w:w="1509" w:type="dxa"/>
          </w:tcPr>
          <w:p w14:paraId="21506A7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Hybrid Architectures</w:t>
            </w:r>
          </w:p>
        </w:tc>
        <w:tc>
          <w:tcPr>
            <w:tcW w:w="1440" w:type="dxa"/>
          </w:tcPr>
          <w:p w14:paraId="2510CFF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CNN-LSTM, GNN-LSTM</w:t>
            </w:r>
          </w:p>
        </w:tc>
        <w:tc>
          <w:tcPr>
            <w:tcW w:w="1509" w:type="dxa"/>
          </w:tcPr>
          <w:p w14:paraId="1106F8D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Combines spatial, sequential, relational analysis</w:t>
            </w:r>
          </w:p>
        </w:tc>
        <w:tc>
          <w:tcPr>
            <w:tcW w:w="1440" w:type="dxa"/>
          </w:tcPr>
          <w:p w14:paraId="53844BB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Robust for multi-modal behaviours</w:t>
            </w:r>
          </w:p>
        </w:tc>
        <w:tc>
          <w:tcPr>
            <w:tcW w:w="1643" w:type="dxa"/>
          </w:tcPr>
          <w:p w14:paraId="15593A2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Risk of overfitting without context</w:t>
            </w:r>
          </w:p>
        </w:tc>
        <w:tc>
          <w:tcPr>
            <w:tcW w:w="1440" w:type="dxa"/>
          </w:tcPr>
          <w:p w14:paraId="1B194E2D"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Li et al. (2024)</w:t>
            </w:r>
          </w:p>
        </w:tc>
      </w:tr>
      <w:tr w:rsidR="004F0175" w:rsidRPr="00CF5E3B" w14:paraId="3DD8FCE1" w14:textId="77777777" w:rsidTr="00F1295E">
        <w:tc>
          <w:tcPr>
            <w:tcW w:w="1509" w:type="dxa"/>
          </w:tcPr>
          <w:p w14:paraId="7FACAAD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Meta-Learning Models</w:t>
            </w:r>
          </w:p>
        </w:tc>
        <w:tc>
          <w:tcPr>
            <w:tcW w:w="1440" w:type="dxa"/>
          </w:tcPr>
          <w:p w14:paraId="1E22558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GMFITD</w:t>
            </w:r>
          </w:p>
        </w:tc>
        <w:tc>
          <w:tcPr>
            <w:tcW w:w="1509" w:type="dxa"/>
          </w:tcPr>
          <w:p w14:paraId="263876C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Learns from few samples</w:t>
            </w:r>
          </w:p>
        </w:tc>
        <w:tc>
          <w:tcPr>
            <w:tcW w:w="1440" w:type="dxa"/>
          </w:tcPr>
          <w:p w14:paraId="5F30D25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Useful for rare insider events</w:t>
            </w:r>
          </w:p>
        </w:tc>
        <w:tc>
          <w:tcPr>
            <w:tcW w:w="1643" w:type="dxa"/>
          </w:tcPr>
          <w:p w14:paraId="6F01E94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Needs behaviourally rich data</w:t>
            </w:r>
          </w:p>
        </w:tc>
        <w:tc>
          <w:tcPr>
            <w:tcW w:w="1440" w:type="dxa"/>
          </w:tcPr>
          <w:p w14:paraId="375E75C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Li et al. (2024)</w:t>
            </w:r>
          </w:p>
        </w:tc>
      </w:tr>
    </w:tbl>
    <w:p w14:paraId="486A164F" w14:textId="77777777" w:rsidR="004F0175" w:rsidRPr="00CF5E3B" w:rsidRDefault="004F0175" w:rsidP="004F0175">
      <w:pPr>
        <w:spacing w:line="360" w:lineRule="auto"/>
        <w:jc w:val="both"/>
        <w:rPr>
          <w:rFonts w:ascii="Times New Roman" w:hAnsi="Times New Roman" w:cs="Times New Roman"/>
          <w:sz w:val="24"/>
          <w:szCs w:val="24"/>
        </w:rPr>
      </w:pPr>
    </w:p>
    <w:p w14:paraId="28E6B4FC" w14:textId="77777777" w:rsidR="004F0175" w:rsidRPr="00CF5E3B" w:rsidRDefault="004F0175" w:rsidP="004F0175">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lastRenderedPageBreak/>
        <w:t xml:space="preserve">Table 3 categorizes deep learning architectures applied to insider threat detection, distinguishing sequential, attention-based, graph-based, hybrid, and meta-learning models, highlighting their strengths in capturing technical and behavioural anomalies while noting their limitations in detecting sociocognitive manipulations, based on evidence from recent studies </w:t>
      </w:r>
    </w:p>
    <w:p w14:paraId="35B9EAAF" w14:textId="77777777" w:rsidR="004F0175" w:rsidRPr="00CF5E3B" w:rsidRDefault="004F0175" w:rsidP="004F0175">
      <w:pPr>
        <w:pStyle w:val="Heading2"/>
        <w:spacing w:line="360" w:lineRule="auto"/>
        <w:jc w:val="both"/>
        <w:rPr>
          <w:rFonts w:ascii="Times New Roman" w:hAnsi="Times New Roman" w:cs="Times New Roman"/>
          <w:color w:val="auto"/>
          <w:sz w:val="24"/>
          <w:szCs w:val="24"/>
        </w:rPr>
      </w:pPr>
    </w:p>
    <w:p w14:paraId="386D0BD3" w14:textId="77777777" w:rsidR="004F0175" w:rsidRPr="00FA308F" w:rsidRDefault="004F0175" w:rsidP="004F0175">
      <w:pPr>
        <w:pStyle w:val="Heading2"/>
        <w:spacing w:line="360" w:lineRule="auto"/>
        <w:jc w:val="center"/>
        <w:rPr>
          <w:rFonts w:ascii="Times New Roman" w:hAnsi="Times New Roman" w:cs="Times New Roman"/>
          <w:b/>
          <w:bCs/>
          <w:color w:val="auto"/>
          <w:sz w:val="24"/>
          <w:szCs w:val="24"/>
        </w:rPr>
      </w:pPr>
      <w:r w:rsidRPr="00FA308F">
        <w:rPr>
          <w:rFonts w:ascii="Times New Roman" w:hAnsi="Times New Roman" w:cs="Times New Roman"/>
          <w:b/>
          <w:bCs/>
          <w:color w:val="auto"/>
          <w:sz w:val="24"/>
          <w:szCs w:val="24"/>
        </w:rPr>
        <w:t>Table 4: Taxonomy of Datasets with Behavioural and Contextual Representation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2281"/>
        <w:gridCol w:w="1154"/>
        <w:gridCol w:w="1420"/>
        <w:gridCol w:w="1331"/>
        <w:gridCol w:w="1598"/>
      </w:tblGrid>
      <w:tr w:rsidR="004F0175" w:rsidRPr="00CF5E3B" w14:paraId="4BA82F05" w14:textId="77777777" w:rsidTr="00F1295E">
        <w:tc>
          <w:tcPr>
            <w:tcW w:w="1513" w:type="dxa"/>
          </w:tcPr>
          <w:p w14:paraId="4A6B65B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Dataset</w:t>
            </w:r>
          </w:p>
        </w:tc>
        <w:tc>
          <w:tcPr>
            <w:tcW w:w="2198" w:type="dxa"/>
          </w:tcPr>
          <w:p w14:paraId="152AAD1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Contextual/Behavioral Richness</w:t>
            </w:r>
          </w:p>
        </w:tc>
        <w:tc>
          <w:tcPr>
            <w:tcW w:w="1116" w:type="dxa"/>
          </w:tcPr>
          <w:p w14:paraId="213F5CB8"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Strengths</w:t>
            </w:r>
          </w:p>
        </w:tc>
        <w:tc>
          <w:tcPr>
            <w:tcW w:w="1371" w:type="dxa"/>
          </w:tcPr>
          <w:p w14:paraId="16D4C10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Limitations</w:t>
            </w:r>
          </w:p>
        </w:tc>
        <w:tc>
          <w:tcPr>
            <w:tcW w:w="1286" w:type="dxa"/>
          </w:tcPr>
          <w:p w14:paraId="7AFD2C1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Social Engineering Present</w:t>
            </w:r>
          </w:p>
        </w:tc>
        <w:tc>
          <w:tcPr>
            <w:tcW w:w="1542" w:type="dxa"/>
          </w:tcPr>
          <w:p w14:paraId="5D922BD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References</w:t>
            </w:r>
          </w:p>
        </w:tc>
      </w:tr>
      <w:tr w:rsidR="004F0175" w:rsidRPr="00CF5E3B" w14:paraId="5A7A807C" w14:textId="77777777" w:rsidTr="00F1295E">
        <w:tc>
          <w:tcPr>
            <w:tcW w:w="1513" w:type="dxa"/>
          </w:tcPr>
          <w:p w14:paraId="0E20A5D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CERT Insider Threat Dataset (v4.2–v6.2)</w:t>
            </w:r>
          </w:p>
        </w:tc>
        <w:tc>
          <w:tcPr>
            <w:tcW w:w="2198" w:type="dxa"/>
          </w:tcPr>
          <w:p w14:paraId="1586E67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Moderate (synthetic behaviors)</w:t>
            </w:r>
          </w:p>
        </w:tc>
        <w:tc>
          <w:tcPr>
            <w:tcW w:w="1116" w:type="dxa"/>
          </w:tcPr>
          <w:p w14:paraId="734480B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Multi-activity, easy access</w:t>
            </w:r>
          </w:p>
        </w:tc>
        <w:tc>
          <w:tcPr>
            <w:tcW w:w="1371" w:type="dxa"/>
          </w:tcPr>
          <w:p w14:paraId="260B586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Lacks emotional, relational manipulation</w:t>
            </w:r>
          </w:p>
        </w:tc>
        <w:tc>
          <w:tcPr>
            <w:tcW w:w="1286" w:type="dxa"/>
          </w:tcPr>
          <w:p w14:paraId="1C4C4D5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Absent</w:t>
            </w:r>
          </w:p>
        </w:tc>
        <w:tc>
          <w:tcPr>
            <w:tcW w:w="1542" w:type="dxa"/>
          </w:tcPr>
          <w:p w14:paraId="364043E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Randive et al. (2023); Chattopadhyay et al. (2024)</w:t>
            </w:r>
          </w:p>
        </w:tc>
      </w:tr>
      <w:tr w:rsidR="004F0175" w:rsidRPr="00CF5E3B" w14:paraId="4CFA3EEC" w14:textId="77777777" w:rsidTr="00F1295E">
        <w:tc>
          <w:tcPr>
            <w:tcW w:w="1513" w:type="dxa"/>
          </w:tcPr>
          <w:p w14:paraId="28A0076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DARPA1999</w:t>
            </w:r>
          </w:p>
        </w:tc>
        <w:tc>
          <w:tcPr>
            <w:tcW w:w="2198" w:type="dxa"/>
          </w:tcPr>
          <w:p w14:paraId="1E4841D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Low (technical attacks)</w:t>
            </w:r>
          </w:p>
        </w:tc>
        <w:tc>
          <w:tcPr>
            <w:tcW w:w="1116" w:type="dxa"/>
          </w:tcPr>
          <w:p w14:paraId="5512F65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Standard for network anomaly detection</w:t>
            </w:r>
          </w:p>
        </w:tc>
        <w:tc>
          <w:tcPr>
            <w:tcW w:w="1371" w:type="dxa"/>
          </w:tcPr>
          <w:p w14:paraId="5381B05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Outdated</w:t>
            </w:r>
          </w:p>
        </w:tc>
        <w:tc>
          <w:tcPr>
            <w:tcW w:w="1286" w:type="dxa"/>
          </w:tcPr>
          <w:p w14:paraId="3156C4AF"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Absent</w:t>
            </w:r>
          </w:p>
        </w:tc>
        <w:tc>
          <w:tcPr>
            <w:tcW w:w="1542" w:type="dxa"/>
          </w:tcPr>
          <w:p w14:paraId="68C44790"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Alzaabi et al. (2023)</w:t>
            </w:r>
          </w:p>
        </w:tc>
      </w:tr>
      <w:tr w:rsidR="004F0175" w:rsidRPr="00CF5E3B" w14:paraId="4850E9AF" w14:textId="77777777" w:rsidTr="00F1295E">
        <w:tc>
          <w:tcPr>
            <w:tcW w:w="1513" w:type="dxa"/>
          </w:tcPr>
          <w:p w14:paraId="374CB4E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Enron Email Corpus</w:t>
            </w:r>
          </w:p>
        </w:tc>
        <w:tc>
          <w:tcPr>
            <w:tcW w:w="2198" w:type="dxa"/>
          </w:tcPr>
          <w:p w14:paraId="14C4111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Moderate (real-world communication)</w:t>
            </w:r>
          </w:p>
        </w:tc>
        <w:tc>
          <w:tcPr>
            <w:tcW w:w="1116" w:type="dxa"/>
          </w:tcPr>
          <w:p w14:paraId="40CFF0F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Real emails, relational patterns</w:t>
            </w:r>
          </w:p>
        </w:tc>
        <w:tc>
          <w:tcPr>
            <w:tcW w:w="1371" w:type="dxa"/>
          </w:tcPr>
          <w:p w14:paraId="045C6FF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No insider threat labels</w:t>
            </w:r>
          </w:p>
        </w:tc>
        <w:tc>
          <w:tcPr>
            <w:tcW w:w="1286" w:type="dxa"/>
          </w:tcPr>
          <w:p w14:paraId="693FA1E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Absent</w:t>
            </w:r>
          </w:p>
        </w:tc>
        <w:tc>
          <w:tcPr>
            <w:tcW w:w="1542" w:type="dxa"/>
          </w:tcPr>
          <w:p w14:paraId="493318F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Amiri-Zarandi et al. (2023)</w:t>
            </w:r>
          </w:p>
        </w:tc>
      </w:tr>
      <w:tr w:rsidR="004F0175" w:rsidRPr="00CF5E3B" w14:paraId="0251F2CA" w14:textId="77777777" w:rsidTr="00F1295E">
        <w:tc>
          <w:tcPr>
            <w:tcW w:w="1513" w:type="dxa"/>
          </w:tcPr>
          <w:p w14:paraId="6321BC6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Proprietary Organizational Logs</w:t>
            </w:r>
          </w:p>
        </w:tc>
        <w:tc>
          <w:tcPr>
            <w:tcW w:w="2198" w:type="dxa"/>
          </w:tcPr>
          <w:p w14:paraId="2044E55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High (if available)</w:t>
            </w:r>
          </w:p>
        </w:tc>
        <w:tc>
          <w:tcPr>
            <w:tcW w:w="1116" w:type="dxa"/>
          </w:tcPr>
          <w:p w14:paraId="0E1E864F"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High realism</w:t>
            </w:r>
          </w:p>
        </w:tc>
        <w:tc>
          <w:tcPr>
            <w:tcW w:w="1371" w:type="dxa"/>
          </w:tcPr>
          <w:p w14:paraId="4413406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Rare, privacy issues</w:t>
            </w:r>
          </w:p>
        </w:tc>
        <w:tc>
          <w:tcPr>
            <w:tcW w:w="1286" w:type="dxa"/>
          </w:tcPr>
          <w:p w14:paraId="319B19C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Rare</w:t>
            </w:r>
          </w:p>
        </w:tc>
        <w:tc>
          <w:tcPr>
            <w:tcW w:w="1542" w:type="dxa"/>
          </w:tcPr>
          <w:p w14:paraId="2639612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Ghosh et al. (2023)</w:t>
            </w:r>
          </w:p>
        </w:tc>
      </w:tr>
      <w:tr w:rsidR="004F0175" w:rsidRPr="00CF5E3B" w14:paraId="57829140" w14:textId="77777777" w:rsidTr="00F1295E">
        <w:tc>
          <w:tcPr>
            <w:tcW w:w="1513" w:type="dxa"/>
          </w:tcPr>
          <w:p w14:paraId="1CDBD10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lastRenderedPageBreak/>
              <w:t>Synthetic Augmented Data</w:t>
            </w:r>
          </w:p>
        </w:tc>
        <w:tc>
          <w:tcPr>
            <w:tcW w:w="2198" w:type="dxa"/>
          </w:tcPr>
          <w:p w14:paraId="37EEC260"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Moderate (GAN-based)</w:t>
            </w:r>
          </w:p>
        </w:tc>
        <w:tc>
          <w:tcPr>
            <w:tcW w:w="1116" w:type="dxa"/>
          </w:tcPr>
          <w:p w14:paraId="5DA3BCA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Solves class imbalance</w:t>
            </w:r>
          </w:p>
        </w:tc>
        <w:tc>
          <w:tcPr>
            <w:tcW w:w="1371" w:type="dxa"/>
          </w:tcPr>
          <w:p w14:paraId="6D8871EF"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No cognitive manipulation</w:t>
            </w:r>
          </w:p>
        </w:tc>
        <w:tc>
          <w:tcPr>
            <w:tcW w:w="1286" w:type="dxa"/>
          </w:tcPr>
          <w:p w14:paraId="2687CAE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Absent</w:t>
            </w:r>
          </w:p>
        </w:tc>
        <w:tc>
          <w:tcPr>
            <w:tcW w:w="1542" w:type="dxa"/>
          </w:tcPr>
          <w:p w14:paraId="4280853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Song et al. (2024)</w:t>
            </w:r>
          </w:p>
        </w:tc>
      </w:tr>
    </w:tbl>
    <w:p w14:paraId="470B2608" w14:textId="77777777" w:rsidR="004F0175" w:rsidRPr="00CF5E3B" w:rsidRDefault="004F0175" w:rsidP="004F0175">
      <w:pPr>
        <w:spacing w:line="360" w:lineRule="auto"/>
        <w:jc w:val="both"/>
        <w:rPr>
          <w:rFonts w:ascii="Times New Roman" w:hAnsi="Times New Roman" w:cs="Times New Roman"/>
          <w:sz w:val="24"/>
          <w:szCs w:val="24"/>
        </w:rPr>
      </w:pPr>
    </w:p>
    <w:p w14:paraId="11BEDC52" w14:textId="77777777" w:rsidR="004F0175" w:rsidRPr="00CF5E3B" w:rsidRDefault="004F0175" w:rsidP="004F0175">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Table 4 evaluates the main datasets used for training insider threat detection models, such as CERT, DARPA1999, and Enron, emphasizing their contextual and behavioural limitations particularly the absence of realistic social engineering events thus underscoring dataset biases that constrain human-factor threat detection.</w:t>
      </w:r>
    </w:p>
    <w:p w14:paraId="62170057" w14:textId="77777777" w:rsidR="004F0175" w:rsidRPr="00CF5E3B" w:rsidRDefault="004F0175" w:rsidP="004F0175">
      <w:pPr>
        <w:pStyle w:val="Heading2"/>
        <w:spacing w:line="360" w:lineRule="auto"/>
        <w:jc w:val="both"/>
        <w:rPr>
          <w:rFonts w:ascii="Times New Roman" w:hAnsi="Times New Roman" w:cs="Times New Roman"/>
          <w:color w:val="auto"/>
          <w:sz w:val="24"/>
          <w:szCs w:val="24"/>
        </w:rPr>
      </w:pPr>
    </w:p>
    <w:p w14:paraId="2774FF8B" w14:textId="77777777" w:rsidR="004F0175" w:rsidRPr="00FA308F" w:rsidRDefault="004F0175" w:rsidP="004F0175">
      <w:pPr>
        <w:pStyle w:val="Heading2"/>
        <w:spacing w:line="360" w:lineRule="auto"/>
        <w:jc w:val="center"/>
        <w:rPr>
          <w:rFonts w:ascii="Times New Roman" w:hAnsi="Times New Roman" w:cs="Times New Roman"/>
          <w:b/>
          <w:bCs/>
          <w:color w:val="auto"/>
          <w:sz w:val="24"/>
          <w:szCs w:val="24"/>
        </w:rPr>
      </w:pPr>
      <w:r w:rsidRPr="00FA308F">
        <w:rPr>
          <w:rFonts w:ascii="Times New Roman" w:hAnsi="Times New Roman" w:cs="Times New Roman"/>
          <w:b/>
          <w:bCs/>
          <w:color w:val="auto"/>
          <w:sz w:val="24"/>
          <w:szCs w:val="24"/>
        </w:rPr>
        <w:t>Table 5: Taxonomy of Evaluation Metrics and Their Limitations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0"/>
        <w:gridCol w:w="1700"/>
        <w:gridCol w:w="1694"/>
        <w:gridCol w:w="2243"/>
        <w:gridCol w:w="1699"/>
      </w:tblGrid>
      <w:tr w:rsidR="004F0175" w:rsidRPr="00CF5E3B" w14:paraId="4CA95860" w14:textId="77777777" w:rsidTr="00F1295E">
        <w:tc>
          <w:tcPr>
            <w:tcW w:w="1690" w:type="dxa"/>
          </w:tcPr>
          <w:p w14:paraId="4E7C4D9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Metric</w:t>
            </w:r>
          </w:p>
        </w:tc>
        <w:tc>
          <w:tcPr>
            <w:tcW w:w="1700" w:type="dxa"/>
          </w:tcPr>
          <w:p w14:paraId="11B9686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Focus</w:t>
            </w:r>
          </w:p>
        </w:tc>
        <w:tc>
          <w:tcPr>
            <w:tcW w:w="1694" w:type="dxa"/>
          </w:tcPr>
          <w:p w14:paraId="10E638D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Strengths</w:t>
            </w:r>
          </w:p>
        </w:tc>
        <w:tc>
          <w:tcPr>
            <w:tcW w:w="2243" w:type="dxa"/>
          </w:tcPr>
          <w:p w14:paraId="6B20582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Limitations</w:t>
            </w:r>
          </w:p>
        </w:tc>
        <w:tc>
          <w:tcPr>
            <w:tcW w:w="1699" w:type="dxa"/>
          </w:tcPr>
          <w:p w14:paraId="52E23F7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References</w:t>
            </w:r>
          </w:p>
        </w:tc>
      </w:tr>
      <w:tr w:rsidR="004F0175" w:rsidRPr="00CF5E3B" w14:paraId="7600F512" w14:textId="77777777" w:rsidTr="00F1295E">
        <w:tc>
          <w:tcPr>
            <w:tcW w:w="1690" w:type="dxa"/>
          </w:tcPr>
          <w:p w14:paraId="17B031C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Precision</w:t>
            </w:r>
          </w:p>
        </w:tc>
        <w:tc>
          <w:tcPr>
            <w:tcW w:w="1700" w:type="dxa"/>
          </w:tcPr>
          <w:p w14:paraId="5D73073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Positive prediction accuracy</w:t>
            </w:r>
          </w:p>
        </w:tc>
        <w:tc>
          <w:tcPr>
            <w:tcW w:w="1694" w:type="dxa"/>
          </w:tcPr>
          <w:p w14:paraId="20E7E9D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Reduces false positives</w:t>
            </w:r>
          </w:p>
        </w:tc>
        <w:tc>
          <w:tcPr>
            <w:tcW w:w="2243" w:type="dxa"/>
          </w:tcPr>
          <w:p w14:paraId="7C020343"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Misses nuanced manipulations</w:t>
            </w:r>
          </w:p>
        </w:tc>
        <w:tc>
          <w:tcPr>
            <w:tcW w:w="1699" w:type="dxa"/>
          </w:tcPr>
          <w:p w14:paraId="744429B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Randive et al. (2023)</w:t>
            </w:r>
          </w:p>
        </w:tc>
      </w:tr>
      <w:tr w:rsidR="004F0175" w:rsidRPr="00CF5E3B" w14:paraId="37148DB4" w14:textId="77777777" w:rsidTr="00F1295E">
        <w:tc>
          <w:tcPr>
            <w:tcW w:w="1690" w:type="dxa"/>
          </w:tcPr>
          <w:p w14:paraId="1DC6982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Recall</w:t>
            </w:r>
          </w:p>
        </w:tc>
        <w:tc>
          <w:tcPr>
            <w:tcW w:w="1700" w:type="dxa"/>
          </w:tcPr>
          <w:p w14:paraId="66C8815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True positive detection</w:t>
            </w:r>
          </w:p>
        </w:tc>
        <w:tc>
          <w:tcPr>
            <w:tcW w:w="1694" w:type="dxa"/>
          </w:tcPr>
          <w:p w14:paraId="35179B2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Captures more malicious actions</w:t>
            </w:r>
          </w:p>
        </w:tc>
        <w:tc>
          <w:tcPr>
            <w:tcW w:w="2243" w:type="dxa"/>
          </w:tcPr>
          <w:p w14:paraId="65A84D9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High false alarms</w:t>
            </w:r>
          </w:p>
        </w:tc>
        <w:tc>
          <w:tcPr>
            <w:tcW w:w="1699" w:type="dxa"/>
          </w:tcPr>
          <w:p w14:paraId="04B5373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Zhao et al. (2024)</w:t>
            </w:r>
          </w:p>
        </w:tc>
      </w:tr>
      <w:tr w:rsidR="004F0175" w:rsidRPr="00CF5E3B" w14:paraId="781C7C0F" w14:textId="77777777" w:rsidTr="00F1295E">
        <w:tc>
          <w:tcPr>
            <w:tcW w:w="1690" w:type="dxa"/>
          </w:tcPr>
          <w:p w14:paraId="2A8CFFD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F1-Score</w:t>
            </w:r>
          </w:p>
        </w:tc>
        <w:tc>
          <w:tcPr>
            <w:tcW w:w="1700" w:type="dxa"/>
          </w:tcPr>
          <w:p w14:paraId="7E40BA7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Balance of Precision and Recall</w:t>
            </w:r>
          </w:p>
        </w:tc>
        <w:tc>
          <w:tcPr>
            <w:tcW w:w="1694" w:type="dxa"/>
          </w:tcPr>
          <w:p w14:paraId="143D763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Good under class imbalance</w:t>
            </w:r>
          </w:p>
        </w:tc>
        <w:tc>
          <w:tcPr>
            <w:tcW w:w="2243" w:type="dxa"/>
          </w:tcPr>
          <w:p w14:paraId="14EDDF4D"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Misses emotional/contextual drift</w:t>
            </w:r>
          </w:p>
        </w:tc>
        <w:tc>
          <w:tcPr>
            <w:tcW w:w="1699" w:type="dxa"/>
          </w:tcPr>
          <w:p w14:paraId="049C37FC"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Xu et al. (2024)</w:t>
            </w:r>
          </w:p>
        </w:tc>
      </w:tr>
      <w:tr w:rsidR="004F0175" w:rsidRPr="00CF5E3B" w14:paraId="7885EFCE" w14:textId="77777777" w:rsidTr="00F1295E">
        <w:tc>
          <w:tcPr>
            <w:tcW w:w="1690" w:type="dxa"/>
          </w:tcPr>
          <w:p w14:paraId="77D0508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Accuracy</w:t>
            </w:r>
          </w:p>
        </w:tc>
        <w:tc>
          <w:tcPr>
            <w:tcW w:w="1700" w:type="dxa"/>
          </w:tcPr>
          <w:p w14:paraId="0DADEEF0"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Overall correctness</w:t>
            </w:r>
          </w:p>
        </w:tc>
        <w:tc>
          <w:tcPr>
            <w:tcW w:w="1694" w:type="dxa"/>
          </w:tcPr>
          <w:p w14:paraId="64B420F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Simple to compute</w:t>
            </w:r>
          </w:p>
        </w:tc>
        <w:tc>
          <w:tcPr>
            <w:tcW w:w="2243" w:type="dxa"/>
          </w:tcPr>
          <w:p w14:paraId="6D616AE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Misleading under imbalance</w:t>
            </w:r>
          </w:p>
        </w:tc>
        <w:tc>
          <w:tcPr>
            <w:tcW w:w="1699" w:type="dxa"/>
          </w:tcPr>
          <w:p w14:paraId="4D4F5BE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Alzaabi et al. (2023)</w:t>
            </w:r>
          </w:p>
        </w:tc>
      </w:tr>
      <w:tr w:rsidR="004F0175" w:rsidRPr="00CF5E3B" w14:paraId="18C929BE" w14:textId="77777777" w:rsidTr="00F1295E">
        <w:tc>
          <w:tcPr>
            <w:tcW w:w="1690" w:type="dxa"/>
          </w:tcPr>
          <w:p w14:paraId="454D9CD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AUC-ROC</w:t>
            </w:r>
          </w:p>
        </w:tc>
        <w:tc>
          <w:tcPr>
            <w:tcW w:w="1700" w:type="dxa"/>
          </w:tcPr>
          <w:p w14:paraId="4D867FE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Trade-off between TPR and FPR</w:t>
            </w:r>
          </w:p>
        </w:tc>
        <w:tc>
          <w:tcPr>
            <w:tcW w:w="1694" w:type="dxa"/>
          </w:tcPr>
          <w:p w14:paraId="3BE5A9A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Captures general detection quality</w:t>
            </w:r>
          </w:p>
        </w:tc>
        <w:tc>
          <w:tcPr>
            <w:tcW w:w="2243" w:type="dxa"/>
          </w:tcPr>
          <w:p w14:paraId="74AADC69"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Blind to socio-cognitive threats</w:t>
            </w:r>
          </w:p>
        </w:tc>
        <w:tc>
          <w:tcPr>
            <w:tcW w:w="1699" w:type="dxa"/>
          </w:tcPr>
          <w:p w14:paraId="59D6996F"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Amiri-Zarandi et al. (2023)</w:t>
            </w:r>
          </w:p>
        </w:tc>
      </w:tr>
    </w:tbl>
    <w:p w14:paraId="78531F82" w14:textId="77777777" w:rsidR="004F0175" w:rsidRPr="00CF5E3B" w:rsidRDefault="004F0175" w:rsidP="004F0175">
      <w:pPr>
        <w:spacing w:line="360" w:lineRule="auto"/>
        <w:jc w:val="both"/>
        <w:rPr>
          <w:rFonts w:ascii="Times New Roman" w:hAnsi="Times New Roman" w:cs="Times New Roman"/>
          <w:sz w:val="24"/>
          <w:szCs w:val="24"/>
        </w:rPr>
      </w:pPr>
    </w:p>
    <w:p w14:paraId="27ECB4FD" w14:textId="77777777" w:rsidR="004F0175" w:rsidRPr="00CF5E3B" w:rsidRDefault="004F0175" w:rsidP="004F0175">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Table 5 reviews the evaluation metrics commonly adopted in insider threat studies, including Precision, Recall, F1-Score, Accuracy, and AUC-ROC, illustrating their technical utility but critiquing their inadequacy in assessing relational, emotional, or psychological insider threat scenarios (Randive et al., 2023; Xu et al., 2024; Amiri-Zarandi et al., 2023).</w:t>
      </w:r>
    </w:p>
    <w:p w14:paraId="3EE82401" w14:textId="77777777" w:rsidR="004F0175" w:rsidRPr="00CF5E3B" w:rsidRDefault="004F0175" w:rsidP="004F0175">
      <w:pPr>
        <w:pStyle w:val="Heading2"/>
        <w:spacing w:line="360" w:lineRule="auto"/>
        <w:jc w:val="both"/>
        <w:rPr>
          <w:rFonts w:ascii="Times New Roman" w:hAnsi="Times New Roman" w:cs="Times New Roman"/>
          <w:color w:val="auto"/>
          <w:sz w:val="24"/>
          <w:szCs w:val="24"/>
        </w:rPr>
      </w:pPr>
    </w:p>
    <w:p w14:paraId="6ABA08E3" w14:textId="77777777" w:rsidR="004F0175" w:rsidRPr="00FA308F" w:rsidRDefault="004F0175" w:rsidP="004F0175">
      <w:pPr>
        <w:pStyle w:val="Heading2"/>
        <w:spacing w:line="360" w:lineRule="auto"/>
        <w:jc w:val="center"/>
        <w:rPr>
          <w:rFonts w:ascii="Times New Roman" w:hAnsi="Times New Roman" w:cs="Times New Roman"/>
          <w:b/>
          <w:bCs/>
          <w:color w:val="auto"/>
          <w:sz w:val="24"/>
          <w:szCs w:val="24"/>
        </w:rPr>
      </w:pPr>
      <w:r w:rsidRPr="00FA308F">
        <w:rPr>
          <w:rFonts w:ascii="Times New Roman" w:hAnsi="Times New Roman" w:cs="Times New Roman"/>
          <w:b/>
          <w:bCs/>
          <w:color w:val="auto"/>
          <w:sz w:val="24"/>
          <w:szCs w:val="24"/>
        </w:rPr>
        <w:t>Table 6: Taxonomy of Research Directions for Insider Threat Detection</w:t>
      </w:r>
    </w:p>
    <w:tbl>
      <w:tblPr>
        <w:tblW w:w="9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8"/>
        <w:gridCol w:w="3248"/>
        <w:gridCol w:w="3248"/>
      </w:tblGrid>
      <w:tr w:rsidR="004F0175" w:rsidRPr="00CF5E3B" w14:paraId="3806702D" w14:textId="77777777" w:rsidTr="00F1295E">
        <w:trPr>
          <w:trHeight w:val="769"/>
        </w:trPr>
        <w:tc>
          <w:tcPr>
            <w:tcW w:w="3248" w:type="dxa"/>
          </w:tcPr>
          <w:p w14:paraId="7DF3D41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Research Dimension</w:t>
            </w:r>
          </w:p>
        </w:tc>
        <w:tc>
          <w:tcPr>
            <w:tcW w:w="3248" w:type="dxa"/>
          </w:tcPr>
          <w:p w14:paraId="0E1C5837"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Proposed Solution</w:t>
            </w:r>
          </w:p>
        </w:tc>
        <w:tc>
          <w:tcPr>
            <w:tcW w:w="3248" w:type="dxa"/>
          </w:tcPr>
          <w:p w14:paraId="7070F22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Research Need</w:t>
            </w:r>
          </w:p>
        </w:tc>
      </w:tr>
      <w:tr w:rsidR="004F0175" w:rsidRPr="00CF5E3B" w14:paraId="18CAF3E0" w14:textId="77777777" w:rsidTr="00F1295E">
        <w:trPr>
          <w:trHeight w:val="1727"/>
        </w:trPr>
        <w:tc>
          <w:tcPr>
            <w:tcW w:w="3248" w:type="dxa"/>
          </w:tcPr>
          <w:p w14:paraId="6A0A363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Socio-Behavioural DL Models</w:t>
            </w:r>
          </w:p>
        </w:tc>
        <w:tc>
          <w:tcPr>
            <w:tcW w:w="3248" w:type="dxa"/>
          </w:tcPr>
          <w:p w14:paraId="24CE4A2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Integrate sentiment, trust, cognitive stress</w:t>
            </w:r>
          </w:p>
        </w:tc>
        <w:tc>
          <w:tcPr>
            <w:tcW w:w="3248" w:type="dxa"/>
          </w:tcPr>
          <w:p w14:paraId="18FF64CE"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Detect Cognitive behavioural organisational internal manipulations</w:t>
            </w:r>
          </w:p>
        </w:tc>
      </w:tr>
      <w:tr w:rsidR="004F0175" w:rsidRPr="00CF5E3B" w14:paraId="225CCBE0" w14:textId="77777777" w:rsidTr="00F1295E">
        <w:trPr>
          <w:trHeight w:val="1085"/>
        </w:trPr>
        <w:tc>
          <w:tcPr>
            <w:tcW w:w="3248" w:type="dxa"/>
          </w:tcPr>
          <w:p w14:paraId="3CFAA554"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Realistic Social Engineering Datasets</w:t>
            </w:r>
          </w:p>
        </w:tc>
        <w:tc>
          <w:tcPr>
            <w:tcW w:w="3248" w:type="dxa"/>
          </w:tcPr>
          <w:p w14:paraId="76A54FE5"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Develop datasets with internal manipulation</w:t>
            </w:r>
          </w:p>
        </w:tc>
        <w:tc>
          <w:tcPr>
            <w:tcW w:w="3248" w:type="dxa"/>
          </w:tcPr>
          <w:p w14:paraId="3EF6EFDD"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Enable training on human-centric behaviours</w:t>
            </w:r>
          </w:p>
        </w:tc>
      </w:tr>
      <w:tr w:rsidR="004F0175" w:rsidRPr="00CF5E3B" w14:paraId="3A186D83" w14:textId="77777777" w:rsidTr="00F1295E">
        <w:trPr>
          <w:trHeight w:val="1085"/>
        </w:trPr>
        <w:tc>
          <w:tcPr>
            <w:tcW w:w="3248" w:type="dxa"/>
          </w:tcPr>
          <w:p w14:paraId="5D061B0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New Evaluation Metrics</w:t>
            </w:r>
          </w:p>
        </w:tc>
        <w:tc>
          <w:tcPr>
            <w:tcW w:w="3248" w:type="dxa"/>
          </w:tcPr>
          <w:p w14:paraId="4E46CBE8"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Create context-sensitive metrics</w:t>
            </w:r>
          </w:p>
        </w:tc>
        <w:tc>
          <w:tcPr>
            <w:tcW w:w="3248" w:type="dxa"/>
          </w:tcPr>
          <w:p w14:paraId="0D09554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 trust breaches, emotional drift</w:t>
            </w:r>
          </w:p>
        </w:tc>
      </w:tr>
      <w:tr w:rsidR="004F0175" w:rsidRPr="00CF5E3B" w14:paraId="478A7D87" w14:textId="77777777" w:rsidTr="00F1295E">
        <w:trPr>
          <w:trHeight w:val="1085"/>
        </w:trPr>
        <w:tc>
          <w:tcPr>
            <w:tcW w:w="3248" w:type="dxa"/>
          </w:tcPr>
          <w:p w14:paraId="562E1EB1"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Adaptive Drift Detection</w:t>
            </w:r>
          </w:p>
        </w:tc>
        <w:tc>
          <w:tcPr>
            <w:tcW w:w="3248" w:type="dxa"/>
          </w:tcPr>
          <w:p w14:paraId="425C5FEA"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Build dynamic trust models</w:t>
            </w:r>
          </w:p>
        </w:tc>
        <w:tc>
          <w:tcPr>
            <w:tcW w:w="3248" w:type="dxa"/>
          </w:tcPr>
          <w:p w14:paraId="6CD8784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Capture evolving insider manipulation</w:t>
            </w:r>
          </w:p>
        </w:tc>
      </w:tr>
      <w:tr w:rsidR="004F0175" w:rsidRPr="00CF5E3B" w14:paraId="27B5A719" w14:textId="77777777" w:rsidTr="00F1295E">
        <w:trPr>
          <w:trHeight w:val="1085"/>
        </w:trPr>
        <w:tc>
          <w:tcPr>
            <w:tcW w:w="3248" w:type="dxa"/>
          </w:tcPr>
          <w:p w14:paraId="26FE8022"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Explainable AI for Human Factors</w:t>
            </w:r>
          </w:p>
        </w:tc>
        <w:tc>
          <w:tcPr>
            <w:tcW w:w="3248" w:type="dxa"/>
          </w:tcPr>
          <w:p w14:paraId="0C8654E6"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Explain deviations based on cognitive states</w:t>
            </w:r>
          </w:p>
        </w:tc>
        <w:tc>
          <w:tcPr>
            <w:tcW w:w="3248" w:type="dxa"/>
          </w:tcPr>
          <w:p w14:paraId="1873A60B" w14:textId="77777777" w:rsidR="004F0175" w:rsidRPr="00CF5E3B" w:rsidRDefault="004F0175" w:rsidP="00F1295E">
            <w:pPr>
              <w:spacing w:line="360" w:lineRule="auto"/>
              <w:jc w:val="both"/>
              <w:rPr>
                <w:rFonts w:ascii="Times New Roman" w:hAnsi="Times New Roman" w:cs="Times New Roman"/>
                <w:sz w:val="24"/>
                <w:szCs w:val="24"/>
              </w:rPr>
            </w:pPr>
            <w:r w:rsidRPr="00CF5E3B">
              <w:rPr>
                <w:rFonts w:ascii="Times New Roman" w:hAnsi="Times New Roman" w:cs="Times New Roman"/>
                <w:sz w:val="24"/>
                <w:szCs w:val="24"/>
              </w:rPr>
              <w:t>Enhance analyst trust and response</w:t>
            </w:r>
          </w:p>
        </w:tc>
      </w:tr>
    </w:tbl>
    <w:p w14:paraId="7ED83F46" w14:textId="77777777" w:rsidR="004F0175" w:rsidRDefault="004F0175" w:rsidP="004F0175">
      <w:pPr>
        <w:spacing w:line="360" w:lineRule="auto"/>
        <w:jc w:val="both"/>
        <w:rPr>
          <w:rFonts w:ascii="Times New Roman" w:hAnsi="Times New Roman" w:cs="Times New Roman"/>
          <w:sz w:val="24"/>
          <w:szCs w:val="24"/>
        </w:rPr>
      </w:pPr>
    </w:p>
    <w:p w14:paraId="49004E6D" w14:textId="77777777" w:rsidR="004F0175" w:rsidRDefault="004F0175" w:rsidP="004F0175">
      <w:pPr>
        <w:spacing w:line="360" w:lineRule="auto"/>
        <w:jc w:val="both"/>
        <w:rPr>
          <w:rFonts w:ascii="Times New Roman" w:hAnsi="Times New Roman" w:cs="Times New Roman"/>
          <w:sz w:val="24"/>
          <w:szCs w:val="24"/>
        </w:rPr>
      </w:pPr>
    </w:p>
    <w:p w14:paraId="2BCD77F3" w14:textId="77777777" w:rsidR="004F0175" w:rsidRDefault="004F0175" w:rsidP="004F0175">
      <w:pPr>
        <w:spacing w:line="360" w:lineRule="auto"/>
        <w:jc w:val="both"/>
        <w:rPr>
          <w:rFonts w:ascii="Times New Roman" w:hAnsi="Times New Roman" w:cs="Times New Roman"/>
          <w:b/>
          <w:bCs/>
          <w:sz w:val="24"/>
          <w:szCs w:val="24"/>
        </w:rPr>
      </w:pPr>
    </w:p>
    <w:p w14:paraId="047F82A4" w14:textId="77777777" w:rsidR="004F0175" w:rsidRDefault="004F0175" w:rsidP="004F0175">
      <w:pPr>
        <w:pStyle w:val="Heading1"/>
        <w:spacing w:line="360" w:lineRule="auto"/>
        <w:jc w:val="center"/>
        <w:rPr>
          <w:rFonts w:ascii="Times New Roman" w:hAnsi="Times New Roman" w:cs="Times New Roman"/>
          <w:b/>
          <w:bCs/>
          <w:color w:val="auto"/>
          <w:sz w:val="24"/>
          <w:szCs w:val="24"/>
        </w:rPr>
      </w:pPr>
      <w:r w:rsidRPr="00D66B82">
        <w:rPr>
          <w:rFonts w:ascii="Times New Roman" w:hAnsi="Times New Roman" w:cs="Times New Roman"/>
          <w:b/>
          <w:bCs/>
          <w:color w:val="auto"/>
          <w:sz w:val="24"/>
          <w:szCs w:val="24"/>
        </w:rPr>
        <w:lastRenderedPageBreak/>
        <w:t xml:space="preserve">Table7: </w:t>
      </w:r>
      <w:r>
        <w:rPr>
          <w:rFonts w:ascii="Times New Roman" w:hAnsi="Times New Roman" w:cs="Times New Roman"/>
          <w:b/>
          <w:bCs/>
          <w:color w:val="auto"/>
          <w:sz w:val="24"/>
          <w:szCs w:val="24"/>
        </w:rPr>
        <w:t>Summary of u</w:t>
      </w:r>
      <w:r w:rsidRPr="00D66B82">
        <w:rPr>
          <w:rFonts w:ascii="Times New Roman" w:hAnsi="Times New Roman" w:cs="Times New Roman"/>
          <w:b/>
          <w:bCs/>
          <w:color w:val="auto"/>
          <w:sz w:val="24"/>
          <w:szCs w:val="24"/>
        </w:rPr>
        <w:t xml:space="preserve">nique </w:t>
      </w:r>
      <w:r>
        <w:rPr>
          <w:rFonts w:ascii="Times New Roman" w:hAnsi="Times New Roman" w:cs="Times New Roman"/>
          <w:b/>
          <w:bCs/>
          <w:color w:val="auto"/>
          <w:sz w:val="24"/>
          <w:szCs w:val="24"/>
        </w:rPr>
        <w:t>c</w:t>
      </w:r>
      <w:r w:rsidRPr="00D66B82">
        <w:rPr>
          <w:rFonts w:ascii="Times New Roman" w:hAnsi="Times New Roman" w:cs="Times New Roman"/>
          <w:b/>
          <w:bCs/>
          <w:color w:val="auto"/>
          <w:sz w:val="24"/>
          <w:szCs w:val="24"/>
        </w:rPr>
        <w:t xml:space="preserve">ontributions of </w:t>
      </w:r>
      <w:r>
        <w:rPr>
          <w:rFonts w:ascii="Times New Roman" w:hAnsi="Times New Roman" w:cs="Times New Roman"/>
          <w:b/>
          <w:bCs/>
          <w:color w:val="auto"/>
          <w:sz w:val="24"/>
          <w:szCs w:val="24"/>
        </w:rPr>
        <w:t>t</w:t>
      </w:r>
      <w:r w:rsidRPr="00D66B82">
        <w:rPr>
          <w:rFonts w:ascii="Times New Roman" w:hAnsi="Times New Roman" w:cs="Times New Roman"/>
          <w:b/>
          <w:bCs/>
          <w:color w:val="auto"/>
          <w:sz w:val="24"/>
          <w:szCs w:val="24"/>
        </w:rPr>
        <w:t xml:space="preserve">his </w:t>
      </w:r>
      <w:r>
        <w:rPr>
          <w:rFonts w:ascii="Times New Roman" w:hAnsi="Times New Roman" w:cs="Times New Roman"/>
          <w:b/>
          <w:bCs/>
          <w:color w:val="auto"/>
          <w:sz w:val="24"/>
          <w:szCs w:val="24"/>
        </w:rPr>
        <w:t>s</w:t>
      </w:r>
      <w:r w:rsidRPr="00D66B82">
        <w:rPr>
          <w:rFonts w:ascii="Times New Roman" w:hAnsi="Times New Roman" w:cs="Times New Roman"/>
          <w:b/>
          <w:bCs/>
          <w:color w:val="auto"/>
          <w:sz w:val="24"/>
          <w:szCs w:val="24"/>
        </w:rPr>
        <w:t xml:space="preserve">tudy </w:t>
      </w:r>
      <w:r>
        <w:rPr>
          <w:rFonts w:ascii="Times New Roman" w:hAnsi="Times New Roman" w:cs="Times New Roman"/>
          <w:b/>
          <w:bCs/>
          <w:color w:val="auto"/>
          <w:sz w:val="24"/>
          <w:szCs w:val="24"/>
        </w:rPr>
        <w:t>c</w:t>
      </w:r>
      <w:r w:rsidRPr="00D66B82">
        <w:rPr>
          <w:rFonts w:ascii="Times New Roman" w:hAnsi="Times New Roman" w:cs="Times New Roman"/>
          <w:b/>
          <w:bCs/>
          <w:color w:val="auto"/>
          <w:sz w:val="24"/>
          <w:szCs w:val="24"/>
        </w:rPr>
        <w:t xml:space="preserve">ompared to </w:t>
      </w:r>
      <w:r>
        <w:rPr>
          <w:rFonts w:ascii="Times New Roman" w:hAnsi="Times New Roman" w:cs="Times New Roman"/>
          <w:b/>
          <w:bCs/>
          <w:color w:val="auto"/>
          <w:sz w:val="24"/>
          <w:szCs w:val="24"/>
        </w:rPr>
        <w:t>p</w:t>
      </w:r>
      <w:r w:rsidRPr="00D66B82">
        <w:rPr>
          <w:rFonts w:ascii="Times New Roman" w:hAnsi="Times New Roman" w:cs="Times New Roman"/>
          <w:b/>
          <w:bCs/>
          <w:color w:val="auto"/>
          <w:sz w:val="24"/>
          <w:szCs w:val="24"/>
        </w:rPr>
        <w:t xml:space="preserve">rior </w:t>
      </w:r>
      <w:r>
        <w:rPr>
          <w:rFonts w:ascii="Times New Roman" w:hAnsi="Times New Roman" w:cs="Times New Roman"/>
          <w:b/>
          <w:bCs/>
          <w:color w:val="auto"/>
          <w:sz w:val="24"/>
          <w:szCs w:val="24"/>
        </w:rPr>
        <w:t>w</w:t>
      </w:r>
      <w:r w:rsidRPr="00D66B82">
        <w:rPr>
          <w:rFonts w:ascii="Times New Roman" w:hAnsi="Times New Roman" w:cs="Times New Roman"/>
          <w:b/>
          <w:bCs/>
          <w:color w:val="auto"/>
          <w:sz w:val="24"/>
          <w:szCs w:val="24"/>
        </w:rPr>
        <w:t>ork</w:t>
      </w:r>
    </w:p>
    <w:p w14:paraId="2AC38D7E" w14:textId="77777777" w:rsidR="004F0175" w:rsidRPr="004F6039" w:rsidRDefault="004F0175" w:rsidP="004F0175"/>
    <w:tbl>
      <w:tblPr>
        <w:tblStyle w:val="TableGrid"/>
        <w:tblW w:w="10199" w:type="dxa"/>
        <w:tblLook w:val="04A0" w:firstRow="1" w:lastRow="0" w:firstColumn="1" w:lastColumn="0" w:noHBand="0" w:noVBand="1"/>
      </w:tblPr>
      <w:tblGrid>
        <w:gridCol w:w="852"/>
        <w:gridCol w:w="1576"/>
        <w:gridCol w:w="3749"/>
        <w:gridCol w:w="4022"/>
      </w:tblGrid>
      <w:tr w:rsidR="004F0175" w14:paraId="3EF4196F" w14:textId="77777777" w:rsidTr="00F1295E">
        <w:trPr>
          <w:trHeight w:val="1190"/>
        </w:trPr>
        <w:tc>
          <w:tcPr>
            <w:tcW w:w="852" w:type="dxa"/>
          </w:tcPr>
          <w:p w14:paraId="2B17F24B" w14:textId="77777777" w:rsidR="004F0175" w:rsidRDefault="004F0175" w:rsidP="00F1295E">
            <w:pPr>
              <w:spacing w:line="360" w:lineRule="auto"/>
              <w:jc w:val="center"/>
              <w:rPr>
                <w:sz w:val="24"/>
                <w:szCs w:val="24"/>
              </w:rPr>
            </w:pPr>
            <w:r>
              <w:rPr>
                <w:sz w:val="24"/>
                <w:szCs w:val="24"/>
              </w:rPr>
              <w:t>No</w:t>
            </w:r>
          </w:p>
        </w:tc>
        <w:tc>
          <w:tcPr>
            <w:tcW w:w="1576" w:type="dxa"/>
          </w:tcPr>
          <w:p w14:paraId="50B6E0B7" w14:textId="77777777" w:rsidR="004F0175" w:rsidRDefault="004F0175" w:rsidP="00F1295E">
            <w:pPr>
              <w:spacing w:line="360" w:lineRule="auto"/>
              <w:jc w:val="center"/>
              <w:rPr>
                <w:sz w:val="24"/>
                <w:szCs w:val="24"/>
              </w:rPr>
            </w:pPr>
            <w:r>
              <w:rPr>
                <w:sz w:val="24"/>
                <w:szCs w:val="24"/>
              </w:rPr>
              <w:t>Aspect</w:t>
            </w:r>
          </w:p>
        </w:tc>
        <w:tc>
          <w:tcPr>
            <w:tcW w:w="3749" w:type="dxa"/>
          </w:tcPr>
          <w:p w14:paraId="12D7B289" w14:textId="77777777" w:rsidR="004F0175" w:rsidRDefault="004F0175" w:rsidP="00F1295E">
            <w:pPr>
              <w:spacing w:line="360" w:lineRule="auto"/>
              <w:jc w:val="center"/>
              <w:rPr>
                <w:sz w:val="24"/>
                <w:szCs w:val="24"/>
              </w:rPr>
            </w:pPr>
            <w:r>
              <w:rPr>
                <w:sz w:val="24"/>
                <w:szCs w:val="24"/>
              </w:rPr>
              <w:t xml:space="preserve">Previous work with references  </w:t>
            </w:r>
          </w:p>
        </w:tc>
        <w:tc>
          <w:tcPr>
            <w:tcW w:w="4022" w:type="dxa"/>
          </w:tcPr>
          <w:p w14:paraId="77E8F461" w14:textId="77777777" w:rsidR="004F0175" w:rsidRDefault="004F0175" w:rsidP="00F1295E">
            <w:pPr>
              <w:spacing w:line="360" w:lineRule="auto"/>
              <w:jc w:val="center"/>
              <w:rPr>
                <w:sz w:val="24"/>
                <w:szCs w:val="24"/>
              </w:rPr>
            </w:pPr>
            <w:r>
              <w:rPr>
                <w:sz w:val="24"/>
                <w:szCs w:val="24"/>
              </w:rPr>
              <w:t>This Study (2025</w:t>
            </w:r>
          </w:p>
        </w:tc>
      </w:tr>
      <w:tr w:rsidR="004F0175" w14:paraId="07EF3A9A" w14:textId="77777777" w:rsidTr="00F1295E">
        <w:trPr>
          <w:trHeight w:val="1190"/>
        </w:trPr>
        <w:tc>
          <w:tcPr>
            <w:tcW w:w="852" w:type="dxa"/>
          </w:tcPr>
          <w:p w14:paraId="35809C41" w14:textId="77777777" w:rsidR="004F0175" w:rsidRDefault="004F0175" w:rsidP="00F1295E">
            <w:pPr>
              <w:spacing w:line="360" w:lineRule="auto"/>
              <w:jc w:val="center"/>
              <w:rPr>
                <w:sz w:val="24"/>
                <w:szCs w:val="24"/>
              </w:rPr>
            </w:pPr>
            <w:r>
              <w:rPr>
                <w:sz w:val="24"/>
                <w:szCs w:val="24"/>
              </w:rPr>
              <w:t>1</w:t>
            </w:r>
          </w:p>
        </w:tc>
        <w:tc>
          <w:tcPr>
            <w:tcW w:w="1576" w:type="dxa"/>
          </w:tcPr>
          <w:p w14:paraId="21F736CB" w14:textId="77777777" w:rsidR="004F0175" w:rsidRDefault="004F0175" w:rsidP="00F1295E">
            <w:pPr>
              <w:spacing w:line="360" w:lineRule="auto"/>
              <w:jc w:val="center"/>
              <w:rPr>
                <w:sz w:val="24"/>
                <w:szCs w:val="24"/>
              </w:rPr>
            </w:pPr>
            <w:r>
              <w:rPr>
                <w:sz w:val="24"/>
                <w:szCs w:val="24"/>
              </w:rPr>
              <w:t>Signal Modalities Used</w:t>
            </w:r>
          </w:p>
        </w:tc>
        <w:tc>
          <w:tcPr>
            <w:tcW w:w="3749" w:type="dxa"/>
          </w:tcPr>
          <w:p w14:paraId="23FDC0AC" w14:textId="77777777" w:rsidR="004F0175" w:rsidRDefault="004F0175" w:rsidP="00F1295E">
            <w:pPr>
              <w:spacing w:line="360" w:lineRule="auto"/>
              <w:jc w:val="center"/>
              <w:rPr>
                <w:sz w:val="24"/>
                <w:szCs w:val="24"/>
              </w:rPr>
            </w:pPr>
            <w:r>
              <w:rPr>
                <w:sz w:val="24"/>
                <w:szCs w:val="24"/>
              </w:rPr>
              <w:t>System activity logs: login, file access (Yuan &amp; Wu, 2021; Kamatchi &amp; Uma, 2025)</w:t>
            </w:r>
          </w:p>
        </w:tc>
        <w:tc>
          <w:tcPr>
            <w:tcW w:w="4022" w:type="dxa"/>
          </w:tcPr>
          <w:p w14:paraId="58D53F6E" w14:textId="77777777" w:rsidR="004F0175" w:rsidRDefault="004F0175" w:rsidP="00F1295E">
            <w:pPr>
              <w:spacing w:line="360" w:lineRule="auto"/>
              <w:jc w:val="center"/>
              <w:rPr>
                <w:sz w:val="24"/>
                <w:szCs w:val="24"/>
              </w:rPr>
            </w:pPr>
            <w:r>
              <w:rPr>
                <w:sz w:val="24"/>
                <w:szCs w:val="24"/>
              </w:rPr>
              <w:t>Behavioral signals + Procedural deviations + Psychological/emotional signals</w:t>
            </w:r>
          </w:p>
        </w:tc>
      </w:tr>
      <w:tr w:rsidR="004F0175" w14:paraId="43BCC66F" w14:textId="77777777" w:rsidTr="00F1295E">
        <w:trPr>
          <w:trHeight w:val="1190"/>
        </w:trPr>
        <w:tc>
          <w:tcPr>
            <w:tcW w:w="852" w:type="dxa"/>
          </w:tcPr>
          <w:p w14:paraId="7FA7DF0A" w14:textId="77777777" w:rsidR="004F0175" w:rsidRDefault="004F0175" w:rsidP="00F1295E">
            <w:pPr>
              <w:spacing w:line="360" w:lineRule="auto"/>
              <w:jc w:val="center"/>
              <w:rPr>
                <w:sz w:val="24"/>
                <w:szCs w:val="24"/>
              </w:rPr>
            </w:pPr>
            <w:r>
              <w:rPr>
                <w:sz w:val="24"/>
                <w:szCs w:val="24"/>
              </w:rPr>
              <w:t>2</w:t>
            </w:r>
          </w:p>
        </w:tc>
        <w:tc>
          <w:tcPr>
            <w:tcW w:w="1576" w:type="dxa"/>
          </w:tcPr>
          <w:p w14:paraId="66246C34" w14:textId="77777777" w:rsidR="004F0175" w:rsidRDefault="004F0175" w:rsidP="00F1295E">
            <w:pPr>
              <w:spacing w:line="360" w:lineRule="auto"/>
              <w:jc w:val="center"/>
              <w:rPr>
                <w:sz w:val="24"/>
                <w:szCs w:val="24"/>
              </w:rPr>
            </w:pPr>
            <w:r>
              <w:rPr>
                <w:sz w:val="24"/>
                <w:szCs w:val="24"/>
              </w:rPr>
              <w:t>Detection Focus</w:t>
            </w:r>
          </w:p>
        </w:tc>
        <w:tc>
          <w:tcPr>
            <w:tcW w:w="3749" w:type="dxa"/>
          </w:tcPr>
          <w:p w14:paraId="1E58048C" w14:textId="77777777" w:rsidR="004F0175" w:rsidRDefault="004F0175" w:rsidP="00F1295E">
            <w:pPr>
              <w:spacing w:line="360" w:lineRule="auto"/>
              <w:jc w:val="center"/>
              <w:rPr>
                <w:sz w:val="24"/>
                <w:szCs w:val="24"/>
              </w:rPr>
            </w:pPr>
            <w:r>
              <w:rPr>
                <w:sz w:val="24"/>
                <w:szCs w:val="24"/>
              </w:rPr>
              <w:t>Technical anomalies and behavioral deviations (Pitropakis et al., 2019; Randive et al., 2023)</w:t>
            </w:r>
          </w:p>
        </w:tc>
        <w:tc>
          <w:tcPr>
            <w:tcW w:w="4022" w:type="dxa"/>
          </w:tcPr>
          <w:p w14:paraId="31B339CA" w14:textId="77777777" w:rsidR="004F0175" w:rsidRDefault="004F0175" w:rsidP="00F1295E">
            <w:pPr>
              <w:spacing w:line="360" w:lineRule="auto"/>
              <w:jc w:val="center"/>
              <w:rPr>
                <w:sz w:val="24"/>
                <w:szCs w:val="24"/>
              </w:rPr>
            </w:pPr>
            <w:r>
              <w:rPr>
                <w:sz w:val="24"/>
                <w:szCs w:val="24"/>
              </w:rPr>
              <w:t>Internal social engineering, reverse social engineering, human-centric manipulation</w:t>
            </w:r>
          </w:p>
        </w:tc>
      </w:tr>
      <w:tr w:rsidR="004F0175" w14:paraId="6D4432FD" w14:textId="77777777" w:rsidTr="00F1295E">
        <w:trPr>
          <w:trHeight w:val="1190"/>
        </w:trPr>
        <w:tc>
          <w:tcPr>
            <w:tcW w:w="852" w:type="dxa"/>
          </w:tcPr>
          <w:p w14:paraId="3C15782D" w14:textId="77777777" w:rsidR="004F0175" w:rsidRDefault="004F0175" w:rsidP="00F1295E">
            <w:pPr>
              <w:spacing w:line="360" w:lineRule="auto"/>
              <w:jc w:val="center"/>
              <w:rPr>
                <w:sz w:val="24"/>
                <w:szCs w:val="24"/>
              </w:rPr>
            </w:pPr>
            <w:r>
              <w:rPr>
                <w:sz w:val="24"/>
                <w:szCs w:val="24"/>
              </w:rPr>
              <w:t>3</w:t>
            </w:r>
          </w:p>
        </w:tc>
        <w:tc>
          <w:tcPr>
            <w:tcW w:w="1576" w:type="dxa"/>
          </w:tcPr>
          <w:p w14:paraId="1EB026C0" w14:textId="77777777" w:rsidR="004F0175" w:rsidRDefault="004F0175" w:rsidP="00F1295E">
            <w:pPr>
              <w:spacing w:line="360" w:lineRule="auto"/>
              <w:jc w:val="center"/>
              <w:rPr>
                <w:sz w:val="24"/>
                <w:szCs w:val="24"/>
              </w:rPr>
            </w:pPr>
            <w:r>
              <w:rPr>
                <w:sz w:val="24"/>
                <w:szCs w:val="24"/>
              </w:rPr>
              <w:t>Model Architecture</w:t>
            </w:r>
          </w:p>
        </w:tc>
        <w:tc>
          <w:tcPr>
            <w:tcW w:w="3749" w:type="dxa"/>
          </w:tcPr>
          <w:p w14:paraId="66CB4367" w14:textId="77777777" w:rsidR="004F0175" w:rsidRDefault="004F0175" w:rsidP="00F1295E">
            <w:pPr>
              <w:spacing w:line="360" w:lineRule="auto"/>
              <w:jc w:val="center"/>
              <w:rPr>
                <w:sz w:val="24"/>
                <w:szCs w:val="24"/>
              </w:rPr>
            </w:pPr>
            <w:r>
              <w:rPr>
                <w:sz w:val="24"/>
                <w:szCs w:val="24"/>
              </w:rPr>
              <w:t>Independent LSTM, GRU, GNN, Transformer usage (Ghosh et al., 2023; Zhao et al., 2024)</w:t>
            </w:r>
          </w:p>
        </w:tc>
        <w:tc>
          <w:tcPr>
            <w:tcW w:w="4022" w:type="dxa"/>
          </w:tcPr>
          <w:p w14:paraId="1EE5B457" w14:textId="77777777" w:rsidR="004F0175" w:rsidRDefault="004F0175" w:rsidP="00F1295E">
            <w:pPr>
              <w:spacing w:line="360" w:lineRule="auto"/>
              <w:jc w:val="center"/>
              <w:rPr>
                <w:sz w:val="24"/>
                <w:szCs w:val="24"/>
              </w:rPr>
            </w:pPr>
            <w:r>
              <w:rPr>
                <w:sz w:val="24"/>
                <w:szCs w:val="24"/>
              </w:rPr>
              <w:t>Hybrid DL architecture fusing LSTM, GNN, Attention, Sentiment analysis</w:t>
            </w:r>
          </w:p>
        </w:tc>
      </w:tr>
      <w:tr w:rsidR="004F0175" w14:paraId="680E120C" w14:textId="77777777" w:rsidTr="00F1295E">
        <w:trPr>
          <w:trHeight w:val="468"/>
        </w:trPr>
        <w:tc>
          <w:tcPr>
            <w:tcW w:w="852" w:type="dxa"/>
          </w:tcPr>
          <w:p w14:paraId="6C64F564" w14:textId="77777777" w:rsidR="004F0175" w:rsidRDefault="004F0175" w:rsidP="00F1295E">
            <w:pPr>
              <w:spacing w:line="360" w:lineRule="auto"/>
              <w:jc w:val="center"/>
              <w:rPr>
                <w:sz w:val="24"/>
                <w:szCs w:val="24"/>
              </w:rPr>
            </w:pPr>
            <w:r>
              <w:rPr>
                <w:sz w:val="24"/>
                <w:szCs w:val="24"/>
              </w:rPr>
              <w:t>4</w:t>
            </w:r>
          </w:p>
        </w:tc>
        <w:tc>
          <w:tcPr>
            <w:tcW w:w="1576" w:type="dxa"/>
          </w:tcPr>
          <w:p w14:paraId="7826E34D" w14:textId="77777777" w:rsidR="004F0175" w:rsidRDefault="004F0175" w:rsidP="00F1295E">
            <w:pPr>
              <w:spacing w:line="360" w:lineRule="auto"/>
              <w:jc w:val="center"/>
              <w:rPr>
                <w:sz w:val="24"/>
                <w:szCs w:val="24"/>
              </w:rPr>
            </w:pPr>
            <w:r>
              <w:rPr>
                <w:sz w:val="24"/>
                <w:szCs w:val="24"/>
              </w:rPr>
              <w:t>Explainability</w:t>
            </w:r>
          </w:p>
        </w:tc>
        <w:tc>
          <w:tcPr>
            <w:tcW w:w="3749" w:type="dxa"/>
          </w:tcPr>
          <w:p w14:paraId="06EB096C" w14:textId="77777777" w:rsidR="004F0175" w:rsidRDefault="004F0175" w:rsidP="00F1295E">
            <w:pPr>
              <w:spacing w:line="360" w:lineRule="auto"/>
              <w:jc w:val="center"/>
              <w:rPr>
                <w:sz w:val="24"/>
                <w:szCs w:val="24"/>
              </w:rPr>
            </w:pPr>
            <w:r>
              <w:rPr>
                <w:sz w:val="24"/>
                <w:szCs w:val="24"/>
              </w:rPr>
              <w:t>Limited or optional explainability; black-box models (Randive et al., 2022; Amiri-Zarandi et al., 2023)</w:t>
            </w:r>
          </w:p>
        </w:tc>
        <w:tc>
          <w:tcPr>
            <w:tcW w:w="4022" w:type="dxa"/>
          </w:tcPr>
          <w:p w14:paraId="01D51EDF" w14:textId="77777777" w:rsidR="004F0175" w:rsidRDefault="004F0175" w:rsidP="00F1295E">
            <w:pPr>
              <w:spacing w:line="360" w:lineRule="auto"/>
              <w:jc w:val="center"/>
              <w:rPr>
                <w:sz w:val="24"/>
                <w:szCs w:val="24"/>
              </w:rPr>
            </w:pPr>
            <w:r>
              <w:rPr>
                <w:sz w:val="24"/>
                <w:szCs w:val="24"/>
              </w:rPr>
              <w:t>Built-in Explainable AI modules (SHAP, LIME)</w:t>
            </w:r>
          </w:p>
        </w:tc>
      </w:tr>
      <w:tr w:rsidR="004F0175" w14:paraId="5AAFCEEF" w14:textId="77777777" w:rsidTr="00F1295E">
        <w:trPr>
          <w:trHeight w:val="128"/>
        </w:trPr>
        <w:tc>
          <w:tcPr>
            <w:tcW w:w="852" w:type="dxa"/>
          </w:tcPr>
          <w:p w14:paraId="7ED749AC" w14:textId="77777777" w:rsidR="004F0175" w:rsidRDefault="004F0175" w:rsidP="00F1295E">
            <w:pPr>
              <w:spacing w:line="360" w:lineRule="auto"/>
              <w:jc w:val="center"/>
              <w:rPr>
                <w:sz w:val="24"/>
                <w:szCs w:val="24"/>
              </w:rPr>
            </w:pPr>
            <w:r>
              <w:rPr>
                <w:sz w:val="24"/>
                <w:szCs w:val="24"/>
              </w:rPr>
              <w:t>5</w:t>
            </w:r>
          </w:p>
        </w:tc>
        <w:tc>
          <w:tcPr>
            <w:tcW w:w="1576" w:type="dxa"/>
          </w:tcPr>
          <w:p w14:paraId="2432513C" w14:textId="77777777" w:rsidR="004F0175" w:rsidRDefault="004F0175" w:rsidP="00F1295E">
            <w:pPr>
              <w:spacing w:line="360" w:lineRule="auto"/>
              <w:jc w:val="center"/>
              <w:rPr>
                <w:sz w:val="24"/>
                <w:szCs w:val="24"/>
              </w:rPr>
            </w:pPr>
            <w:r>
              <w:rPr>
                <w:sz w:val="24"/>
                <w:szCs w:val="24"/>
              </w:rPr>
              <w:t>Human Factor Integration</w:t>
            </w:r>
          </w:p>
        </w:tc>
        <w:tc>
          <w:tcPr>
            <w:tcW w:w="3749" w:type="dxa"/>
          </w:tcPr>
          <w:p w14:paraId="3963271D" w14:textId="77777777" w:rsidR="004F0175" w:rsidRDefault="004F0175" w:rsidP="00F1295E">
            <w:pPr>
              <w:spacing w:line="360" w:lineRule="auto"/>
              <w:jc w:val="center"/>
              <w:rPr>
                <w:sz w:val="24"/>
                <w:szCs w:val="24"/>
              </w:rPr>
            </w:pPr>
            <w:r>
              <w:rPr>
                <w:sz w:val="24"/>
                <w:szCs w:val="24"/>
              </w:rPr>
              <w:t>Peripheral or missing human factors (Pitropakis et al., 2019; Krombholz et al., 2015)</w:t>
            </w:r>
          </w:p>
        </w:tc>
        <w:tc>
          <w:tcPr>
            <w:tcW w:w="4022" w:type="dxa"/>
          </w:tcPr>
          <w:p w14:paraId="2BE065D8" w14:textId="77777777" w:rsidR="004F0175" w:rsidRDefault="004F0175" w:rsidP="00F1295E">
            <w:pPr>
              <w:spacing w:line="360" w:lineRule="auto"/>
              <w:jc w:val="center"/>
              <w:rPr>
                <w:sz w:val="24"/>
                <w:szCs w:val="24"/>
              </w:rPr>
            </w:pPr>
            <w:r>
              <w:rPr>
                <w:sz w:val="24"/>
                <w:szCs w:val="24"/>
              </w:rPr>
              <w:t>Core modeling of emotional stress, trust shifts, procedural manipulation</w:t>
            </w:r>
          </w:p>
        </w:tc>
      </w:tr>
      <w:tr w:rsidR="004F0175" w14:paraId="17A2F814" w14:textId="77777777" w:rsidTr="00F1295E">
        <w:trPr>
          <w:trHeight w:val="949"/>
        </w:trPr>
        <w:tc>
          <w:tcPr>
            <w:tcW w:w="852" w:type="dxa"/>
          </w:tcPr>
          <w:p w14:paraId="25A27AE5" w14:textId="77777777" w:rsidR="004F0175" w:rsidRDefault="004F0175" w:rsidP="00F1295E">
            <w:pPr>
              <w:spacing w:line="360" w:lineRule="auto"/>
              <w:jc w:val="center"/>
              <w:rPr>
                <w:sz w:val="24"/>
                <w:szCs w:val="24"/>
              </w:rPr>
            </w:pPr>
            <w:r>
              <w:rPr>
                <w:sz w:val="24"/>
                <w:szCs w:val="24"/>
              </w:rPr>
              <w:t>6</w:t>
            </w:r>
          </w:p>
        </w:tc>
        <w:tc>
          <w:tcPr>
            <w:tcW w:w="1576" w:type="dxa"/>
          </w:tcPr>
          <w:p w14:paraId="65517563" w14:textId="77777777" w:rsidR="004F0175" w:rsidRDefault="004F0175" w:rsidP="00F1295E">
            <w:pPr>
              <w:spacing w:line="360" w:lineRule="auto"/>
              <w:jc w:val="center"/>
              <w:rPr>
                <w:sz w:val="24"/>
                <w:szCs w:val="24"/>
              </w:rPr>
            </w:pPr>
            <w:r>
              <w:rPr>
                <w:sz w:val="24"/>
                <w:szCs w:val="24"/>
              </w:rPr>
              <w:t>Emerging Trends Addressed</w:t>
            </w:r>
          </w:p>
        </w:tc>
        <w:tc>
          <w:tcPr>
            <w:tcW w:w="3749" w:type="dxa"/>
          </w:tcPr>
          <w:p w14:paraId="01113AC6" w14:textId="77777777" w:rsidR="004F0175" w:rsidRDefault="004F0175" w:rsidP="00F1295E">
            <w:pPr>
              <w:spacing w:line="360" w:lineRule="auto"/>
              <w:jc w:val="center"/>
              <w:rPr>
                <w:sz w:val="24"/>
                <w:szCs w:val="24"/>
              </w:rPr>
            </w:pPr>
            <w:r>
              <w:rPr>
                <w:sz w:val="24"/>
                <w:szCs w:val="24"/>
              </w:rPr>
              <w:t>Focused only on anomaly detection (Xu et al., 2024; Huang et al., 2022)</w:t>
            </w:r>
          </w:p>
        </w:tc>
        <w:tc>
          <w:tcPr>
            <w:tcW w:w="4022" w:type="dxa"/>
          </w:tcPr>
          <w:p w14:paraId="0D086F50" w14:textId="77777777" w:rsidR="004F0175" w:rsidRDefault="004F0175" w:rsidP="00F1295E">
            <w:pPr>
              <w:spacing w:line="360" w:lineRule="auto"/>
              <w:jc w:val="center"/>
              <w:rPr>
                <w:sz w:val="24"/>
                <w:szCs w:val="24"/>
              </w:rPr>
            </w:pPr>
            <w:r>
              <w:rPr>
                <w:sz w:val="24"/>
                <w:szCs w:val="24"/>
              </w:rPr>
              <w:t>Future-proofed with socio-cognitive modeling and dynamic insider profiling</w:t>
            </w:r>
          </w:p>
        </w:tc>
      </w:tr>
      <w:tr w:rsidR="004F0175" w14:paraId="64DB8545" w14:textId="77777777" w:rsidTr="00F1295E">
        <w:trPr>
          <w:trHeight w:val="949"/>
        </w:trPr>
        <w:tc>
          <w:tcPr>
            <w:tcW w:w="852" w:type="dxa"/>
          </w:tcPr>
          <w:p w14:paraId="6213D617" w14:textId="77777777" w:rsidR="004F0175" w:rsidRDefault="004F0175" w:rsidP="00F1295E">
            <w:pPr>
              <w:spacing w:line="360" w:lineRule="auto"/>
              <w:jc w:val="center"/>
              <w:rPr>
                <w:sz w:val="24"/>
                <w:szCs w:val="24"/>
              </w:rPr>
            </w:pPr>
            <w:r>
              <w:rPr>
                <w:sz w:val="24"/>
                <w:szCs w:val="24"/>
              </w:rPr>
              <w:t>7</w:t>
            </w:r>
          </w:p>
        </w:tc>
        <w:tc>
          <w:tcPr>
            <w:tcW w:w="1576" w:type="dxa"/>
          </w:tcPr>
          <w:p w14:paraId="2E09291B" w14:textId="77777777" w:rsidR="004F0175" w:rsidRDefault="004F0175" w:rsidP="00F1295E">
            <w:pPr>
              <w:spacing w:line="360" w:lineRule="auto"/>
              <w:jc w:val="center"/>
              <w:rPr>
                <w:sz w:val="24"/>
                <w:szCs w:val="24"/>
              </w:rPr>
            </w:pPr>
            <w:r>
              <w:rPr>
                <w:sz w:val="24"/>
                <w:szCs w:val="24"/>
              </w:rPr>
              <w:t>Dataset Critique</w:t>
            </w:r>
          </w:p>
        </w:tc>
        <w:tc>
          <w:tcPr>
            <w:tcW w:w="3749" w:type="dxa"/>
          </w:tcPr>
          <w:p w14:paraId="307AAC74" w14:textId="77777777" w:rsidR="004F0175" w:rsidRDefault="004F0175" w:rsidP="00F1295E">
            <w:pPr>
              <w:spacing w:line="360" w:lineRule="auto"/>
              <w:jc w:val="center"/>
              <w:rPr>
                <w:sz w:val="24"/>
                <w:szCs w:val="24"/>
              </w:rPr>
            </w:pPr>
            <w:r>
              <w:rPr>
                <w:sz w:val="24"/>
                <w:szCs w:val="24"/>
              </w:rPr>
              <w:t>Reliance on CERT and Enron; no socio-cognitive modeling (Alzaabi et al., 2023; Kim et al., 2019)</w:t>
            </w:r>
          </w:p>
        </w:tc>
        <w:tc>
          <w:tcPr>
            <w:tcW w:w="4022" w:type="dxa"/>
          </w:tcPr>
          <w:p w14:paraId="6D36A818" w14:textId="77777777" w:rsidR="004F0175" w:rsidRDefault="004F0175" w:rsidP="00F1295E">
            <w:pPr>
              <w:spacing w:line="360" w:lineRule="auto"/>
              <w:jc w:val="center"/>
              <w:rPr>
                <w:sz w:val="24"/>
                <w:szCs w:val="24"/>
              </w:rPr>
            </w:pPr>
            <w:r>
              <w:rPr>
                <w:sz w:val="24"/>
                <w:szCs w:val="24"/>
              </w:rPr>
              <w:t>Highlighted lack of socially engineered scenarios; called for enriched datasets</w:t>
            </w:r>
          </w:p>
        </w:tc>
      </w:tr>
    </w:tbl>
    <w:p w14:paraId="54949F47" w14:textId="77777777" w:rsidR="004F0175" w:rsidRDefault="004F0175" w:rsidP="004F0175">
      <w:pPr>
        <w:rPr>
          <w:rFonts w:ascii="Times New Roman" w:hAnsi="Times New Roman" w:cs="Times New Roman"/>
          <w:b/>
          <w:bCs/>
          <w:sz w:val="24"/>
          <w:szCs w:val="24"/>
        </w:rPr>
      </w:pPr>
      <w:r>
        <w:rPr>
          <w:rFonts w:ascii="Times New Roman" w:hAnsi="Times New Roman" w:cs="Times New Roman"/>
          <w:b/>
          <w:bCs/>
          <w:sz w:val="24"/>
          <w:szCs w:val="24"/>
        </w:rPr>
        <w:br w:type="page"/>
      </w:r>
    </w:p>
    <w:p w14:paraId="048C3A3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175"/>
    <w:rsid w:val="00195413"/>
    <w:rsid w:val="003D0186"/>
    <w:rsid w:val="004F0175"/>
    <w:rsid w:val="006D7439"/>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9AADE"/>
  <w15:chartTrackingRefBased/>
  <w15:docId w15:val="{04695C65-8531-43CB-89E2-0359AF6CF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175"/>
    <w:pPr>
      <w:spacing w:line="259" w:lineRule="auto"/>
    </w:pPr>
    <w:rPr>
      <w:sz w:val="22"/>
      <w:szCs w:val="22"/>
      <w:lang w:val="en-MY"/>
      <w14:ligatures w14:val="none"/>
    </w:rPr>
  </w:style>
  <w:style w:type="paragraph" w:styleId="Heading1">
    <w:name w:val="heading 1"/>
    <w:basedOn w:val="Normal"/>
    <w:next w:val="Normal"/>
    <w:link w:val="Heading1Char"/>
    <w:uiPriority w:val="9"/>
    <w:qFormat/>
    <w:rsid w:val="004F017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14:ligatures w14:val="standardContextual"/>
    </w:rPr>
  </w:style>
  <w:style w:type="paragraph" w:styleId="Heading2">
    <w:name w:val="heading 2"/>
    <w:basedOn w:val="Normal"/>
    <w:next w:val="Normal"/>
    <w:link w:val="Heading2Char"/>
    <w:uiPriority w:val="9"/>
    <w:unhideWhenUsed/>
    <w:qFormat/>
    <w:rsid w:val="004F017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14:ligatures w14:val="standardContextual"/>
    </w:rPr>
  </w:style>
  <w:style w:type="paragraph" w:styleId="Heading3">
    <w:name w:val="heading 3"/>
    <w:basedOn w:val="Normal"/>
    <w:next w:val="Normal"/>
    <w:link w:val="Heading3Char"/>
    <w:uiPriority w:val="9"/>
    <w:semiHidden/>
    <w:unhideWhenUsed/>
    <w:qFormat/>
    <w:rsid w:val="004F0175"/>
    <w:pPr>
      <w:keepNext/>
      <w:keepLines/>
      <w:spacing w:before="160" w:after="80" w:line="278" w:lineRule="auto"/>
      <w:outlineLvl w:val="2"/>
    </w:pPr>
    <w:rPr>
      <w:rFonts w:eastAsiaTheme="majorEastAsia" w:cstheme="majorBidi"/>
      <w:color w:val="0F4761" w:themeColor="accent1" w:themeShade="BF"/>
      <w:sz w:val="28"/>
      <w:szCs w:val="28"/>
      <w:lang w:val="en-US"/>
      <w14:ligatures w14:val="standardContextual"/>
    </w:rPr>
  </w:style>
  <w:style w:type="paragraph" w:styleId="Heading4">
    <w:name w:val="heading 4"/>
    <w:basedOn w:val="Normal"/>
    <w:next w:val="Normal"/>
    <w:link w:val="Heading4Char"/>
    <w:uiPriority w:val="9"/>
    <w:semiHidden/>
    <w:unhideWhenUsed/>
    <w:qFormat/>
    <w:rsid w:val="004F0175"/>
    <w:pPr>
      <w:keepNext/>
      <w:keepLines/>
      <w:spacing w:before="80" w:after="40" w:line="278" w:lineRule="auto"/>
      <w:outlineLvl w:val="3"/>
    </w:pPr>
    <w:rPr>
      <w:rFonts w:eastAsiaTheme="majorEastAsia" w:cstheme="majorBidi"/>
      <w:i/>
      <w:iCs/>
      <w:color w:val="0F4761" w:themeColor="accent1" w:themeShade="BF"/>
      <w:sz w:val="24"/>
      <w:szCs w:val="24"/>
      <w:lang w:val="en-US"/>
      <w14:ligatures w14:val="standardContextual"/>
    </w:rPr>
  </w:style>
  <w:style w:type="paragraph" w:styleId="Heading5">
    <w:name w:val="heading 5"/>
    <w:basedOn w:val="Normal"/>
    <w:next w:val="Normal"/>
    <w:link w:val="Heading5Char"/>
    <w:uiPriority w:val="9"/>
    <w:semiHidden/>
    <w:unhideWhenUsed/>
    <w:qFormat/>
    <w:rsid w:val="004F0175"/>
    <w:pPr>
      <w:keepNext/>
      <w:keepLines/>
      <w:spacing w:before="80" w:after="40" w:line="278" w:lineRule="auto"/>
      <w:outlineLvl w:val="4"/>
    </w:pPr>
    <w:rPr>
      <w:rFonts w:eastAsiaTheme="majorEastAsia" w:cstheme="majorBidi"/>
      <w:color w:val="0F4761" w:themeColor="accent1" w:themeShade="BF"/>
      <w:sz w:val="24"/>
      <w:szCs w:val="24"/>
      <w:lang w:val="en-US"/>
      <w14:ligatures w14:val="standardContextual"/>
    </w:rPr>
  </w:style>
  <w:style w:type="paragraph" w:styleId="Heading6">
    <w:name w:val="heading 6"/>
    <w:basedOn w:val="Normal"/>
    <w:next w:val="Normal"/>
    <w:link w:val="Heading6Char"/>
    <w:uiPriority w:val="9"/>
    <w:semiHidden/>
    <w:unhideWhenUsed/>
    <w:qFormat/>
    <w:rsid w:val="004F0175"/>
    <w:pPr>
      <w:keepNext/>
      <w:keepLines/>
      <w:spacing w:before="40" w:after="0" w:line="278" w:lineRule="auto"/>
      <w:outlineLvl w:val="5"/>
    </w:pPr>
    <w:rPr>
      <w:rFonts w:eastAsiaTheme="majorEastAsia" w:cstheme="majorBidi"/>
      <w:i/>
      <w:iCs/>
      <w:color w:val="595959" w:themeColor="text1" w:themeTint="A6"/>
      <w:sz w:val="24"/>
      <w:szCs w:val="24"/>
      <w:lang w:val="en-US"/>
      <w14:ligatures w14:val="standardContextual"/>
    </w:rPr>
  </w:style>
  <w:style w:type="paragraph" w:styleId="Heading7">
    <w:name w:val="heading 7"/>
    <w:basedOn w:val="Normal"/>
    <w:next w:val="Normal"/>
    <w:link w:val="Heading7Char"/>
    <w:uiPriority w:val="9"/>
    <w:semiHidden/>
    <w:unhideWhenUsed/>
    <w:qFormat/>
    <w:rsid w:val="004F0175"/>
    <w:pPr>
      <w:keepNext/>
      <w:keepLines/>
      <w:spacing w:before="40" w:after="0" w:line="278" w:lineRule="auto"/>
      <w:outlineLvl w:val="6"/>
    </w:pPr>
    <w:rPr>
      <w:rFonts w:eastAsiaTheme="majorEastAsia" w:cstheme="majorBidi"/>
      <w:color w:val="595959" w:themeColor="text1" w:themeTint="A6"/>
      <w:sz w:val="24"/>
      <w:szCs w:val="24"/>
      <w:lang w:val="en-US"/>
      <w14:ligatures w14:val="standardContextual"/>
    </w:rPr>
  </w:style>
  <w:style w:type="paragraph" w:styleId="Heading8">
    <w:name w:val="heading 8"/>
    <w:basedOn w:val="Normal"/>
    <w:next w:val="Normal"/>
    <w:link w:val="Heading8Char"/>
    <w:uiPriority w:val="9"/>
    <w:semiHidden/>
    <w:unhideWhenUsed/>
    <w:qFormat/>
    <w:rsid w:val="004F0175"/>
    <w:pPr>
      <w:keepNext/>
      <w:keepLines/>
      <w:spacing w:after="0" w:line="278" w:lineRule="auto"/>
      <w:outlineLvl w:val="7"/>
    </w:pPr>
    <w:rPr>
      <w:rFonts w:eastAsiaTheme="majorEastAsia" w:cstheme="majorBidi"/>
      <w:i/>
      <w:iCs/>
      <w:color w:val="272727" w:themeColor="text1" w:themeTint="D8"/>
      <w:sz w:val="24"/>
      <w:szCs w:val="24"/>
      <w:lang w:val="en-US"/>
      <w14:ligatures w14:val="standardContextual"/>
    </w:rPr>
  </w:style>
  <w:style w:type="paragraph" w:styleId="Heading9">
    <w:name w:val="heading 9"/>
    <w:basedOn w:val="Normal"/>
    <w:next w:val="Normal"/>
    <w:link w:val="Heading9Char"/>
    <w:uiPriority w:val="9"/>
    <w:semiHidden/>
    <w:unhideWhenUsed/>
    <w:qFormat/>
    <w:rsid w:val="004F0175"/>
    <w:pPr>
      <w:keepNext/>
      <w:keepLines/>
      <w:spacing w:after="0" w:line="278" w:lineRule="auto"/>
      <w:outlineLvl w:val="8"/>
    </w:pPr>
    <w:rPr>
      <w:rFonts w:eastAsiaTheme="majorEastAsia" w:cstheme="majorBidi"/>
      <w:color w:val="272727" w:themeColor="text1" w:themeTint="D8"/>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F01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4F01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01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01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01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01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01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01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0175"/>
    <w:rPr>
      <w:rFonts w:eastAsiaTheme="majorEastAsia" w:cstheme="majorBidi"/>
      <w:color w:val="272727" w:themeColor="text1" w:themeTint="D8"/>
    </w:rPr>
  </w:style>
  <w:style w:type="paragraph" w:styleId="Title">
    <w:name w:val="Title"/>
    <w:basedOn w:val="Normal"/>
    <w:next w:val="Normal"/>
    <w:link w:val="TitleChar"/>
    <w:uiPriority w:val="10"/>
    <w:qFormat/>
    <w:rsid w:val="004F017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4F01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0175"/>
    <w:pPr>
      <w:numPr>
        <w:ilvl w:val="1"/>
      </w:numPr>
      <w:spacing w:line="278" w:lineRule="auto"/>
    </w:pPr>
    <w:rPr>
      <w:rFonts w:eastAsiaTheme="majorEastAsia" w:cstheme="majorBidi"/>
      <w:color w:val="595959" w:themeColor="text1" w:themeTint="A6"/>
      <w:spacing w:val="15"/>
      <w:sz w:val="28"/>
      <w:szCs w:val="28"/>
      <w:lang w:val="en-US"/>
      <w14:ligatures w14:val="standardContextual"/>
    </w:rPr>
  </w:style>
  <w:style w:type="character" w:customStyle="1" w:styleId="SubtitleChar">
    <w:name w:val="Subtitle Char"/>
    <w:basedOn w:val="DefaultParagraphFont"/>
    <w:link w:val="Subtitle"/>
    <w:uiPriority w:val="11"/>
    <w:rsid w:val="004F01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0175"/>
    <w:pPr>
      <w:spacing w:before="160" w:line="278" w:lineRule="auto"/>
      <w:jc w:val="center"/>
    </w:pPr>
    <w:rPr>
      <w:i/>
      <w:iCs/>
      <w:color w:val="404040" w:themeColor="text1" w:themeTint="BF"/>
      <w:sz w:val="24"/>
      <w:szCs w:val="24"/>
      <w:lang w:val="en-US"/>
      <w14:ligatures w14:val="standardContextual"/>
    </w:rPr>
  </w:style>
  <w:style w:type="character" w:customStyle="1" w:styleId="QuoteChar">
    <w:name w:val="Quote Char"/>
    <w:basedOn w:val="DefaultParagraphFont"/>
    <w:link w:val="Quote"/>
    <w:uiPriority w:val="29"/>
    <w:rsid w:val="004F0175"/>
    <w:rPr>
      <w:i/>
      <w:iCs/>
      <w:color w:val="404040" w:themeColor="text1" w:themeTint="BF"/>
    </w:rPr>
  </w:style>
  <w:style w:type="paragraph" w:styleId="ListParagraph">
    <w:name w:val="List Paragraph"/>
    <w:basedOn w:val="Normal"/>
    <w:uiPriority w:val="34"/>
    <w:qFormat/>
    <w:rsid w:val="004F0175"/>
    <w:pPr>
      <w:spacing w:line="278" w:lineRule="auto"/>
      <w:ind w:left="720"/>
      <w:contextualSpacing/>
    </w:pPr>
    <w:rPr>
      <w:sz w:val="24"/>
      <w:szCs w:val="24"/>
      <w:lang w:val="en-US"/>
      <w14:ligatures w14:val="standardContextual"/>
    </w:rPr>
  </w:style>
  <w:style w:type="character" w:styleId="IntenseEmphasis">
    <w:name w:val="Intense Emphasis"/>
    <w:basedOn w:val="DefaultParagraphFont"/>
    <w:uiPriority w:val="21"/>
    <w:qFormat/>
    <w:rsid w:val="004F0175"/>
    <w:rPr>
      <w:i/>
      <w:iCs/>
      <w:color w:val="0F4761" w:themeColor="accent1" w:themeShade="BF"/>
    </w:rPr>
  </w:style>
  <w:style w:type="paragraph" w:styleId="IntenseQuote">
    <w:name w:val="Intense Quote"/>
    <w:basedOn w:val="Normal"/>
    <w:next w:val="Normal"/>
    <w:link w:val="IntenseQuoteChar"/>
    <w:uiPriority w:val="30"/>
    <w:qFormat/>
    <w:rsid w:val="004F017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14:ligatures w14:val="standardContextual"/>
    </w:rPr>
  </w:style>
  <w:style w:type="character" w:customStyle="1" w:styleId="IntenseQuoteChar">
    <w:name w:val="Intense Quote Char"/>
    <w:basedOn w:val="DefaultParagraphFont"/>
    <w:link w:val="IntenseQuote"/>
    <w:uiPriority w:val="30"/>
    <w:rsid w:val="004F0175"/>
    <w:rPr>
      <w:i/>
      <w:iCs/>
      <w:color w:val="0F4761" w:themeColor="accent1" w:themeShade="BF"/>
    </w:rPr>
  </w:style>
  <w:style w:type="character" w:styleId="IntenseReference">
    <w:name w:val="Intense Reference"/>
    <w:basedOn w:val="DefaultParagraphFont"/>
    <w:uiPriority w:val="32"/>
    <w:qFormat/>
    <w:rsid w:val="004F0175"/>
    <w:rPr>
      <w:b/>
      <w:bCs/>
      <w:smallCaps/>
      <w:color w:val="0F4761" w:themeColor="accent1" w:themeShade="BF"/>
      <w:spacing w:val="5"/>
    </w:rPr>
  </w:style>
  <w:style w:type="table" w:styleId="TableGrid">
    <w:name w:val="Table Grid"/>
    <w:basedOn w:val="TableNormal"/>
    <w:uiPriority w:val="59"/>
    <w:qFormat/>
    <w:rsid w:val="004F0175"/>
    <w:pPr>
      <w:spacing w:after="0" w:line="240" w:lineRule="auto"/>
    </w:pPr>
    <w:rPr>
      <w:rFonts w:ascii="Times New Roman" w:eastAsiaTheme="minorEastAsia" w:hAnsi="Times New Roman" w:cs="Times New Roman"/>
      <w:kern w:val="0"/>
      <w:sz w:val="20"/>
      <w:szCs w:val="20"/>
      <w:lang w:eastAsia="en-MY"/>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1064570F9614C17AB1AF52298AF739A"/>
        <w:category>
          <w:name w:val="General"/>
          <w:gallery w:val="placeholder"/>
        </w:category>
        <w:types>
          <w:type w:val="bbPlcHdr"/>
        </w:types>
        <w:behaviors>
          <w:behavior w:val="content"/>
        </w:behaviors>
        <w:guid w:val="{CBC95645-2384-4E41-AD31-83D9DE448CAF}"/>
      </w:docPartPr>
      <w:docPartBody>
        <w:p w:rsidR="00000000" w:rsidRDefault="000225F9" w:rsidP="000225F9">
          <w:pPr>
            <w:pStyle w:val="F1064570F9614C17AB1AF52298AF739A"/>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5F9"/>
    <w:rsid w:val="000225F9"/>
    <w:rsid w:val="003443CF"/>
    <w:rsid w:val="006D7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qFormat/>
    <w:rsid w:val="000225F9"/>
    <w:rPr>
      <w:color w:val="666666"/>
    </w:rPr>
  </w:style>
  <w:style w:type="paragraph" w:customStyle="1" w:styleId="F1064570F9614C17AB1AF52298AF739A">
    <w:name w:val="F1064570F9614C17AB1AF52298AF739A"/>
    <w:rsid w:val="000225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858</Words>
  <Characters>4892</Characters>
  <Application>Microsoft Office Word</Application>
  <DocSecurity>0</DocSecurity>
  <Lines>40</Lines>
  <Paragraphs>11</Paragraphs>
  <ScaleCrop>false</ScaleCrop>
  <Company>Springer Nature</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2025-08-28T08:59:00Z</dcterms:created>
  <dcterms:modified xsi:type="dcterms:W3CDTF">2025-08-28T09:00:00Z</dcterms:modified>
</cp:coreProperties>
</file>