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C337D1">
      <w:pPr>
        <w:jc w:val="center"/>
        <w:rPr>
          <w:sz w:val="36"/>
          <w:szCs w:val="36"/>
        </w:rPr>
      </w:pPr>
      <w:r>
        <w:rPr>
          <w:sz w:val="36"/>
          <w:szCs w:val="36"/>
        </w:rPr>
        <w:t>Supplementary Information for</w:t>
      </w:r>
    </w:p>
    <w:p w14:paraId="29411C5A"/>
    <w:p w14:paraId="11EC8487">
      <w:pPr>
        <w:jc w:val="center"/>
        <w:rPr>
          <w:b/>
          <w:bCs/>
          <w:sz w:val="28"/>
          <w:szCs w:val="28"/>
        </w:rPr>
      </w:pPr>
      <w:r>
        <w:rPr>
          <w:rFonts w:ascii="Times New Roman" w:hAnsi="Times New Roman" w:cs="Times New Roman"/>
          <w:b/>
          <w:bCs/>
          <w:sz w:val="28"/>
          <w:szCs w:val="28"/>
        </w:rPr>
        <w:t>Unraveling the dynamics of multi</w:t>
      </w:r>
      <w:r>
        <w:rPr>
          <w:rFonts w:hint="eastAsia" w:ascii="Times New Roman" w:hAnsi="Times New Roman" w:cs="Times New Roman"/>
          <w:b/>
          <w:bCs/>
          <w:sz w:val="28"/>
          <w:szCs w:val="28"/>
        </w:rPr>
        <w:t xml:space="preserve">ple </w:t>
      </w:r>
      <w:r>
        <w:rPr>
          <w:rFonts w:ascii="Times New Roman" w:hAnsi="Times New Roman" w:cs="Times New Roman"/>
          <w:b/>
          <w:bCs/>
          <w:sz w:val="28"/>
          <w:szCs w:val="28"/>
        </w:rPr>
        <w:t>excited states in a single-molecule transistor</w:t>
      </w:r>
    </w:p>
    <w:p w14:paraId="6DD45530">
      <w:pPr>
        <w:jc w:val="center"/>
        <w:rPr>
          <w:sz w:val="28"/>
          <w:szCs w:val="28"/>
        </w:rPr>
      </w:pPr>
    </w:p>
    <w:p w14:paraId="09EC6F88">
      <w:pPr>
        <w:jc w:val="center"/>
        <w:rPr>
          <w:szCs w:val="24"/>
        </w:rPr>
      </w:pPr>
      <w:r>
        <w:rPr>
          <w:szCs w:val="24"/>
        </w:rPr>
        <w:t>Hao Zhang</w:t>
      </w:r>
      <w:r>
        <w:rPr>
          <w:szCs w:val="24"/>
          <w:vertAlign w:val="superscript"/>
        </w:rPr>
        <w:t>1</w:t>
      </w:r>
      <w:r>
        <w:rPr>
          <w:szCs w:val="24"/>
        </w:rPr>
        <w:t>†, Lijue Chen</w:t>
      </w:r>
      <w:r>
        <w:rPr>
          <w:szCs w:val="24"/>
          <w:vertAlign w:val="superscript"/>
        </w:rPr>
        <w:t>1</w:t>
      </w:r>
      <w:r>
        <w:rPr>
          <w:szCs w:val="24"/>
        </w:rPr>
        <w:t>†, Ziheng Yuan</w:t>
      </w:r>
      <w:r>
        <w:rPr>
          <w:szCs w:val="24"/>
          <w:vertAlign w:val="superscript"/>
        </w:rPr>
        <w:t>1</w:t>
      </w:r>
      <w:r>
        <w:rPr>
          <w:szCs w:val="24"/>
        </w:rPr>
        <w:t>†, Jingyu Yang</w:t>
      </w:r>
      <w:r>
        <w:rPr>
          <w:szCs w:val="24"/>
          <w:vertAlign w:val="superscript"/>
        </w:rPr>
        <w:t>2</w:t>
      </w:r>
      <w:r>
        <w:rPr>
          <w:szCs w:val="24"/>
        </w:rPr>
        <w:t xml:space="preserve">†, </w:t>
      </w:r>
      <w:r>
        <w:rPr>
          <w:rFonts w:hint="eastAsia"/>
          <w:szCs w:val="24"/>
          <w:lang w:eastAsia="zh-CN"/>
        </w:rPr>
        <w:t>Yu Zhou</w:t>
      </w:r>
      <w:r>
        <w:rPr>
          <w:szCs w:val="24"/>
          <w:vertAlign w:val="superscript"/>
        </w:rPr>
        <w:t>1</w:t>
      </w:r>
      <w:r>
        <w:rPr>
          <w:szCs w:val="24"/>
        </w:rPr>
        <w:t>†</w:t>
      </w:r>
      <w:r>
        <w:rPr>
          <w:rFonts w:hint="eastAsia"/>
          <w:szCs w:val="24"/>
          <w:lang w:eastAsia="zh-CN"/>
        </w:rPr>
        <w:t xml:space="preserve">, </w:t>
      </w:r>
      <w:r>
        <w:rPr>
          <w:szCs w:val="24"/>
        </w:rPr>
        <w:t>Yixuan Gao</w:t>
      </w:r>
      <w:r>
        <w:rPr>
          <w:szCs w:val="24"/>
          <w:vertAlign w:val="superscript"/>
        </w:rPr>
        <w:t>2</w:t>
      </w:r>
      <w:r>
        <w:rPr>
          <w:szCs w:val="24"/>
        </w:rPr>
        <w:t xml:space="preserve">, </w:t>
      </w:r>
      <w:r>
        <w:rPr>
          <w:rFonts w:hint="eastAsia"/>
          <w:szCs w:val="24"/>
          <w:lang w:eastAsia="zh-CN"/>
        </w:rPr>
        <w:t>Zhixin Qiu</w:t>
      </w:r>
      <w:r>
        <w:rPr>
          <w:szCs w:val="24"/>
          <w:vertAlign w:val="superscript"/>
        </w:rPr>
        <w:t>1</w:t>
      </w:r>
      <w:r>
        <w:rPr>
          <w:rFonts w:hint="eastAsia"/>
          <w:szCs w:val="24"/>
          <w:lang w:eastAsia="zh-CN"/>
        </w:rPr>
        <w:t xml:space="preserve">, </w:t>
      </w:r>
      <w:r>
        <w:rPr>
          <w:szCs w:val="24"/>
        </w:rPr>
        <w:t>Wei Xu</w:t>
      </w:r>
      <w:r>
        <w:rPr>
          <w:szCs w:val="24"/>
          <w:vertAlign w:val="superscript"/>
        </w:rPr>
        <w:t>1</w:t>
      </w:r>
      <w:r>
        <w:rPr>
          <w:szCs w:val="24"/>
        </w:rPr>
        <w:t>, Zhexiong Zheng</w:t>
      </w:r>
      <w:r>
        <w:rPr>
          <w:szCs w:val="24"/>
          <w:vertAlign w:val="superscript"/>
        </w:rPr>
        <w:t>1</w:t>
      </w:r>
      <w:r>
        <w:rPr>
          <w:szCs w:val="24"/>
        </w:rPr>
        <w:t>, Cankun Zhang</w:t>
      </w:r>
      <w:r>
        <w:rPr>
          <w:szCs w:val="24"/>
          <w:vertAlign w:val="superscript"/>
        </w:rPr>
        <w:t>1</w:t>
      </w:r>
      <w:r>
        <w:rPr>
          <w:szCs w:val="24"/>
        </w:rPr>
        <w:t>, Haojie Liu</w:t>
      </w:r>
      <w:r>
        <w:rPr>
          <w:szCs w:val="24"/>
          <w:vertAlign w:val="superscript"/>
        </w:rPr>
        <w:t>1</w:t>
      </w:r>
      <w:r>
        <w:rPr>
          <w:szCs w:val="24"/>
        </w:rPr>
        <w:t>, Kai-Qiang Lin</w:t>
      </w:r>
      <w:r>
        <w:rPr>
          <w:szCs w:val="24"/>
          <w:vertAlign w:val="superscript"/>
        </w:rPr>
        <w:t>1</w:t>
      </w:r>
      <w:r>
        <w:rPr>
          <w:szCs w:val="24"/>
        </w:rPr>
        <w:t>, Ye Yang</w:t>
      </w:r>
      <w:r>
        <w:rPr>
          <w:szCs w:val="24"/>
          <w:vertAlign w:val="superscript"/>
        </w:rPr>
        <w:t>1</w:t>
      </w:r>
      <w:r>
        <w:rPr>
          <w:szCs w:val="24"/>
        </w:rPr>
        <w:t>,</w:t>
      </w:r>
      <w:r>
        <w:rPr>
          <w:rFonts w:hint="eastAsia"/>
          <w:szCs w:val="24"/>
          <w:lang w:eastAsia="zh-CN"/>
        </w:rPr>
        <w:t xml:space="preserve"> </w:t>
      </w:r>
      <w:r>
        <w:rPr>
          <w:szCs w:val="24"/>
        </w:rPr>
        <w:t>Jing Li</w:t>
      </w:r>
      <w:r>
        <w:rPr>
          <w:rFonts w:hint="eastAsia"/>
          <w:szCs w:val="24"/>
          <w:vertAlign w:val="superscript"/>
          <w:lang w:eastAsia="zh-CN"/>
        </w:rPr>
        <w:t>1</w:t>
      </w:r>
      <w:r>
        <w:rPr>
          <w:szCs w:val="24"/>
        </w:rPr>
        <w:t>, Junyang Liu</w:t>
      </w:r>
      <w:r>
        <w:rPr>
          <w:szCs w:val="24"/>
          <w:vertAlign w:val="superscript"/>
        </w:rPr>
        <w:t>1</w:t>
      </w:r>
      <w:r>
        <w:rPr>
          <w:szCs w:val="24"/>
        </w:rPr>
        <w:t>*, Shixuan Du</w:t>
      </w:r>
      <w:r>
        <w:rPr>
          <w:szCs w:val="24"/>
          <w:vertAlign w:val="superscript"/>
        </w:rPr>
        <w:t>2</w:t>
      </w:r>
      <w:r>
        <w:rPr>
          <w:szCs w:val="24"/>
        </w:rPr>
        <w:t>*, Wenjing Hong</w:t>
      </w:r>
      <w:r>
        <w:rPr>
          <w:szCs w:val="24"/>
          <w:vertAlign w:val="superscript"/>
        </w:rPr>
        <w:t>1</w:t>
      </w:r>
      <w:r>
        <w:rPr>
          <w:szCs w:val="24"/>
        </w:rPr>
        <w:t>*</w:t>
      </w:r>
    </w:p>
    <w:p w14:paraId="0648E06D">
      <w:pPr>
        <w:jc w:val="center"/>
        <w:rPr>
          <w:szCs w:val="24"/>
        </w:rPr>
      </w:pPr>
    </w:p>
    <w:p w14:paraId="16612C2D">
      <w:pPr>
        <w:widowControl w:val="0"/>
        <w:spacing w:after="120"/>
        <w:jc w:val="center"/>
        <w:rPr>
          <w:rFonts w:eastAsia="宋体"/>
          <w:szCs w:val="24"/>
          <w:lang w:eastAsia="zh-CN"/>
        </w:rPr>
      </w:pPr>
      <w:r>
        <w:rPr>
          <w:rFonts w:eastAsia="宋体"/>
          <w:szCs w:val="24"/>
          <w:vertAlign w:val="superscript"/>
          <w:lang w:eastAsia="zh-CN"/>
        </w:rPr>
        <w:t>1</w:t>
      </w:r>
      <w:r>
        <w:rPr>
          <w:rFonts w:eastAsia="宋体"/>
          <w:szCs w:val="24"/>
          <w:lang w:eastAsia="zh-CN"/>
        </w:rPr>
        <w:t>State Key Laboratory of Physical Chemistry of Solid Surfaces &amp; IKKEM, College of Chemistry and Chemical Engineering, Xiamen University, Xiamen 361005, China</w:t>
      </w:r>
    </w:p>
    <w:p w14:paraId="28E87B2A">
      <w:pPr>
        <w:widowControl w:val="0"/>
        <w:spacing w:after="120"/>
        <w:jc w:val="center"/>
        <w:rPr>
          <w:rFonts w:eastAsia="宋体"/>
          <w:b/>
          <w:szCs w:val="24"/>
          <w:lang w:eastAsia="zh-CN"/>
        </w:rPr>
      </w:pPr>
      <w:r>
        <w:rPr>
          <w:rFonts w:eastAsia="宋体"/>
          <w:szCs w:val="24"/>
          <w:vertAlign w:val="superscript"/>
          <w:lang w:eastAsia="zh-CN"/>
        </w:rPr>
        <w:t>2</w:t>
      </w:r>
      <w:r>
        <w:rPr>
          <w:rFonts w:eastAsia="宋体"/>
          <w:szCs w:val="24"/>
          <w:lang w:eastAsia="zh-CN"/>
        </w:rPr>
        <w:t>Institute of Physics &amp; University of Chinese Academy of Sciences, Chinese Academy of Sciences, Beijing 100190, China.</w:t>
      </w:r>
    </w:p>
    <w:p w14:paraId="79C9B24D">
      <w:pPr>
        <w:widowControl w:val="0"/>
        <w:spacing w:after="120"/>
        <w:jc w:val="center"/>
        <w:rPr>
          <w:rFonts w:eastAsia="等线"/>
          <w:kern w:val="2"/>
          <w:szCs w:val="24"/>
          <w:lang w:eastAsia="zh-CN"/>
        </w:rPr>
      </w:pPr>
      <w:r>
        <w:rPr>
          <w:rFonts w:eastAsia="等线"/>
          <w:kern w:val="2"/>
          <w:szCs w:val="24"/>
          <w:lang w:eastAsia="zh-CN"/>
        </w:rPr>
        <w:t xml:space="preserve">†These authors contributed equally: </w:t>
      </w:r>
      <w:bookmarkStart w:id="0" w:name="_Hlk161924931"/>
      <w:r>
        <w:rPr>
          <w:rFonts w:eastAsia="等线"/>
          <w:kern w:val="2"/>
          <w:szCs w:val="24"/>
          <w:lang w:eastAsia="zh-CN"/>
        </w:rPr>
        <w:t>Hao Zhang, Lijue Chen, Ziheng Yuan, Jingyu Yang</w:t>
      </w:r>
      <w:r>
        <w:rPr>
          <w:rFonts w:hint="eastAsia" w:eastAsia="等线"/>
          <w:kern w:val="2"/>
          <w:szCs w:val="24"/>
          <w:lang w:eastAsia="zh-CN"/>
        </w:rPr>
        <w:t>, Yu Zhou</w:t>
      </w:r>
      <w:bookmarkEnd w:id="0"/>
    </w:p>
    <w:p w14:paraId="6C7CFCE3">
      <w:pPr>
        <w:widowControl w:val="0"/>
        <w:spacing w:after="120"/>
        <w:jc w:val="center"/>
        <w:rPr>
          <w:rFonts w:eastAsia="等线"/>
          <w:kern w:val="2"/>
          <w:szCs w:val="24"/>
          <w:lang w:eastAsia="zh-CN"/>
        </w:rPr>
      </w:pPr>
      <w:r>
        <w:rPr>
          <w:rFonts w:eastAsia="等线"/>
          <w:kern w:val="2"/>
          <w:szCs w:val="24"/>
          <w:lang w:eastAsia="zh-CN"/>
        </w:rPr>
        <w:t>*Corresponding authors</w:t>
      </w:r>
      <w:r>
        <w:rPr>
          <w:rFonts w:eastAsia="等线"/>
          <w:kern w:val="2"/>
          <w:szCs w:val="24"/>
          <w:lang w:val="de-DE" w:eastAsia="zh-CN"/>
        </w:rPr>
        <w:t>:E-m</w:t>
      </w:r>
      <w:r>
        <w:rPr>
          <w:rFonts w:eastAsia="等线"/>
          <w:kern w:val="2"/>
          <w:szCs w:val="24"/>
          <w:lang w:eastAsia="zh-CN"/>
        </w:rPr>
        <w:t>ail: whong@xmu.edu.cn (W. Hong); sxdu@iphy.ac.cn (S. Du); jyliu@xmu.edu.cn (J. Liu)</w:t>
      </w:r>
    </w:p>
    <w:p w14:paraId="23718CE0"/>
    <w:p w14:paraId="56364198">
      <w:pPr>
        <w:pStyle w:val="101"/>
      </w:pPr>
      <w:r>
        <w:br w:type="page"/>
      </w:r>
      <w:bookmarkStart w:id="1" w:name="Tables"/>
      <w:bookmarkEnd w:id="1"/>
      <w:bookmarkStart w:id="2" w:name="MaterialsMethods"/>
      <w:bookmarkEnd w:id="2"/>
    </w:p>
    <w:p w14:paraId="3AB67214">
      <w:pPr>
        <w:pStyle w:val="101"/>
        <w:jc w:val="center"/>
        <w:rPr>
          <w:b/>
          <w:sz w:val="28"/>
          <w:szCs w:val="28"/>
        </w:rPr>
      </w:pPr>
      <w:bookmarkStart w:id="3" w:name="_Hlk161931923"/>
      <w:r>
        <w:rPr>
          <w:rFonts w:hint="eastAsia"/>
          <w:b/>
          <w:sz w:val="28"/>
          <w:szCs w:val="28"/>
        </w:rPr>
        <w:t>T</w:t>
      </w:r>
      <w:r>
        <w:rPr>
          <w:b/>
          <w:sz w:val="28"/>
          <w:szCs w:val="28"/>
        </w:rPr>
        <w:t>a</w:t>
      </w:r>
      <w:r>
        <w:rPr>
          <w:rFonts w:hint="eastAsia"/>
          <w:b/>
          <w:sz w:val="28"/>
          <w:szCs w:val="28"/>
        </w:rPr>
        <w:t>ble of C</w:t>
      </w:r>
      <w:r>
        <w:rPr>
          <w:b/>
          <w:sz w:val="28"/>
          <w:szCs w:val="28"/>
        </w:rPr>
        <w:t>on</w:t>
      </w:r>
      <w:r>
        <w:rPr>
          <w:rFonts w:hint="eastAsia"/>
          <w:b/>
          <w:sz w:val="28"/>
          <w:szCs w:val="28"/>
        </w:rPr>
        <w:t>tents</w:t>
      </w:r>
    </w:p>
    <w:p w14:paraId="04434C06">
      <w:pPr>
        <w:pStyle w:val="152"/>
        <w:spacing w:line="240" w:lineRule="auto"/>
        <w:rPr>
          <w:rFonts w:eastAsiaTheme="minorEastAsia"/>
        </w:rPr>
      </w:pPr>
      <w:r>
        <w:t>Section I</w:t>
      </w:r>
      <w:r>
        <w:rPr>
          <w:rFonts w:hint="eastAsia"/>
        </w:rPr>
        <w:t>.</w:t>
      </w:r>
      <w:r>
        <w:t xml:space="preserve"> Molecular Synthesis</w:t>
      </w:r>
    </w:p>
    <w:p w14:paraId="24C84518">
      <w:pPr>
        <w:pStyle w:val="154"/>
        <w:spacing w:line="240" w:lineRule="auto"/>
        <w:ind w:firstLine="440"/>
        <w:rPr>
          <w:rFonts w:eastAsiaTheme="minorEastAsia"/>
        </w:rPr>
      </w:pPr>
      <w:r>
        <w:rPr>
          <w:rFonts w:eastAsiaTheme="minorEastAsia"/>
        </w:rPr>
        <w:t xml:space="preserve">Fig. S1. </w:t>
      </w:r>
      <w:r>
        <w:rPr>
          <w:rFonts w:eastAsiaTheme="minorEastAsia"/>
          <w:vertAlign w:val="superscript"/>
        </w:rPr>
        <w:t>1</w:t>
      </w:r>
      <w:r>
        <w:rPr>
          <w:rFonts w:eastAsiaTheme="minorEastAsia"/>
        </w:rPr>
        <w:t>HNMR spectrum of 1-ethynylpyrene (Compound 3) in chloroform-D</w:t>
      </w:r>
    </w:p>
    <w:p w14:paraId="320F6510">
      <w:pPr>
        <w:pStyle w:val="154"/>
        <w:spacing w:line="240" w:lineRule="auto"/>
        <w:ind w:firstLine="440"/>
        <w:rPr>
          <w:rFonts w:eastAsiaTheme="minorEastAsia"/>
        </w:rPr>
      </w:pPr>
      <w:r>
        <w:rPr>
          <w:rFonts w:eastAsiaTheme="minorEastAsia"/>
        </w:rPr>
        <w:t xml:space="preserve">Fig. S2. </w:t>
      </w:r>
      <w:r>
        <w:rPr>
          <w:rFonts w:eastAsiaTheme="minorEastAsia"/>
          <w:vertAlign w:val="superscript"/>
        </w:rPr>
        <w:t>1</w:t>
      </w:r>
      <w:r>
        <w:rPr>
          <w:rFonts w:eastAsiaTheme="minorEastAsia"/>
        </w:rPr>
        <w:t>HNMR spectrum of 1,4-bis(hexyloxy)-2,5-diiodobenzene (Compound 6) in chloroform-D</w:t>
      </w:r>
    </w:p>
    <w:p w14:paraId="13A4EB42">
      <w:pPr>
        <w:pStyle w:val="154"/>
        <w:spacing w:line="240" w:lineRule="auto"/>
        <w:ind w:firstLine="440"/>
        <w:rPr>
          <w:rFonts w:eastAsiaTheme="minorEastAsia"/>
        </w:rPr>
      </w:pPr>
      <w:r>
        <w:rPr>
          <w:rFonts w:eastAsiaTheme="minorEastAsia"/>
        </w:rPr>
        <w:t xml:space="preserve">Fig. S3. </w:t>
      </w:r>
      <w:r>
        <w:rPr>
          <w:rFonts w:eastAsiaTheme="minorEastAsia"/>
          <w:vertAlign w:val="superscript"/>
        </w:rPr>
        <w:t>1</w:t>
      </w:r>
      <w:r>
        <w:rPr>
          <w:rFonts w:eastAsiaTheme="minorEastAsia"/>
        </w:rPr>
        <w:t>HNMR spectrum of 1,4-bis(hexyloxy)-2,5-bis(ethynylpyrene)benzene (</w:t>
      </w:r>
      <w:r>
        <w:rPr>
          <w:rFonts w:eastAsiaTheme="minorEastAsia"/>
          <w:b/>
        </w:rPr>
        <w:t>BP</w:t>
      </w:r>
      <w:r>
        <w:rPr>
          <w:rFonts w:eastAsiaTheme="minorEastAsia"/>
        </w:rPr>
        <w:t xml:space="preserve"> molecule) in chloroform-D</w:t>
      </w:r>
    </w:p>
    <w:p w14:paraId="38E211A7">
      <w:pPr>
        <w:pStyle w:val="154"/>
        <w:spacing w:line="240" w:lineRule="auto"/>
        <w:ind w:firstLine="440"/>
        <w:rPr>
          <w:rFonts w:eastAsiaTheme="minorEastAsia"/>
        </w:rPr>
      </w:pPr>
      <w:r>
        <w:rPr>
          <w:rFonts w:eastAsiaTheme="minorEastAsia"/>
          <w:lang w:val="en-US"/>
        </w:rPr>
        <w:t xml:space="preserve">Fig. S4. </w:t>
      </w:r>
      <w:r>
        <w:rPr>
          <w:rFonts w:eastAsiaTheme="minorEastAsia"/>
        </w:rPr>
        <w:t>HR-MS of 1,4-bis(hexyloxy)-2,5-bis(ethynylpyrene)benzene (</w:t>
      </w:r>
      <w:r>
        <w:rPr>
          <w:rFonts w:eastAsiaTheme="minorEastAsia"/>
          <w:b/>
        </w:rPr>
        <w:t>BP</w:t>
      </w:r>
      <w:r>
        <w:rPr>
          <w:rFonts w:eastAsiaTheme="minorEastAsia"/>
        </w:rPr>
        <w:t xml:space="preserve"> molecule)</w:t>
      </w:r>
    </w:p>
    <w:p w14:paraId="53CC02DE">
      <w:pPr>
        <w:pStyle w:val="152"/>
        <w:spacing w:line="240" w:lineRule="auto"/>
        <w:rPr>
          <w:rFonts w:eastAsiaTheme="minorEastAsia"/>
        </w:rPr>
      </w:pPr>
      <w:r>
        <w:rPr>
          <w:rFonts w:eastAsia="MS Mincho"/>
          <w:lang w:eastAsia="ja-JP"/>
        </w:rPr>
        <w:t>Section II. Device fabrication and characterization</w:t>
      </w:r>
    </w:p>
    <w:p w14:paraId="5496D843">
      <w:pPr>
        <w:pStyle w:val="154"/>
        <w:spacing w:line="240" w:lineRule="auto"/>
        <w:ind w:firstLine="440"/>
        <w:rPr>
          <w:rFonts w:eastAsiaTheme="minorEastAsia"/>
        </w:rPr>
      </w:pPr>
      <w:r>
        <w:rPr>
          <w:rFonts w:eastAsiaTheme="minorEastAsia"/>
        </w:rPr>
        <w:t>Fig. S5. Characterizations in device fabrication</w:t>
      </w:r>
    </w:p>
    <w:p w14:paraId="39F36578">
      <w:pPr>
        <w:pStyle w:val="154"/>
        <w:spacing w:line="240" w:lineRule="auto"/>
        <w:ind w:left="426" w:firstLine="0" w:firstLineChars="0"/>
        <w:rPr>
          <w:rFonts w:eastAsiaTheme="minorEastAsia"/>
        </w:rPr>
      </w:pPr>
      <w:r>
        <w:rPr>
          <w:rFonts w:eastAsiaTheme="minorEastAsia"/>
        </w:rPr>
        <w:t xml:space="preserve">Fig. S6. Characterizations of </w:t>
      </w:r>
      <w:r>
        <w:rPr>
          <w:rFonts w:eastAsiaTheme="minorEastAsia"/>
          <w:i/>
        </w:rPr>
        <w:t>I-V</w:t>
      </w:r>
      <w:r>
        <w:rPr>
          <w:rFonts w:eastAsiaTheme="minorEastAsia"/>
        </w:rPr>
        <w:t xml:space="preserve"> traces and current magnitude difference among six devices at 30 K on a continuous </w:t>
      </w:r>
      <w:r>
        <w:rPr>
          <w:rFonts w:eastAsiaTheme="minorEastAsia"/>
          <w:i/>
        </w:rPr>
        <w:t>V</w:t>
      </w:r>
      <w:r>
        <w:rPr>
          <w:rFonts w:eastAsiaTheme="minorEastAsia"/>
          <w:vertAlign w:val="subscript"/>
        </w:rPr>
        <w:t>G</w:t>
      </w:r>
      <w:r>
        <w:rPr>
          <w:rFonts w:eastAsiaTheme="minorEastAsia"/>
        </w:rPr>
        <w:t xml:space="preserve"> = 0 V</w:t>
      </w:r>
    </w:p>
    <w:p w14:paraId="2E7970CA">
      <w:pPr>
        <w:pStyle w:val="154"/>
        <w:spacing w:line="240" w:lineRule="auto"/>
        <w:ind w:left="426" w:firstLine="0" w:firstLineChars="0"/>
        <w:rPr>
          <w:rFonts w:eastAsiaTheme="minorEastAsia"/>
        </w:rPr>
      </w:pPr>
      <w:r>
        <w:rPr>
          <w:rFonts w:eastAsiaTheme="minorEastAsia"/>
        </w:rPr>
        <w:t>Fig. S7. Temperature and gating voltage dependent current-voltage curves of device 1</w:t>
      </w:r>
    </w:p>
    <w:p w14:paraId="78F65BA4">
      <w:pPr>
        <w:pStyle w:val="154"/>
        <w:spacing w:line="240" w:lineRule="auto"/>
        <w:ind w:firstLine="440"/>
        <w:rPr>
          <w:rFonts w:eastAsiaTheme="minorEastAsia"/>
        </w:rPr>
      </w:pPr>
      <w:r>
        <w:rPr>
          <w:rFonts w:eastAsiaTheme="minorEastAsia"/>
        </w:rPr>
        <w:t>Fig. S8. Absorption spectra of BP molecule</w:t>
      </w:r>
    </w:p>
    <w:p w14:paraId="49889259">
      <w:pPr>
        <w:pStyle w:val="152"/>
        <w:spacing w:line="240" w:lineRule="auto"/>
        <w:rPr>
          <w:rFonts w:eastAsiaTheme="minorEastAsia"/>
        </w:rPr>
      </w:pPr>
      <w:r>
        <w:rPr>
          <w:rFonts w:eastAsia="MS Mincho"/>
        </w:rPr>
        <w:t xml:space="preserve">Section III. </w:t>
      </w:r>
      <w:r>
        <w:t>Data processing details of Methods</w:t>
      </w:r>
    </w:p>
    <w:p w14:paraId="17632D70">
      <w:pPr>
        <w:pStyle w:val="154"/>
        <w:spacing w:line="240" w:lineRule="auto"/>
        <w:ind w:firstLine="440"/>
        <w:rPr>
          <w:rFonts w:eastAsiaTheme="minorEastAsia"/>
        </w:rPr>
      </w:pPr>
      <w:r>
        <w:rPr>
          <w:rFonts w:eastAsiaTheme="minorEastAsia"/>
        </w:rPr>
        <w:t>Fig. S9. Pulse current-voltage characterizations at N</w:t>
      </w:r>
      <w:r>
        <w:rPr>
          <w:rFonts w:eastAsia="等线"/>
          <w:b/>
          <w:kern w:val="2"/>
          <w:szCs w:val="24"/>
        </w:rPr>
        <w:sym w:font="Symbol" w:char="F02D"/>
      </w:r>
      <w:r>
        <w:rPr>
          <w:rFonts w:eastAsiaTheme="minorEastAsia"/>
        </w:rPr>
        <w:t xml:space="preserve">1 (blue dots, </w:t>
      </w:r>
      <w:r>
        <w:rPr>
          <w:rFonts w:eastAsiaTheme="minorEastAsia"/>
          <w:i/>
        </w:rPr>
        <w:t>V</w:t>
      </w:r>
      <w:r>
        <w:rPr>
          <w:rFonts w:eastAsiaTheme="minorEastAsia"/>
          <w:vertAlign w:val="subscript"/>
        </w:rPr>
        <w:t>G</w:t>
      </w:r>
      <w:r>
        <w:rPr>
          <w:rFonts w:eastAsiaTheme="minorEastAsia"/>
        </w:rPr>
        <w:t xml:space="preserve">= </w:t>
      </w:r>
      <w:r>
        <w:rPr>
          <w:rFonts w:eastAsia="等线"/>
          <w:b/>
          <w:kern w:val="2"/>
          <w:szCs w:val="24"/>
        </w:rPr>
        <w:sym w:font="Symbol" w:char="F02D"/>
      </w:r>
      <w:r>
        <w:rPr>
          <w:rFonts w:eastAsiaTheme="minorEastAsia"/>
        </w:rPr>
        <w:t xml:space="preserve">2.5 V) and N (red dots, </w:t>
      </w:r>
      <w:r>
        <w:rPr>
          <w:rFonts w:eastAsiaTheme="minorEastAsia"/>
          <w:i/>
        </w:rPr>
        <w:t>V</w:t>
      </w:r>
      <w:r>
        <w:rPr>
          <w:rFonts w:eastAsiaTheme="minorEastAsia"/>
          <w:vertAlign w:val="subscript"/>
        </w:rPr>
        <w:t>G</w:t>
      </w:r>
      <w:r>
        <w:rPr>
          <w:rFonts w:eastAsiaTheme="minorEastAsia"/>
        </w:rPr>
        <w:t>= 0 V) states of single molecule</w:t>
      </w:r>
    </w:p>
    <w:p w14:paraId="52D2D1A4">
      <w:pPr>
        <w:pStyle w:val="154"/>
        <w:spacing w:line="240" w:lineRule="auto"/>
        <w:ind w:firstLine="440"/>
        <w:rPr>
          <w:rFonts w:eastAsiaTheme="minorEastAsia"/>
        </w:rPr>
      </w:pPr>
      <w:r>
        <w:rPr>
          <w:rFonts w:eastAsiaTheme="minorEastAsia"/>
        </w:rPr>
        <w:t>Fig. S10. All-electronic pump-probe measurements of the charged molecule in device 1</w:t>
      </w:r>
    </w:p>
    <w:p w14:paraId="7CC16401">
      <w:pPr>
        <w:pStyle w:val="154"/>
        <w:spacing w:line="240" w:lineRule="auto"/>
        <w:ind w:firstLine="440"/>
        <w:rPr>
          <w:rFonts w:eastAsiaTheme="minorEastAsia"/>
        </w:rPr>
      </w:pPr>
      <w:r>
        <w:rPr>
          <w:rFonts w:eastAsiaTheme="minorEastAsia"/>
        </w:rPr>
        <w:t>Fig. S11. Forward and reverse scan of pump–probe spectra</w:t>
      </w:r>
    </w:p>
    <w:p w14:paraId="04F67164">
      <w:pPr>
        <w:pStyle w:val="154"/>
        <w:spacing w:line="240" w:lineRule="auto"/>
        <w:ind w:firstLine="440"/>
        <w:rPr>
          <w:rFonts w:eastAsiaTheme="minorEastAsia"/>
        </w:rPr>
      </w:pPr>
      <w:r>
        <w:rPr>
          <w:rFonts w:eastAsiaTheme="minorEastAsia"/>
        </w:rPr>
        <w:t>Fig. S12. All-electronic pump-probe measurements of the charged molecule in device 2</w:t>
      </w:r>
    </w:p>
    <w:p w14:paraId="3781A1B1">
      <w:pPr>
        <w:pStyle w:val="154"/>
        <w:spacing w:line="240" w:lineRule="auto"/>
        <w:ind w:firstLine="440"/>
        <w:rPr>
          <w:rFonts w:eastAsiaTheme="minorEastAsia"/>
        </w:rPr>
      </w:pPr>
      <w:r>
        <w:rPr>
          <w:rFonts w:eastAsiaTheme="minorEastAsia"/>
        </w:rPr>
        <w:t>Fig. S13. Single-pulse measurement of the charged single molecule shown in Fig. 2 by pulse-width dependence experiment</w:t>
      </w:r>
    </w:p>
    <w:p w14:paraId="400B2F73">
      <w:pPr>
        <w:pStyle w:val="154"/>
        <w:spacing w:line="240" w:lineRule="auto"/>
        <w:ind w:firstLine="440"/>
        <w:rPr>
          <w:rFonts w:eastAsia="宋体"/>
          <w:szCs w:val="24"/>
        </w:rPr>
      </w:pPr>
      <w:r>
        <w:rPr>
          <w:rFonts w:eastAsiaTheme="minorEastAsia"/>
        </w:rPr>
        <w:t xml:space="preserve">Fig. S14. </w:t>
      </w:r>
      <w:r>
        <w:rPr>
          <w:rFonts w:eastAsia="宋体"/>
          <w:szCs w:val="24"/>
        </w:rPr>
        <w:t xml:space="preserve">Transient </w:t>
      </w:r>
      <w:r>
        <w:rPr>
          <w:rFonts w:eastAsia="宋体"/>
          <w:i/>
          <w:szCs w:val="24"/>
        </w:rPr>
        <w:t>I</w:t>
      </w:r>
      <w:r>
        <w:rPr>
          <w:rFonts w:eastAsia="宋体"/>
          <w:szCs w:val="24"/>
          <w:vertAlign w:val="subscript"/>
        </w:rPr>
        <w:t>pulse</w:t>
      </w:r>
      <w:r>
        <w:rPr>
          <w:rFonts w:eastAsia="宋体"/>
          <w:szCs w:val="24"/>
        </w:rPr>
        <w:t>-</w:t>
      </w:r>
      <w:r>
        <w:rPr>
          <w:rFonts w:eastAsia="宋体"/>
          <w:i/>
          <w:szCs w:val="24"/>
        </w:rPr>
        <w:t>V</w:t>
      </w:r>
      <w:r>
        <w:rPr>
          <w:rFonts w:eastAsia="宋体"/>
          <w:szCs w:val="24"/>
          <w:vertAlign w:val="subscript"/>
        </w:rPr>
        <w:t>pulse</w:t>
      </w:r>
      <w:r>
        <w:rPr>
          <w:rFonts w:eastAsia="宋体"/>
          <w:szCs w:val="24"/>
        </w:rPr>
        <w:t xml:space="preserve"> pump-probe measurements of the charged molecule</w:t>
      </w:r>
    </w:p>
    <w:p w14:paraId="4EA45103">
      <w:pPr>
        <w:pStyle w:val="154"/>
        <w:spacing w:line="240" w:lineRule="auto"/>
        <w:ind w:firstLine="440"/>
        <w:rPr>
          <w:rFonts w:eastAsiaTheme="minorEastAsia"/>
        </w:rPr>
      </w:pPr>
      <w:r>
        <w:rPr>
          <w:rFonts w:eastAsiaTheme="minorEastAsia"/>
        </w:rPr>
        <w:t>Fig. S15. Electrical characterizations and all-electronic pump-probe measurements on a graphene tunnel junction</w:t>
      </w:r>
    </w:p>
    <w:p w14:paraId="2E3E9BEF">
      <w:pPr>
        <w:pStyle w:val="154"/>
        <w:spacing w:line="240" w:lineRule="auto"/>
        <w:ind w:firstLine="440"/>
        <w:rPr>
          <w:rFonts w:eastAsiaTheme="minorEastAsia"/>
        </w:rPr>
      </w:pPr>
      <w:r>
        <w:rPr>
          <w:rFonts w:eastAsiaTheme="minorEastAsia"/>
        </w:rPr>
        <w:t>Fig. S16. The differential conductance (right panel) derived from Iprobe-Vprobe curves (left panel) before (black) and after (blue) smoothing</w:t>
      </w:r>
    </w:p>
    <w:p w14:paraId="47D436D7">
      <w:pPr>
        <w:pStyle w:val="154"/>
        <w:spacing w:line="240" w:lineRule="auto"/>
        <w:ind w:firstLine="440"/>
        <w:rPr>
          <w:rFonts w:eastAsiaTheme="minorEastAsia"/>
        </w:rPr>
      </w:pPr>
      <w:r>
        <w:rPr>
          <w:rFonts w:eastAsiaTheme="minorEastAsia"/>
        </w:rPr>
        <w:t>Fig. S17. The time evolution of energy space between Peak 2 and Peak 3 shown in Fig. 4b</w:t>
      </w:r>
    </w:p>
    <w:p w14:paraId="3437527F">
      <w:pPr>
        <w:pStyle w:val="154"/>
        <w:spacing w:line="240" w:lineRule="auto"/>
        <w:ind w:firstLine="0" w:firstLineChars="0"/>
        <w:rPr>
          <w:rFonts w:eastAsiaTheme="minorEastAsia"/>
          <w:b/>
        </w:rPr>
      </w:pPr>
      <w:r>
        <w:rPr>
          <w:b/>
        </w:rPr>
        <w:t xml:space="preserve">Section IV. Theoretical calculation </w:t>
      </w:r>
    </w:p>
    <w:p w14:paraId="49648F34">
      <w:pPr>
        <w:pStyle w:val="154"/>
        <w:spacing w:line="240" w:lineRule="auto"/>
        <w:ind w:firstLine="440"/>
        <w:rPr>
          <w:rFonts w:eastAsiaTheme="minorEastAsia"/>
        </w:rPr>
      </w:pPr>
      <w:r>
        <w:rPr>
          <w:rFonts w:eastAsiaTheme="minorEastAsia"/>
        </w:rPr>
        <w:t xml:space="preserve">Fig. S18. Calculated molecular structure and frontier orbitals of </w:t>
      </w:r>
      <w:r>
        <w:rPr>
          <w:rFonts w:eastAsiaTheme="minorEastAsia"/>
          <w:b/>
        </w:rPr>
        <w:t>BP</w:t>
      </w:r>
      <w:r>
        <w:rPr>
          <w:rFonts w:eastAsiaTheme="minorEastAsia"/>
        </w:rPr>
        <w:t xml:space="preserve"> molecule</w:t>
      </w:r>
    </w:p>
    <w:p w14:paraId="53C27ED8">
      <w:pPr>
        <w:pStyle w:val="154"/>
        <w:spacing w:line="240" w:lineRule="auto"/>
        <w:ind w:firstLine="440"/>
        <w:rPr>
          <w:rFonts w:eastAsiaTheme="minorEastAsia"/>
        </w:rPr>
      </w:pPr>
      <w:r>
        <w:rPr>
          <w:rFonts w:eastAsiaTheme="minorEastAsia"/>
        </w:rPr>
        <w:t>Fig. S19. Illustration of single-particle picture and many-body pictures of the resonance peaks in Fig.4</w:t>
      </w:r>
    </w:p>
    <w:p w14:paraId="137549AB">
      <w:pPr>
        <w:pStyle w:val="154"/>
        <w:spacing w:line="240" w:lineRule="auto"/>
        <w:ind w:firstLine="440"/>
        <w:rPr>
          <w:rFonts w:eastAsiaTheme="minorEastAsia"/>
        </w:rPr>
      </w:pPr>
      <w:r>
        <w:rPr>
          <w:rFonts w:eastAsiaTheme="minorEastAsia"/>
        </w:rPr>
        <w:t>Fig. S20. Optimized structures of molecular junctions for different charged states.</w:t>
      </w:r>
    </w:p>
    <w:p w14:paraId="311FCEB8">
      <w:pPr>
        <w:pStyle w:val="154"/>
        <w:spacing w:line="240" w:lineRule="auto"/>
        <w:ind w:firstLine="440"/>
        <w:rPr>
          <w:rFonts w:eastAsiaTheme="minorEastAsia"/>
        </w:rPr>
      </w:pPr>
      <w:r>
        <w:rPr>
          <w:rFonts w:eastAsiaTheme="minorEastAsia"/>
        </w:rPr>
        <w:t>Fig. S21. Energy level of single molecule in molecular junctions for different charged states and structure</w:t>
      </w:r>
    </w:p>
    <w:p w14:paraId="31D69928">
      <w:pPr>
        <w:pStyle w:val="154"/>
        <w:spacing w:line="240" w:lineRule="auto"/>
        <w:ind w:firstLine="440"/>
        <w:rPr>
          <w:rFonts w:eastAsiaTheme="minorEastAsia"/>
        </w:rPr>
      </w:pPr>
      <w:r>
        <w:rPr>
          <w:rFonts w:eastAsiaTheme="minorEastAsia"/>
        </w:rPr>
        <w:t>Table S</w:t>
      </w:r>
      <w:r>
        <w:rPr>
          <w:rFonts w:hint="eastAsia" w:eastAsiaTheme="minorEastAsia"/>
        </w:rPr>
        <w:t>1</w:t>
      </w:r>
      <w:r>
        <w:rPr>
          <w:rFonts w:eastAsiaTheme="minorEastAsia"/>
        </w:rPr>
        <w:t>. Calculated energy variations relative to D</w:t>
      </w:r>
      <w:r>
        <w:rPr>
          <w:rFonts w:eastAsiaTheme="minorEastAsia"/>
          <w:vertAlign w:val="subscript"/>
        </w:rPr>
        <w:t>0</w:t>
      </w:r>
      <w:r>
        <w:rPr>
          <w:rFonts w:eastAsiaTheme="minorEastAsia"/>
          <w:vertAlign w:val="superscript"/>
        </w:rPr>
        <w:t xml:space="preserve">+ </w:t>
      </w:r>
      <w:r>
        <w:rPr>
          <w:rFonts w:eastAsiaTheme="minorEastAsia"/>
        </w:rPr>
        <w:t>due to molecule geometries</w:t>
      </w:r>
    </w:p>
    <w:p w14:paraId="10BE5027">
      <w:pPr>
        <w:pStyle w:val="154"/>
        <w:spacing w:line="240" w:lineRule="auto"/>
        <w:ind w:firstLine="440"/>
        <w:rPr>
          <w:rFonts w:eastAsiaTheme="minorEastAsia"/>
        </w:rPr>
      </w:pPr>
      <w:r>
        <w:rPr>
          <w:rFonts w:eastAsiaTheme="minorEastAsia"/>
        </w:rPr>
        <w:t>Table S</w:t>
      </w:r>
      <w:r>
        <w:rPr>
          <w:rFonts w:hint="eastAsia" w:eastAsiaTheme="minorEastAsia"/>
        </w:rPr>
        <w:t>2</w:t>
      </w:r>
      <w:r>
        <w:rPr>
          <w:rFonts w:eastAsiaTheme="minorEastAsia"/>
        </w:rPr>
        <w:t>.</w:t>
      </w:r>
      <w:r>
        <w:rPr>
          <w:rFonts w:hint="eastAsia" w:eastAsiaTheme="minorEastAsia"/>
        </w:rPr>
        <w:t xml:space="preserve"> </w:t>
      </w:r>
      <w:r>
        <w:rPr>
          <w:rFonts w:eastAsiaTheme="minorEastAsia"/>
        </w:rPr>
        <w:t>Calculated dipole moment of N, N-1 and N-2 state</w:t>
      </w:r>
    </w:p>
    <w:p w14:paraId="52C37325">
      <w:pPr>
        <w:pStyle w:val="154"/>
        <w:spacing w:line="240" w:lineRule="auto"/>
        <w:ind w:firstLine="440"/>
        <w:rPr>
          <w:rFonts w:eastAsiaTheme="minorEastAsia"/>
        </w:rPr>
      </w:pPr>
      <w:r>
        <w:rPr>
          <w:rFonts w:eastAsiaTheme="minorEastAsia"/>
        </w:rPr>
        <w:t>Table S3. Calculated energy variations due to molecule geometries.</w:t>
      </w:r>
    </w:p>
    <w:p w14:paraId="07B33E1C">
      <w:pPr>
        <w:rPr>
          <w:sz w:val="22"/>
          <w:szCs w:val="22"/>
          <w:lang w:val="de-DE" w:eastAsia="zh-CN"/>
        </w:rPr>
      </w:pPr>
      <w:r>
        <w:br w:type="page"/>
      </w:r>
      <w:bookmarkEnd w:id="3"/>
    </w:p>
    <w:p w14:paraId="49C7B9FE">
      <w:pPr>
        <w:pStyle w:val="101"/>
        <w:rPr>
          <w:b/>
          <w:u w:val="none"/>
        </w:rPr>
      </w:pPr>
      <w:r>
        <w:rPr>
          <w:b/>
          <w:u w:val="none"/>
        </w:rPr>
        <w:t xml:space="preserve">Section </w:t>
      </w:r>
      <w:r>
        <w:rPr>
          <w:b/>
          <w:u w:val="none"/>
          <w:lang w:eastAsia="zh-CN"/>
        </w:rPr>
        <w:t>Ⅰ</w:t>
      </w:r>
      <w:r>
        <w:rPr>
          <w:b/>
          <w:u w:val="none"/>
        </w:rPr>
        <w:t>. Molecular Synthesis</w:t>
      </w:r>
    </w:p>
    <w:p w14:paraId="0E372423">
      <w:pPr>
        <w:jc w:val="both"/>
        <w:rPr>
          <w:rFonts w:eastAsia="宋体"/>
        </w:rPr>
      </w:pPr>
      <w:r>
        <w:rPr>
          <w:rFonts w:eastAsia="宋体"/>
        </w:rPr>
        <w:t>All reagents were purchased from TCI and used without further purification. The NMR spectra were recorded on a BRUKER AVANCE NEO 500 instrument and Tetramethylsilane (TMS) was used as an internal standard.</w:t>
      </w:r>
    </w:p>
    <w:p w14:paraId="7472048A">
      <w:pPr>
        <w:jc w:val="both"/>
        <w:rPr>
          <w:rFonts w:eastAsia="宋体"/>
        </w:rPr>
      </w:pPr>
      <w:r>
        <w:rPr>
          <w:rFonts w:ascii="Calibri" w:hAnsi="Calibri" w:eastAsia="宋体"/>
          <w:kern w:val="2"/>
          <w:sz w:val="21"/>
          <w:szCs w:val="22"/>
          <w:lang w:eastAsia="zh-CN"/>
        </w:rPr>
        <w:drawing>
          <wp:inline distT="0" distB="0" distL="114300" distR="114300">
            <wp:extent cx="5932805" cy="17684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33277" cy="1768864"/>
                    </a:xfrm>
                    <a:prstGeom prst="rect">
                      <a:avLst/>
                    </a:prstGeom>
                    <a:noFill/>
                    <a:ln>
                      <a:noFill/>
                    </a:ln>
                  </pic:spPr>
                </pic:pic>
              </a:graphicData>
            </a:graphic>
          </wp:inline>
        </w:drawing>
      </w:r>
    </w:p>
    <w:p w14:paraId="55251A51">
      <w:pPr>
        <w:jc w:val="both"/>
        <w:rPr>
          <w:rFonts w:eastAsia="宋体"/>
        </w:rPr>
      </w:pPr>
      <w:r>
        <w:rPr>
          <w:rFonts w:eastAsia="宋体"/>
          <w:b/>
        </w:rPr>
        <w:t>Scheme 1</w:t>
      </w:r>
      <w:r>
        <w:rPr>
          <w:rFonts w:eastAsia="宋体"/>
        </w:rPr>
        <w:t>: Schematic representations of 1,4-bis(hexyloxy)-2,5-bis(ethynylpyrene)benzene (BP) molecule synthesis</w:t>
      </w:r>
    </w:p>
    <w:p w14:paraId="0B6F7CC1">
      <w:pPr>
        <w:jc w:val="both"/>
        <w:rPr>
          <w:rFonts w:eastAsia="宋体"/>
        </w:rPr>
      </w:pPr>
    </w:p>
    <w:p w14:paraId="26DAC4CE">
      <w:pPr>
        <w:jc w:val="both"/>
        <w:rPr>
          <w:rFonts w:eastAsia="等线"/>
          <w:kern w:val="2"/>
          <w:szCs w:val="24"/>
          <w:lang w:eastAsia="zh-CN"/>
        </w:rPr>
      </w:pPr>
      <w:r>
        <w:rPr>
          <w:rFonts w:eastAsia="等线"/>
          <w:kern w:val="2"/>
          <w:szCs w:val="24"/>
          <w:lang w:eastAsia="zh-CN"/>
        </w:rPr>
        <w:t>Synthesis of trimethyl(pyren-1-ylethynyl)silane (</w:t>
      </w:r>
      <w:r>
        <w:rPr>
          <w:rFonts w:eastAsia="等线"/>
          <w:b/>
          <w:kern w:val="2"/>
          <w:szCs w:val="24"/>
          <w:lang w:eastAsia="zh-CN"/>
        </w:rPr>
        <w:t>Compound 2</w:t>
      </w:r>
      <w:r>
        <w:rPr>
          <w:rFonts w:eastAsia="等线"/>
          <w:kern w:val="2"/>
          <w:szCs w:val="24"/>
          <w:lang w:eastAsia="zh-CN"/>
        </w:rPr>
        <w:t>): A mixture of 1-bromopyrene (562 mg, 2 mmol), Pd(PPh</w:t>
      </w:r>
      <w:r>
        <w:rPr>
          <w:rFonts w:eastAsia="等线"/>
          <w:kern w:val="2"/>
          <w:szCs w:val="24"/>
          <w:vertAlign w:val="subscript"/>
          <w:lang w:eastAsia="zh-CN"/>
        </w:rPr>
        <w:t>3</w:t>
      </w:r>
      <w:r>
        <w:rPr>
          <w:rFonts w:eastAsia="等线"/>
          <w:kern w:val="2"/>
          <w:szCs w:val="24"/>
          <w:lang w:eastAsia="zh-CN"/>
        </w:rPr>
        <w:t>)</w:t>
      </w:r>
      <w:r>
        <w:rPr>
          <w:rFonts w:eastAsia="等线"/>
          <w:kern w:val="2"/>
          <w:szCs w:val="24"/>
          <w:vertAlign w:val="subscript"/>
          <w:lang w:eastAsia="zh-CN"/>
        </w:rPr>
        <w:t>2</w:t>
      </w:r>
      <w:r>
        <w:rPr>
          <w:rFonts w:eastAsia="等线"/>
          <w:kern w:val="2"/>
          <w:szCs w:val="24"/>
          <w:lang w:eastAsia="zh-CN"/>
        </w:rPr>
        <w:t>Cl</w:t>
      </w:r>
      <w:r>
        <w:rPr>
          <w:rFonts w:eastAsia="等线"/>
          <w:kern w:val="2"/>
          <w:szCs w:val="24"/>
          <w:vertAlign w:val="subscript"/>
          <w:lang w:eastAsia="zh-CN"/>
        </w:rPr>
        <w:t>2</w:t>
      </w:r>
      <w:r>
        <w:rPr>
          <w:rFonts w:eastAsia="等线"/>
          <w:kern w:val="2"/>
          <w:szCs w:val="24"/>
          <w:lang w:eastAsia="zh-CN"/>
        </w:rPr>
        <w:t xml:space="preserve"> (70 mg, 0.1 mmol), and CuI (4 mg, 0.02 mmol) was dissolved in Et3N (10 mL). The solution was then degassed and refilled with N</w:t>
      </w:r>
      <w:r>
        <w:rPr>
          <w:rFonts w:eastAsia="等线"/>
          <w:kern w:val="2"/>
          <w:szCs w:val="24"/>
          <w:vertAlign w:val="subscript"/>
          <w:lang w:eastAsia="zh-CN"/>
        </w:rPr>
        <w:t>2</w:t>
      </w:r>
      <w:r>
        <w:rPr>
          <w:rFonts w:eastAsia="等线"/>
          <w:kern w:val="2"/>
          <w:szCs w:val="24"/>
          <w:lang w:eastAsia="zh-CN"/>
        </w:rPr>
        <w:t>. TMSA (236 mg, 2.4 mmol in 10 mL Et</w:t>
      </w:r>
      <w:r>
        <w:rPr>
          <w:rFonts w:eastAsia="等线"/>
          <w:kern w:val="2"/>
          <w:szCs w:val="24"/>
          <w:vertAlign w:val="subscript"/>
          <w:lang w:eastAsia="zh-CN"/>
        </w:rPr>
        <w:t>3</w:t>
      </w:r>
      <w:r>
        <w:rPr>
          <w:rFonts w:eastAsia="等线"/>
          <w:kern w:val="2"/>
          <w:szCs w:val="24"/>
          <w:lang w:eastAsia="zh-CN"/>
        </w:rPr>
        <w:t>N) was slowly added to the mixture. The reaction was allowed to proceed at room temperature for 6 hours. The resulting residue was purified using a silica chromatography column (EA/Hex = 1:4) to obtain a yellow solid, which was directly used in the subsequent step without any further purification.</w:t>
      </w:r>
    </w:p>
    <w:p w14:paraId="31BCCB8F">
      <w:pPr>
        <w:jc w:val="both"/>
        <w:rPr>
          <w:rFonts w:eastAsia="等线"/>
          <w:kern w:val="2"/>
          <w:szCs w:val="24"/>
          <w:lang w:eastAsia="zh-CN"/>
        </w:rPr>
      </w:pPr>
      <w:r>
        <w:rPr>
          <w:rFonts w:eastAsia="等线"/>
          <w:kern w:val="2"/>
          <w:szCs w:val="24"/>
          <w:lang w:eastAsia="zh-CN"/>
        </w:rPr>
        <w:t>Synthesis of 1-ethynylpyrene (</w:t>
      </w:r>
      <w:r>
        <w:rPr>
          <w:rFonts w:eastAsia="等线"/>
          <w:b/>
          <w:kern w:val="2"/>
          <w:szCs w:val="24"/>
          <w:lang w:eastAsia="zh-CN"/>
        </w:rPr>
        <w:t>Compound 3</w:t>
      </w:r>
      <w:r>
        <w:rPr>
          <w:rFonts w:eastAsia="等线"/>
          <w:kern w:val="2"/>
          <w:szCs w:val="24"/>
          <w:lang w:eastAsia="zh-CN"/>
        </w:rPr>
        <w:t xml:space="preserve">) </w:t>
      </w:r>
      <w:r>
        <w:rPr>
          <w:rFonts w:eastAsia="等线"/>
          <w:kern w:val="2"/>
          <w:szCs w:val="24"/>
          <w:lang w:eastAsia="zh-CN"/>
        </w:rPr>
        <w:fldChar w:fldCharType="begin"/>
      </w:r>
      <w:r>
        <w:rPr>
          <w:rFonts w:eastAsia="等线"/>
          <w:kern w:val="2"/>
          <w:szCs w:val="24"/>
          <w:lang w:eastAsia="zh-CN"/>
        </w:rPr>
        <w:instrText xml:space="preserve"> ADDIN EN.CITE &lt;EndNote&gt;&lt;Cite&gt;&lt;Author&gt;Wu&lt;/Author&gt;&lt;Year&gt;2011&lt;/Year&gt;&lt;RecNum&gt;10233&lt;/RecNum&gt;&lt;DisplayText&gt;&lt;style face="superscript"&gt;1&lt;/style&gt;&lt;/DisplayText&gt;&lt;record&gt;&lt;rec-number&gt;10233&lt;/rec-number&gt;&lt;foreign-keys&gt;&lt;key app="EN" db-id="xxfpxsfd3wsxzoezwt55ps0jt5s2fffz0xaf" timestamp="1698114479"&gt;10233&lt;/key&gt;&lt;/foreign-keys&gt;&lt;ref-type name="Journal Article"&gt;17&lt;/ref-type&gt;&lt;contributors&gt;&lt;authors&gt;&lt;author&gt;Wu, Wanhua&lt;/author&gt;&lt;author&gt;Sun, Jifu&lt;/author&gt;&lt;author&gt;Ji, Shaomin&lt;/author&gt;&lt;author&gt;Wu, Wenting&lt;/author&gt;&lt;author&gt;Zhao, Jianzhang&lt;/author&gt;&lt;author&gt;Guo, Huimin&lt;/author&gt;&lt;/authors&gt;&lt;/contributors&gt;&lt;titles&gt;&lt;title&gt;Tuning the emissive triplet excited states of platinum(ii) Schiff base complexes with pyrene, and application for luminescent oxygen sensing and triplet–triplet-annihilation based upconversions&lt;/title&gt;&lt;secondary-title&gt;Dalton Transactions&lt;/secondary-title&gt;&lt;/titles&gt;&lt;periodical&gt;&lt;full-title&gt;Dalton Transactions&lt;/full-title&gt;&lt;abbr-1&gt;Dalton Trans. &lt;/abbr-1&gt;&lt;abbr-2&gt;Dalton Trans&lt;/abbr-2&gt;&lt;/periodical&gt;&lt;pages&gt;11550-11561&lt;/pages&gt;&lt;volume&gt;40&lt;/volume&gt;&lt;number&gt;43&lt;/number&gt;&lt;dates&gt;&lt;year&gt;2011&lt;/year&gt;&lt;/dates&gt;&lt;publisher&gt;The Royal Society of Chemistry&lt;/publisher&gt;&lt;isbn&gt;1477-9226&lt;/isbn&gt;&lt;work-type&gt;10.1039/C1DT11001B&lt;/work-type&gt;&lt;urls&gt;&lt;related-urls&gt;&lt;url&gt;http://dx.doi.org/10.1039/C1DT11001B&lt;/url&gt;&lt;/related-urls&gt;&lt;/urls&gt;&lt;electronic-resource-num&gt;10.1039/C1DT11001B&lt;/electronic-resource-num&gt;&lt;/record&gt;&lt;/Cite&gt;&lt;/EndNote&gt;</w:instrText>
      </w:r>
      <w:r>
        <w:rPr>
          <w:rFonts w:eastAsia="等线"/>
          <w:kern w:val="2"/>
          <w:szCs w:val="24"/>
          <w:lang w:eastAsia="zh-CN"/>
        </w:rPr>
        <w:fldChar w:fldCharType="separate"/>
      </w:r>
      <w:r>
        <w:rPr>
          <w:rFonts w:eastAsia="等线"/>
          <w:kern w:val="2"/>
          <w:szCs w:val="24"/>
          <w:vertAlign w:val="superscript"/>
          <w:lang w:eastAsia="zh-CN"/>
        </w:rPr>
        <w:t>1</w:t>
      </w:r>
      <w:r>
        <w:rPr>
          <w:rFonts w:eastAsia="等线"/>
          <w:kern w:val="2"/>
          <w:szCs w:val="24"/>
          <w:lang w:eastAsia="zh-CN"/>
        </w:rPr>
        <w:fldChar w:fldCharType="end"/>
      </w:r>
      <w:r>
        <w:rPr>
          <w:rFonts w:eastAsia="等线"/>
          <w:kern w:val="2"/>
          <w:szCs w:val="24"/>
          <w:lang w:eastAsia="zh-CN"/>
        </w:rPr>
        <w:t>: A mixture of trimethyl(pyren-1-ylethynyl)silane (597 mg, 2 mmol), KOH (561 mg, 10 mmol), MeOH (10 mL), and THF (10 mL) was stirred at room temperature for 3 hours. Subsequently, the reaction mixture was extracted with ethyl acetate and washed with brine. After the solvent was evaporated, 1-ethynylpyrene was obtained as a yellow-brown solid. The compound was further purified using a silica chromatography column (DCM/Hex, v/v = 1:20 to 1:10), resulting in the isolation of the product (355 mg, 80% yield). 1HNMR (500 MHz, CDCl</w:t>
      </w:r>
      <w:r>
        <w:rPr>
          <w:rFonts w:eastAsia="等线"/>
          <w:kern w:val="2"/>
          <w:szCs w:val="24"/>
          <w:vertAlign w:val="subscript"/>
          <w:lang w:eastAsia="zh-CN"/>
        </w:rPr>
        <w:t>3</w:t>
      </w:r>
      <w:r>
        <w:rPr>
          <w:rFonts w:eastAsia="等线"/>
          <w:kern w:val="2"/>
          <w:szCs w:val="24"/>
          <w:lang w:eastAsia="zh-CN"/>
        </w:rPr>
        <w:t xml:space="preserve">): δ =8.59 (d, 2H, J = 9.1 Hz), 8.17-8.25 (m, 4H), 8.11 (d, 2H, J = 8.5 Hz), 8.0-8.06 (m, 2H), 3.63 (s, 1H) ppm. </w:t>
      </w:r>
    </w:p>
    <w:p w14:paraId="32D9F3AF">
      <w:pPr>
        <w:jc w:val="both"/>
        <w:rPr>
          <w:rFonts w:eastAsia="等线"/>
          <w:kern w:val="2"/>
          <w:szCs w:val="24"/>
          <w:lang w:eastAsia="zh-CN"/>
        </w:rPr>
      </w:pPr>
      <w:r>
        <w:rPr>
          <w:rFonts w:eastAsia="等线"/>
          <w:kern w:val="2"/>
          <w:szCs w:val="24"/>
          <w:lang w:eastAsia="zh-CN"/>
        </w:rPr>
        <w:t>Synthesis of 1,4-bis(hexyloxy)benzene (</w:t>
      </w:r>
      <w:r>
        <w:rPr>
          <w:rFonts w:eastAsia="等线"/>
          <w:b/>
          <w:kern w:val="2"/>
          <w:szCs w:val="24"/>
          <w:lang w:eastAsia="zh-CN"/>
        </w:rPr>
        <w:t>Compound 5</w:t>
      </w:r>
      <w:r>
        <w:rPr>
          <w:rFonts w:eastAsia="等线"/>
          <w:kern w:val="2"/>
          <w:szCs w:val="24"/>
          <w:lang w:eastAsia="zh-CN"/>
        </w:rPr>
        <w:t xml:space="preserve">): To 100 mL of distilled dimethylformamide, hydroquinone (13.21 g, 120 mmol) and potassium hydroxide (27 g, 480 mmol) were added with vigorous stirring for 30 minutes under a nitrogen atmosphere. Subsequently, n-hexyl bromide (59 g, 260 mmol) was added dropwise to the mixture. The reaction was allowed to proceed for 7 hours, after which the mixture was poured into an ample amount of distilled water, resulting in the formation of a light-yellow solid at the upper layer. The crude product was recrystallized with isopropyl and then filtered. The filtered product was washed successively with distilled water and 10% sodium hydroxide, followed by drying under vacuum, yielding a white sheet-like product. This product was directly used in the subsequent step without further purification. </w:t>
      </w:r>
    </w:p>
    <w:p w14:paraId="16933C15">
      <w:pPr>
        <w:jc w:val="both"/>
        <w:rPr>
          <w:rFonts w:eastAsia="等线"/>
          <w:kern w:val="2"/>
          <w:szCs w:val="24"/>
          <w:lang w:eastAsia="zh-CN"/>
        </w:rPr>
      </w:pPr>
      <w:r>
        <w:rPr>
          <w:rFonts w:eastAsia="等线"/>
          <w:kern w:val="2"/>
          <w:szCs w:val="24"/>
          <w:lang w:eastAsia="zh-CN"/>
        </w:rPr>
        <w:t>Synthesis of 1,4-bis(hexyloxy)-2,5-diiodobenzene (</w:t>
      </w:r>
      <w:r>
        <w:rPr>
          <w:rFonts w:eastAsia="等线"/>
          <w:b/>
          <w:kern w:val="2"/>
          <w:szCs w:val="24"/>
          <w:lang w:eastAsia="zh-CN"/>
        </w:rPr>
        <w:t>Compound 6</w:t>
      </w:r>
      <w:r>
        <w:rPr>
          <w:rFonts w:eastAsia="等线"/>
          <w:kern w:val="2"/>
          <w:szCs w:val="24"/>
          <w:lang w:eastAsia="zh-CN"/>
        </w:rPr>
        <w:t>)</w:t>
      </w:r>
      <w:r>
        <w:rPr>
          <w:rFonts w:eastAsia="等线"/>
          <w:kern w:val="2"/>
          <w:szCs w:val="24"/>
          <w:lang w:eastAsia="zh-CN"/>
        </w:rPr>
        <w:fldChar w:fldCharType="begin"/>
      </w:r>
      <w:r>
        <w:rPr>
          <w:rFonts w:eastAsia="等线"/>
          <w:kern w:val="2"/>
          <w:szCs w:val="24"/>
          <w:lang w:eastAsia="zh-CN"/>
        </w:rPr>
        <w:instrText xml:space="preserve"> ADDIN EN.CITE &lt;EndNote&gt;&lt;Cite&gt;&lt;Author&gt;Gopi&lt;/Author&gt;&lt;Year&gt;2018&lt;/Year&gt;&lt;RecNum&gt;10234&lt;/RecNum&gt;&lt;DisplayText&gt;&lt;style face="superscript"&gt;2&lt;/style&gt;&lt;/DisplayText&gt;&lt;record&gt;&lt;rec-number&gt;10234&lt;/rec-number&gt;&lt;foreign-keys&gt;&lt;key app="EN" db-id="xxfpxsfd3wsxzoezwt55ps0jt5s2fffz0xaf" timestamp="1698114835"&gt;10234&lt;/key&gt;&lt;/foreign-keys&gt;&lt;ref-type name="Journal Article"&gt;17&lt;/ref-type&gt;&lt;contributors&gt;&lt;authors&gt;&lt;author&gt;Gopi, Arun&lt;/author&gt;&lt;author&gt;Sajitha, Manikantan&lt;/author&gt;&lt;author&gt;Haridas, Reethu&lt;/author&gt;&lt;author&gt;Varghese, Listo&lt;/author&gt;&lt;author&gt;Yoosaf, Karuvath&lt;/author&gt;&lt;/authors&gt;&lt;/contributors&gt;&lt;titles&gt;&lt;title&gt;Cooperative and FRET-Assisted Brightness Enhancement in Oligo(phenylene ethynylene): Quantum Dot Organic–Inorganic Nanohybrids&lt;/title&gt;&lt;secondary-title&gt;Chemistry – An Asian Journal&lt;/secondary-title&gt;&lt;/titles&gt;&lt;periodical&gt;&lt;full-title&gt;Chemistry – An Asian Journal&lt;/full-title&gt;&lt;abbr-1&gt;Chem. Asian J.&lt;/abbr-1&gt;&lt;abbr-2&gt;Chem Asian J&lt;/abbr-2&gt;&lt;/periodical&gt;&lt;pages&gt;1492-1499&lt;/pages&gt;&lt;volume&gt;13&lt;/volume&gt;&lt;number&gt;11&lt;/number&gt;&lt;keywords&gt;&lt;keyword&gt;donor–acceptor systems&lt;/keyword&gt;&lt;keyword&gt;FRET&lt;/keyword&gt;&lt;keyword&gt;nanomaterials&lt;/keyword&gt;&lt;keyword&gt;photonics&lt;/keyword&gt;&lt;keyword&gt;organic–inorganic hybrid composites&lt;/keyword&gt;&lt;/keywords&gt;&lt;dates&gt;&lt;year&gt;2018&lt;/year&gt;&lt;pub-dates&gt;&lt;date&gt;2018/06/04&lt;/date&gt;&lt;/pub-dates&gt;&lt;/dates&gt;&lt;publisher&gt;John Wiley &amp;amp; Sons, Ltd&lt;/publisher&gt;&lt;isbn&gt;1861-4728&lt;/isbn&gt;&lt;urls&gt;&lt;related-urls&gt;&lt;url&gt;https://doi.org/10.1002/asia.201800328&lt;/url&gt;&lt;/related-urls&gt;&lt;/urls&gt;&lt;electronic-resource-num&gt;https://doi.org/10.1002/asia.201800328&lt;/electronic-resource-num&gt;&lt;access-date&gt;2023/10/23&lt;/access-date&gt;&lt;/record&gt;&lt;/Cite&gt;&lt;/EndNote&gt;</w:instrText>
      </w:r>
      <w:r>
        <w:rPr>
          <w:rFonts w:eastAsia="等线"/>
          <w:kern w:val="2"/>
          <w:szCs w:val="24"/>
          <w:lang w:eastAsia="zh-CN"/>
        </w:rPr>
        <w:fldChar w:fldCharType="separate"/>
      </w:r>
      <w:r>
        <w:rPr>
          <w:rFonts w:eastAsia="等线"/>
          <w:kern w:val="2"/>
          <w:szCs w:val="24"/>
          <w:vertAlign w:val="superscript"/>
          <w:lang w:eastAsia="zh-CN"/>
        </w:rPr>
        <w:t>2</w:t>
      </w:r>
      <w:r>
        <w:rPr>
          <w:rFonts w:eastAsia="等线"/>
          <w:kern w:val="2"/>
          <w:szCs w:val="24"/>
          <w:lang w:eastAsia="zh-CN"/>
        </w:rPr>
        <w:fldChar w:fldCharType="end"/>
      </w:r>
      <w:r>
        <w:rPr>
          <w:rFonts w:eastAsia="等线"/>
          <w:kern w:val="2"/>
          <w:szCs w:val="24"/>
          <w:lang w:eastAsia="zh-CN"/>
        </w:rPr>
        <w:t>: To a solution of 1,4-Bis(hexyloxy)benzene (1.8 g, 6.5 mmol) in 8 mL of acetic acid, 1 mL of water, and 0.5 mL of H</w:t>
      </w:r>
      <w:r>
        <w:rPr>
          <w:rFonts w:eastAsia="等线"/>
          <w:kern w:val="2"/>
          <w:szCs w:val="24"/>
          <w:vertAlign w:val="subscript"/>
          <w:lang w:eastAsia="zh-CN"/>
        </w:rPr>
        <w:t>2</w:t>
      </w:r>
      <w:r>
        <w:rPr>
          <w:rFonts w:eastAsia="等线"/>
          <w:kern w:val="2"/>
          <w:szCs w:val="24"/>
          <w:lang w:eastAsia="zh-CN"/>
        </w:rPr>
        <w:t>SO</w:t>
      </w:r>
      <w:r>
        <w:rPr>
          <w:rFonts w:eastAsia="等线"/>
          <w:kern w:val="2"/>
          <w:szCs w:val="24"/>
          <w:vertAlign w:val="subscript"/>
          <w:lang w:eastAsia="zh-CN"/>
        </w:rPr>
        <w:t>4</w:t>
      </w:r>
      <w:r>
        <w:rPr>
          <w:rFonts w:eastAsia="等线"/>
          <w:kern w:val="2"/>
          <w:szCs w:val="24"/>
          <w:lang w:eastAsia="zh-CN"/>
        </w:rPr>
        <w:t>, KIO</w:t>
      </w:r>
      <w:r>
        <w:rPr>
          <w:rFonts w:eastAsia="等线"/>
          <w:kern w:val="2"/>
          <w:szCs w:val="24"/>
          <w:vertAlign w:val="subscript"/>
          <w:lang w:eastAsia="zh-CN"/>
        </w:rPr>
        <w:t>3</w:t>
      </w:r>
      <w:r>
        <w:rPr>
          <w:rFonts w:eastAsia="等线"/>
          <w:kern w:val="2"/>
          <w:szCs w:val="24"/>
          <w:lang w:eastAsia="zh-CN"/>
        </w:rPr>
        <w:t xml:space="preserve"> (1.08 g, 5.05 mmol) and I</w:t>
      </w:r>
      <w:r>
        <w:rPr>
          <w:rFonts w:eastAsia="等线"/>
          <w:kern w:val="2"/>
          <w:szCs w:val="24"/>
          <w:vertAlign w:val="subscript"/>
          <w:lang w:eastAsia="zh-CN"/>
        </w:rPr>
        <w:t>2</w:t>
      </w:r>
      <w:r>
        <w:rPr>
          <w:rFonts w:eastAsia="等线"/>
          <w:kern w:val="2"/>
          <w:szCs w:val="24"/>
          <w:lang w:eastAsia="zh-CN"/>
        </w:rPr>
        <w:t xml:space="preserve"> (1.21 g; 4.77 mmol) were added. The reaction mixture was stirred at 120°C for 24 hours and then cooled to room temperature. Excess iodine was eliminated by the addition of sodium thiosulfate until the brown color of iodine disappeared. Excess H</w:t>
      </w:r>
      <w:r>
        <w:rPr>
          <w:rFonts w:eastAsia="等线"/>
          <w:kern w:val="2"/>
          <w:szCs w:val="24"/>
          <w:vertAlign w:val="subscript"/>
          <w:lang w:eastAsia="zh-CN"/>
        </w:rPr>
        <w:t>2</w:t>
      </w:r>
      <w:r>
        <w:rPr>
          <w:rFonts w:eastAsia="等线"/>
          <w:kern w:val="2"/>
          <w:szCs w:val="24"/>
          <w:lang w:eastAsia="zh-CN"/>
        </w:rPr>
        <w:t>SO</w:t>
      </w:r>
      <w:r>
        <w:rPr>
          <w:rFonts w:eastAsia="等线"/>
          <w:kern w:val="2"/>
          <w:szCs w:val="24"/>
          <w:vertAlign w:val="subscript"/>
          <w:lang w:eastAsia="zh-CN"/>
        </w:rPr>
        <w:t>4</w:t>
      </w:r>
      <w:r>
        <w:rPr>
          <w:rFonts w:eastAsia="等线"/>
          <w:kern w:val="2"/>
          <w:szCs w:val="24"/>
          <w:lang w:eastAsia="zh-CN"/>
        </w:rPr>
        <w:t xml:space="preserve"> was neutralized by the addition of Na</w:t>
      </w:r>
      <w:r>
        <w:rPr>
          <w:rFonts w:eastAsia="等线"/>
          <w:kern w:val="2"/>
          <w:szCs w:val="24"/>
          <w:vertAlign w:val="subscript"/>
          <w:lang w:eastAsia="zh-CN"/>
        </w:rPr>
        <w:t>2</w:t>
      </w:r>
      <w:r>
        <w:rPr>
          <w:rFonts w:eastAsia="等线"/>
          <w:kern w:val="2"/>
          <w:szCs w:val="24"/>
          <w:lang w:eastAsia="zh-CN"/>
        </w:rPr>
        <w:t>CO</w:t>
      </w:r>
      <w:r>
        <w:rPr>
          <w:rFonts w:eastAsia="等线"/>
          <w:kern w:val="2"/>
          <w:szCs w:val="24"/>
          <w:vertAlign w:val="subscript"/>
          <w:lang w:eastAsia="zh-CN"/>
        </w:rPr>
        <w:t>3</w:t>
      </w:r>
      <w:r>
        <w:rPr>
          <w:rFonts w:eastAsia="等线"/>
          <w:kern w:val="2"/>
          <w:szCs w:val="24"/>
          <w:lang w:eastAsia="zh-CN"/>
        </w:rPr>
        <w:t xml:space="preserve"> until the vigorous effervescence ceased. The resulting mixture was extracted with chloroform, dried over Na</w:t>
      </w:r>
      <w:r>
        <w:rPr>
          <w:rFonts w:eastAsia="等线"/>
          <w:kern w:val="2"/>
          <w:szCs w:val="24"/>
          <w:vertAlign w:val="subscript"/>
          <w:lang w:eastAsia="zh-CN"/>
        </w:rPr>
        <w:t>2</w:t>
      </w:r>
      <w:r>
        <w:rPr>
          <w:rFonts w:eastAsia="等线"/>
          <w:kern w:val="2"/>
          <w:szCs w:val="24"/>
          <w:lang w:eastAsia="zh-CN"/>
        </w:rPr>
        <w:t>SO</w:t>
      </w:r>
      <w:r>
        <w:rPr>
          <w:rFonts w:eastAsia="等线"/>
          <w:kern w:val="2"/>
          <w:szCs w:val="24"/>
          <w:vertAlign w:val="subscript"/>
          <w:lang w:eastAsia="zh-CN"/>
        </w:rPr>
        <w:t>4</w:t>
      </w:r>
      <w:r>
        <w:rPr>
          <w:rFonts w:eastAsia="等线"/>
          <w:kern w:val="2"/>
          <w:szCs w:val="24"/>
          <w:lang w:eastAsia="zh-CN"/>
        </w:rPr>
        <w:t xml:space="preserve">, concentrated, and subsequently purified by column chromatography using silica with hexane as the eluent, yielding the compound as a white crystalline solid (yield = 41%). </w:t>
      </w:r>
      <w:r>
        <w:rPr>
          <w:rFonts w:eastAsia="等线"/>
          <w:kern w:val="2"/>
          <w:szCs w:val="24"/>
          <w:vertAlign w:val="superscript"/>
          <w:lang w:eastAsia="zh-CN"/>
        </w:rPr>
        <w:t>1</w:t>
      </w:r>
      <w:r>
        <w:rPr>
          <w:rFonts w:eastAsia="等线"/>
          <w:kern w:val="2"/>
          <w:szCs w:val="24"/>
          <w:lang w:eastAsia="zh-CN"/>
        </w:rPr>
        <w:t xml:space="preserve">HNMR (500 MHz, CDCl3): δ =7.17 (s, 2H), 3.92 (t, 4H, J = 6.45 Hz), 1.79 (m, 4H), 1.3-1.55 (m, 12H), 0.91 (t, 6H, J = 7.05 Hz) ppm. </w:t>
      </w:r>
    </w:p>
    <w:p w14:paraId="2974BAE9">
      <w:pPr>
        <w:jc w:val="both"/>
        <w:rPr>
          <w:rFonts w:eastAsia="等线"/>
          <w:kern w:val="2"/>
          <w:szCs w:val="24"/>
          <w:lang w:eastAsia="zh-CN"/>
        </w:rPr>
      </w:pPr>
      <w:r>
        <w:rPr>
          <w:rFonts w:eastAsia="等线"/>
          <w:kern w:val="2"/>
          <w:szCs w:val="24"/>
          <w:lang w:eastAsia="zh-CN"/>
        </w:rPr>
        <w:t>Synthesis of 1,4-bis(hexyloxy)-2,5-bis(ethynylpyrene)benzene (</w:t>
      </w:r>
      <w:r>
        <w:rPr>
          <w:rFonts w:eastAsia="等线"/>
          <w:b/>
          <w:kern w:val="2"/>
          <w:szCs w:val="24"/>
          <w:lang w:eastAsia="zh-CN"/>
        </w:rPr>
        <w:t>BP</w:t>
      </w:r>
      <w:r>
        <w:rPr>
          <w:rFonts w:eastAsia="等线"/>
          <w:kern w:val="2"/>
          <w:szCs w:val="24"/>
          <w:lang w:eastAsia="zh-CN"/>
        </w:rPr>
        <w:t xml:space="preserve"> molecule) </w:t>
      </w:r>
      <w:r>
        <w:rPr>
          <w:rFonts w:eastAsia="等线"/>
          <w:kern w:val="2"/>
          <w:szCs w:val="24"/>
          <w:lang w:eastAsia="zh-CN"/>
        </w:rPr>
        <w:fldChar w:fldCharType="begin"/>
      </w:r>
      <w:r>
        <w:rPr>
          <w:rFonts w:eastAsia="等线"/>
          <w:kern w:val="2"/>
          <w:szCs w:val="24"/>
          <w:lang w:eastAsia="zh-CN"/>
        </w:rPr>
        <w:instrText xml:space="preserve"> ADDIN EN.CITE &lt;EndNote&gt;&lt;Cite&gt;&lt;Author&gt;Constantinescu&lt;/Author&gt;&lt;Year&gt;2015&lt;/Year&gt;&lt;RecNum&gt;10239&lt;/RecNum&gt;&lt;DisplayText&gt;&lt;style face="superscript"&gt;3&lt;/style&gt;&lt;/DisplayText&gt;&lt;record&gt;&lt;rec-number&gt;10239&lt;/rec-number&gt;&lt;foreign-keys&gt;&lt;key app="EN" db-id="xxfpxsfd3wsxzoezwt55ps0jt5s2fffz0xaf" timestamp="1698123644"&gt;10239&lt;/key&gt;&lt;/foreign-keys&gt;&lt;ref-type name="Journal Article"&gt;17&lt;/ref-type&gt;&lt;contributors&gt;&lt;authors&gt;&lt;author&gt;Constantinescu, Catalin&lt;/author&gt;&lt;author&gt;Diallo, Abdou Karim&lt;/author&gt;&lt;author&gt;D’Aleo, Anthony&lt;/author&gt;&lt;author&gt;Fages, Frédéric&lt;/author&gt;&lt;author&gt;Rotaru, Petre&lt;/author&gt;&lt;author&gt;Videlot-Ackermann, Christine&lt;/author&gt;&lt;author&gt;Delaporte, Philippe&lt;/author&gt;&lt;author&gt;Alloncle, Anne-Patricia %J Synthetic Metals&lt;/author&gt;&lt;/authors&gt;&lt;/contributors&gt;&lt;titles&gt;&lt;title&gt;Thermal behaviour and thin film properties of a bis-pyrene compound for organic thin film transistor applications&lt;/title&gt;&lt;secondary-title&gt;Synthetic Metals&lt;/secondary-title&gt;&lt;/titles&gt;&lt;periodical&gt;&lt;full-title&gt;Synthetic Metals&lt;/full-title&gt;&lt;abbr-1&gt;Synth. Met. &lt;/abbr-1&gt;&lt;abbr-2&gt;Synth Met&lt;/abbr-2&gt;&lt;/periodical&gt;&lt;pages&gt;29-33&lt;/pages&gt;&lt;volume&gt;209&lt;/volume&gt;&lt;dates&gt;&lt;year&gt;2015&lt;/year&gt;&lt;/dates&gt;&lt;isbn&gt;0379-6779&lt;/isbn&gt;&lt;urls&gt;&lt;/urls&gt;&lt;/record&gt;&lt;/Cite&gt;&lt;/EndNote&gt;</w:instrText>
      </w:r>
      <w:r>
        <w:rPr>
          <w:rFonts w:eastAsia="等线"/>
          <w:kern w:val="2"/>
          <w:szCs w:val="24"/>
          <w:lang w:eastAsia="zh-CN"/>
        </w:rPr>
        <w:fldChar w:fldCharType="separate"/>
      </w:r>
      <w:r>
        <w:rPr>
          <w:rFonts w:eastAsia="等线"/>
          <w:kern w:val="2"/>
          <w:szCs w:val="24"/>
          <w:vertAlign w:val="superscript"/>
          <w:lang w:eastAsia="zh-CN"/>
        </w:rPr>
        <w:t>3</w:t>
      </w:r>
      <w:r>
        <w:rPr>
          <w:rFonts w:eastAsia="等线"/>
          <w:kern w:val="2"/>
          <w:szCs w:val="24"/>
          <w:lang w:eastAsia="zh-CN"/>
        </w:rPr>
        <w:fldChar w:fldCharType="end"/>
      </w:r>
      <w:r>
        <w:rPr>
          <w:rFonts w:eastAsia="等线"/>
          <w:kern w:val="2"/>
          <w:szCs w:val="24"/>
          <w:lang w:eastAsia="zh-CN"/>
        </w:rPr>
        <w:t>: 1-Ethynylpyrene (61 mg, 0.27 mmol) and 1,4-bis(hexyloxy)-2,5-diiodobenzene (159 mg, 0.3 mmol) were dissolved in a mixture of dry dimethylformamide (10 mL) and triethylamine (10 mL) under a nitrogen atmosphere. To the solution, [PdCl</w:t>
      </w:r>
      <w:r>
        <w:rPr>
          <w:rFonts w:eastAsia="等线"/>
          <w:kern w:val="2"/>
          <w:szCs w:val="24"/>
          <w:vertAlign w:val="subscript"/>
          <w:lang w:eastAsia="zh-CN"/>
        </w:rPr>
        <w:t>2</w:t>
      </w:r>
      <w:r>
        <w:rPr>
          <w:rFonts w:eastAsia="等线"/>
          <w:kern w:val="2"/>
          <w:szCs w:val="24"/>
          <w:lang w:eastAsia="zh-CN"/>
        </w:rPr>
        <w:t>(PPh</w:t>
      </w:r>
      <w:r>
        <w:rPr>
          <w:rFonts w:eastAsia="等线"/>
          <w:kern w:val="2"/>
          <w:szCs w:val="24"/>
          <w:vertAlign w:val="subscript"/>
          <w:lang w:eastAsia="zh-CN"/>
        </w:rPr>
        <w:t>3</w:t>
      </w:r>
      <w:r>
        <w:rPr>
          <w:rFonts w:eastAsia="等线"/>
          <w:kern w:val="2"/>
          <w:szCs w:val="24"/>
          <w:lang w:eastAsia="zh-CN"/>
        </w:rPr>
        <w:t>)</w:t>
      </w:r>
      <w:r>
        <w:rPr>
          <w:rFonts w:eastAsia="等线"/>
          <w:kern w:val="2"/>
          <w:szCs w:val="24"/>
          <w:vertAlign w:val="subscript"/>
          <w:lang w:eastAsia="zh-CN"/>
        </w:rPr>
        <w:t>2</w:t>
      </w:r>
      <w:r>
        <w:rPr>
          <w:rFonts w:eastAsia="等线"/>
          <w:kern w:val="2"/>
          <w:szCs w:val="24"/>
          <w:lang w:eastAsia="zh-CN"/>
        </w:rPr>
        <w:t xml:space="preserve">] (4.2 mg, 0.006 mmol) and CuI (1.1 mg, 0.006 mmol) were added. After stirring the reaction solution at 70 °C for 36 hours, the solvent was removed under vacuum, resulting in a light-yellow solid. The solid was then purified by silica gel column chromatography (eluent: DCM/hexane; v/v = 1/7). The solvent was evaporated, and the resulting solid was dried under vacuum, yielding a yellow powder. The yellow powder was precipitated with DCM/Hex and subsequently recrystallized with DCM/Hex at a ratio of 1:5 to obtain a single crystal (180 mg, 60% yield). </w:t>
      </w:r>
      <w:r>
        <w:rPr>
          <w:rFonts w:eastAsia="等线"/>
          <w:kern w:val="2"/>
          <w:szCs w:val="24"/>
          <w:vertAlign w:val="superscript"/>
          <w:lang w:eastAsia="zh-CN"/>
        </w:rPr>
        <w:t>1</w:t>
      </w:r>
      <w:r>
        <w:rPr>
          <w:rFonts w:eastAsia="等线"/>
          <w:kern w:val="2"/>
          <w:szCs w:val="24"/>
          <w:lang w:eastAsia="zh-CN"/>
        </w:rPr>
        <w:t>HNMR (500 MHz, CDCl3): δ =8.89 (d, 2H, J = 9 Hz), 8.03-8.25 (m, 18H), 4.24 (t, 4H, J = 6.4 Hz), 1.69 (m, 4H), 1.69 (m, 4H), 1.36-1.51 (m, 8H), 0.90 (t, 6H, J = 7.15 Hz) ppm. HR-MS: [M+Na]</w:t>
      </w:r>
      <w:r>
        <w:rPr>
          <w:rFonts w:eastAsia="等线"/>
          <w:kern w:val="2"/>
          <w:szCs w:val="24"/>
          <w:vertAlign w:val="superscript"/>
          <w:lang w:eastAsia="zh-CN"/>
        </w:rPr>
        <w:t>+</w:t>
      </w:r>
      <w:r>
        <w:rPr>
          <w:rFonts w:eastAsia="等线"/>
          <w:kern w:val="2"/>
          <w:szCs w:val="24"/>
          <w:lang w:eastAsia="zh-CN"/>
        </w:rPr>
        <w:t xml:space="preserve"> calcd for C</w:t>
      </w:r>
      <w:r>
        <w:rPr>
          <w:rFonts w:eastAsia="等线"/>
          <w:kern w:val="2"/>
          <w:szCs w:val="24"/>
          <w:vertAlign w:val="subscript"/>
          <w:lang w:eastAsia="zh-CN"/>
        </w:rPr>
        <w:t>54</w:t>
      </w:r>
      <w:r>
        <w:rPr>
          <w:rFonts w:eastAsia="等线"/>
          <w:kern w:val="2"/>
          <w:szCs w:val="24"/>
          <w:lang w:eastAsia="zh-CN"/>
        </w:rPr>
        <w:t>H</w:t>
      </w:r>
      <w:r>
        <w:rPr>
          <w:rFonts w:eastAsia="等线"/>
          <w:kern w:val="2"/>
          <w:szCs w:val="24"/>
          <w:vertAlign w:val="subscript"/>
          <w:lang w:eastAsia="zh-CN"/>
        </w:rPr>
        <w:t>46</w:t>
      </w:r>
      <w:r>
        <w:rPr>
          <w:rFonts w:eastAsia="等线"/>
          <w:kern w:val="2"/>
          <w:szCs w:val="24"/>
          <w:lang w:eastAsia="zh-CN"/>
        </w:rPr>
        <w:t>O</w:t>
      </w:r>
      <w:r>
        <w:rPr>
          <w:rFonts w:eastAsia="等线"/>
          <w:kern w:val="2"/>
          <w:szCs w:val="24"/>
          <w:vertAlign w:val="subscript"/>
          <w:lang w:eastAsia="zh-CN"/>
        </w:rPr>
        <w:t>2</w:t>
      </w:r>
      <w:r>
        <w:rPr>
          <w:rFonts w:eastAsia="等线"/>
          <w:kern w:val="2"/>
          <w:szCs w:val="24"/>
          <w:lang w:eastAsia="zh-CN"/>
        </w:rPr>
        <w:t>Na</w:t>
      </w:r>
      <w:r>
        <w:rPr>
          <w:rFonts w:eastAsia="等线"/>
          <w:kern w:val="2"/>
          <w:szCs w:val="24"/>
          <w:vertAlign w:val="superscript"/>
          <w:lang w:eastAsia="zh-CN"/>
        </w:rPr>
        <w:t>+</w:t>
      </w:r>
      <w:r>
        <w:rPr>
          <w:rFonts w:eastAsia="等线"/>
          <w:kern w:val="2"/>
          <w:szCs w:val="24"/>
          <w:lang w:eastAsia="zh-CN"/>
        </w:rPr>
        <w:t>: 749.3396, found 749.3353.</w:t>
      </w:r>
    </w:p>
    <w:p w14:paraId="432DF7A8">
      <w:pPr>
        <w:jc w:val="both"/>
        <w:rPr>
          <w:rFonts w:eastAsia="等线"/>
          <w:kern w:val="2"/>
          <w:szCs w:val="24"/>
          <w:lang w:eastAsia="zh-CN"/>
        </w:rPr>
      </w:pPr>
    </w:p>
    <w:p w14:paraId="615AD45E">
      <w:pPr>
        <w:spacing w:line="360" w:lineRule="auto"/>
        <w:jc w:val="center"/>
        <w:rPr>
          <w:rFonts w:eastAsia="宋体"/>
          <w:sz w:val="21"/>
          <w:szCs w:val="21"/>
          <w:lang w:eastAsia="zh-CN"/>
        </w:rPr>
      </w:pPr>
      <w:r>
        <w:rPr>
          <w:rFonts w:eastAsia="宋体"/>
          <w:sz w:val="22"/>
          <w:szCs w:val="22"/>
          <w:lang w:eastAsia="zh-CN"/>
        </w:rPr>
        <w:drawing>
          <wp:inline distT="0" distB="0" distL="0" distR="0">
            <wp:extent cx="3401060" cy="2373630"/>
            <wp:effectExtent l="0" t="0" r="889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07826" cy="2378627"/>
                    </a:xfrm>
                    <a:prstGeom prst="rect">
                      <a:avLst/>
                    </a:prstGeom>
                    <a:noFill/>
                  </pic:spPr>
                </pic:pic>
              </a:graphicData>
            </a:graphic>
          </wp:inline>
        </w:drawing>
      </w:r>
    </w:p>
    <w:p w14:paraId="74920631">
      <w:pPr>
        <w:spacing w:line="360" w:lineRule="auto"/>
        <w:jc w:val="center"/>
        <w:rPr>
          <w:rFonts w:eastAsia="宋体"/>
          <w:b/>
          <w:szCs w:val="24"/>
          <w:lang w:eastAsia="zh-CN"/>
        </w:rPr>
      </w:pPr>
      <w:r>
        <w:rPr>
          <w:rFonts w:eastAsia="宋体"/>
          <w:b/>
          <w:szCs w:val="24"/>
          <w:lang w:eastAsia="zh-CN"/>
        </w:rPr>
        <w:t xml:space="preserve">Fig. S1 </w:t>
      </w:r>
      <w:r>
        <w:rPr>
          <w:rFonts w:eastAsia="宋体"/>
          <w:b/>
          <w:szCs w:val="24"/>
          <w:vertAlign w:val="superscript"/>
          <w:lang w:eastAsia="zh-CN"/>
        </w:rPr>
        <w:t>1</w:t>
      </w:r>
      <w:r>
        <w:rPr>
          <w:rFonts w:eastAsia="宋体"/>
          <w:b/>
          <w:szCs w:val="24"/>
          <w:lang w:eastAsia="zh-CN"/>
        </w:rPr>
        <w:t>HNMR spectrum of 1-ethynylpyrene (Compound 3) in chloroform-D</w:t>
      </w:r>
    </w:p>
    <w:p w14:paraId="21048328">
      <w:pPr>
        <w:spacing w:line="360" w:lineRule="auto"/>
        <w:jc w:val="center"/>
        <w:rPr>
          <w:rFonts w:eastAsia="宋体"/>
          <w:sz w:val="21"/>
          <w:szCs w:val="21"/>
          <w:lang w:eastAsia="zh-CN"/>
        </w:rPr>
      </w:pPr>
      <w:r>
        <w:rPr>
          <w:rFonts w:eastAsia="宋体"/>
          <w:sz w:val="22"/>
          <w:szCs w:val="22"/>
          <w:lang w:eastAsia="zh-CN"/>
        </w:rPr>
        <w:drawing>
          <wp:inline distT="0" distB="0" distL="0" distR="0">
            <wp:extent cx="3300730" cy="23018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08650" cy="2307455"/>
                    </a:xfrm>
                    <a:prstGeom prst="rect">
                      <a:avLst/>
                    </a:prstGeom>
                    <a:noFill/>
                  </pic:spPr>
                </pic:pic>
              </a:graphicData>
            </a:graphic>
          </wp:inline>
        </w:drawing>
      </w:r>
    </w:p>
    <w:p w14:paraId="0C0FE7C6">
      <w:pPr>
        <w:jc w:val="both"/>
        <w:rPr>
          <w:rFonts w:eastAsia="宋体"/>
          <w:b/>
          <w:szCs w:val="24"/>
          <w:lang w:eastAsia="zh-CN"/>
        </w:rPr>
      </w:pPr>
      <w:r>
        <w:rPr>
          <w:rFonts w:eastAsia="宋体"/>
          <w:b/>
          <w:szCs w:val="24"/>
          <w:lang w:eastAsia="zh-CN"/>
        </w:rPr>
        <w:t xml:space="preserve">Fig. S2 </w:t>
      </w:r>
      <w:r>
        <w:rPr>
          <w:rFonts w:eastAsia="宋体"/>
          <w:b/>
          <w:szCs w:val="24"/>
          <w:vertAlign w:val="superscript"/>
          <w:lang w:eastAsia="zh-CN"/>
        </w:rPr>
        <w:t>1</w:t>
      </w:r>
      <w:r>
        <w:rPr>
          <w:rFonts w:eastAsia="宋体"/>
          <w:b/>
          <w:szCs w:val="24"/>
          <w:lang w:eastAsia="zh-CN"/>
        </w:rPr>
        <w:t>HNMR spectrum of 1,4-bis(hexyloxy)-2,5-diiodobenzene (Compound 6) in chloroform-D</w:t>
      </w:r>
    </w:p>
    <w:p w14:paraId="3A2D078D">
      <w:pPr>
        <w:spacing w:line="360" w:lineRule="auto"/>
        <w:jc w:val="both"/>
        <w:rPr>
          <w:rFonts w:eastAsia="宋体"/>
          <w:b/>
          <w:szCs w:val="24"/>
          <w:lang w:eastAsia="zh-CN"/>
        </w:rPr>
      </w:pPr>
    </w:p>
    <w:p w14:paraId="73BA23CD">
      <w:pPr>
        <w:spacing w:line="360" w:lineRule="auto"/>
        <w:jc w:val="center"/>
        <w:rPr>
          <w:rFonts w:eastAsia="宋体"/>
          <w:sz w:val="21"/>
          <w:szCs w:val="21"/>
          <w:lang w:eastAsia="zh-CN"/>
        </w:rPr>
      </w:pPr>
      <w:r>
        <w:rPr>
          <w:rFonts w:eastAsia="宋体"/>
          <w:sz w:val="22"/>
          <w:szCs w:val="22"/>
          <w:lang w:eastAsia="zh-CN"/>
        </w:rPr>
        <w:drawing>
          <wp:inline distT="0" distB="0" distL="114300" distR="114300">
            <wp:extent cx="3429635" cy="2391410"/>
            <wp:effectExtent l="0" t="0" r="0"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3433213" cy="2393813"/>
                    </a:xfrm>
                    <a:prstGeom prst="rect">
                      <a:avLst/>
                    </a:prstGeom>
                    <a:noFill/>
                    <a:ln>
                      <a:noFill/>
                    </a:ln>
                  </pic:spPr>
                </pic:pic>
              </a:graphicData>
            </a:graphic>
          </wp:inline>
        </w:drawing>
      </w:r>
    </w:p>
    <w:p w14:paraId="5E15A901">
      <w:pPr>
        <w:spacing w:after="240"/>
        <w:jc w:val="both"/>
        <w:rPr>
          <w:rFonts w:eastAsia="宋体"/>
          <w:b/>
          <w:szCs w:val="24"/>
          <w:lang w:eastAsia="zh-CN"/>
        </w:rPr>
      </w:pPr>
      <w:r>
        <w:rPr>
          <w:rFonts w:eastAsia="宋体"/>
          <w:b/>
          <w:szCs w:val="24"/>
          <w:lang w:eastAsia="zh-CN"/>
        </w:rPr>
        <w:t xml:space="preserve">Fig. S3 </w:t>
      </w:r>
      <w:r>
        <w:rPr>
          <w:rFonts w:eastAsia="宋体"/>
          <w:b/>
          <w:szCs w:val="24"/>
          <w:vertAlign w:val="superscript"/>
          <w:lang w:eastAsia="zh-CN"/>
        </w:rPr>
        <w:t>1</w:t>
      </w:r>
      <w:r>
        <w:rPr>
          <w:rFonts w:eastAsia="宋体"/>
          <w:b/>
          <w:szCs w:val="24"/>
          <w:lang w:eastAsia="zh-CN"/>
        </w:rPr>
        <w:t>HNMR spectrum of 1,4-bis(hexyloxy)-2,5-bis(ethynylpyrene)benzene (BP molecule) in chloroform-D</w:t>
      </w:r>
    </w:p>
    <w:p w14:paraId="00016B20">
      <w:pPr>
        <w:spacing w:line="360" w:lineRule="auto"/>
        <w:jc w:val="center"/>
        <w:rPr>
          <w:rFonts w:eastAsia="宋体"/>
          <w:sz w:val="21"/>
          <w:szCs w:val="21"/>
          <w:lang w:eastAsia="zh-CN"/>
        </w:rPr>
      </w:pPr>
      <w:r>
        <w:rPr>
          <w:rFonts w:eastAsia="宋体"/>
          <w:sz w:val="22"/>
          <w:szCs w:val="22"/>
          <w:lang w:eastAsia="zh-CN"/>
        </w:rPr>
        <w:drawing>
          <wp:inline distT="0" distB="0" distL="0" distR="0">
            <wp:extent cx="4319905" cy="1537970"/>
            <wp:effectExtent l="0" t="0" r="444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0000" cy="1538308"/>
                    </a:xfrm>
                    <a:prstGeom prst="rect">
                      <a:avLst/>
                    </a:prstGeom>
                    <a:noFill/>
                    <a:ln>
                      <a:noFill/>
                    </a:ln>
                  </pic:spPr>
                </pic:pic>
              </a:graphicData>
            </a:graphic>
          </wp:inline>
        </w:drawing>
      </w:r>
    </w:p>
    <w:p w14:paraId="7A6FE024">
      <w:pPr>
        <w:spacing w:line="360" w:lineRule="auto"/>
        <w:jc w:val="center"/>
        <w:rPr>
          <w:rFonts w:eastAsia="宋体"/>
          <w:b/>
          <w:szCs w:val="24"/>
          <w:lang w:eastAsia="zh-CN"/>
        </w:rPr>
      </w:pPr>
      <w:r>
        <w:rPr>
          <w:rFonts w:eastAsia="宋体"/>
          <w:b/>
          <w:szCs w:val="24"/>
          <w:lang w:eastAsia="zh-CN"/>
        </w:rPr>
        <w:t>Fig. S4 HR-MS of 1,4-bis(hexyloxy)-2,5-bis(ethynylpyrene)benzene (BP molecule)</w:t>
      </w:r>
    </w:p>
    <w:p w14:paraId="30F6B1CD">
      <w:pPr>
        <w:pStyle w:val="101"/>
        <w:rPr>
          <w:b/>
          <w:u w:val="none"/>
        </w:rPr>
      </w:pPr>
      <w:r>
        <w:rPr>
          <w:b/>
          <w:u w:val="none"/>
        </w:rPr>
        <w:t xml:space="preserve">Section </w:t>
      </w:r>
      <w:r>
        <w:rPr>
          <w:b/>
          <w:u w:val="none"/>
          <w:lang w:eastAsia="zh-CN"/>
        </w:rPr>
        <w:t>Ⅱ</w:t>
      </w:r>
      <w:r>
        <w:rPr>
          <w:b/>
          <w:u w:val="none"/>
        </w:rPr>
        <w:t>. Device fabrication and characterization</w:t>
      </w:r>
    </w:p>
    <w:p w14:paraId="74E70A77">
      <w:pPr>
        <w:spacing w:after="120"/>
        <w:jc w:val="both"/>
        <w:rPr>
          <w:rFonts w:eastAsia="宋体"/>
          <w:szCs w:val="24"/>
        </w:rPr>
      </w:pPr>
      <w:r>
        <w:rPr>
          <w:rFonts w:eastAsia="宋体"/>
          <w:szCs w:val="24"/>
        </w:rPr>
        <w:t xml:space="preserve">The device fabrication process is summarized in </w:t>
      </w:r>
      <w:r>
        <w:rPr>
          <w:rFonts w:eastAsia="宋体"/>
          <w:b/>
          <w:szCs w:val="24"/>
        </w:rPr>
        <w:t>Scheme 2</w:t>
      </w:r>
      <w:r>
        <w:rPr>
          <w:rFonts w:eastAsia="宋体"/>
          <w:szCs w:val="24"/>
        </w:rPr>
        <w:t>. A 4-inch silicon wafer (with a 500 nm oxide layer) was utilized for photolithography and electron beam evaporation to fabricate a 30 nm thick gold back-gate array with an adhesion layer of 10 nm titanium. A 10 nm insulating layer of HfO</w:t>
      </w:r>
      <w:r>
        <w:rPr>
          <w:rFonts w:eastAsia="宋体"/>
          <w:szCs w:val="24"/>
          <w:vertAlign w:val="subscript"/>
        </w:rPr>
        <w:t>2</w:t>
      </w:r>
      <w:r>
        <w:rPr>
          <w:rFonts w:eastAsia="宋体"/>
          <w:szCs w:val="24"/>
        </w:rPr>
        <w:t xml:space="preserve"> was deposited using an atomic layer deposition system. Subsequently, a second array of 60 nm thick gold source and drain electrodes with an adhesion layer of 10 nm titanium was fabricated by wafer-level alignment of photolithography and electron beam evaporation. The silicon wafer was sliced into chip units for further fabrication of graphene electrodes. </w:t>
      </w:r>
    </w:p>
    <w:p w14:paraId="59D3284D">
      <w:pPr>
        <w:jc w:val="center"/>
        <w:rPr>
          <w:rFonts w:eastAsia="宋体"/>
          <w:szCs w:val="24"/>
        </w:rPr>
      </w:pPr>
      <w:r>
        <w:rPr>
          <w:szCs w:val="24"/>
        </w:rPr>
        <w:drawing>
          <wp:inline distT="0" distB="0" distL="0" distR="0">
            <wp:extent cx="5759450" cy="1867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1867714"/>
                    </a:xfrm>
                    <a:prstGeom prst="rect">
                      <a:avLst/>
                    </a:prstGeom>
                    <a:noFill/>
                  </pic:spPr>
                </pic:pic>
              </a:graphicData>
            </a:graphic>
          </wp:inline>
        </w:drawing>
      </w:r>
    </w:p>
    <w:p w14:paraId="2CE463CA">
      <w:pPr>
        <w:jc w:val="both"/>
        <w:rPr>
          <w:szCs w:val="24"/>
        </w:rPr>
      </w:pPr>
      <w:r>
        <w:rPr>
          <w:b/>
          <w:szCs w:val="24"/>
        </w:rPr>
        <w:t>Scheme 2</w:t>
      </w:r>
      <w:r>
        <w:rPr>
          <w:szCs w:val="24"/>
        </w:rPr>
        <w:t>: Schematic diagram of the preparation process for the graphene electrode and gold back gate before assembling molecules</w:t>
      </w:r>
    </w:p>
    <w:p w14:paraId="005B7226">
      <w:pPr>
        <w:jc w:val="center"/>
        <w:rPr>
          <w:rFonts w:eastAsia="宋体"/>
          <w:szCs w:val="24"/>
        </w:rPr>
      </w:pPr>
    </w:p>
    <w:p w14:paraId="1E1F1AA8">
      <w:pPr>
        <w:jc w:val="both"/>
        <w:rPr>
          <w:rFonts w:eastAsia="宋体"/>
          <w:szCs w:val="24"/>
          <w:lang w:eastAsia="zh-CN"/>
        </w:rPr>
      </w:pPr>
      <w:r>
        <w:rPr>
          <w:rFonts w:eastAsia="宋体"/>
          <w:szCs w:val="24"/>
          <w:lang w:eastAsia="zh-CN"/>
        </w:rPr>
        <w:t>The monolayer graphene (MLG) was grown using chemical vapor deposition (CVD, Equipment Corporation ET3000EXT) on a copper foil. Subsequently, the copper foil was cut into a suitable size after spin-coating with PMMA. The copper foil was etched with ammonium persulfate solution (7.2 g (NH</w:t>
      </w:r>
      <w:r>
        <w:rPr>
          <w:rFonts w:eastAsia="宋体"/>
          <w:szCs w:val="24"/>
          <w:vertAlign w:val="subscript"/>
          <w:lang w:eastAsia="zh-CN"/>
        </w:rPr>
        <w:t>4</w:t>
      </w:r>
      <w:r>
        <w:rPr>
          <w:rFonts w:eastAsia="宋体"/>
          <w:szCs w:val="24"/>
          <w:lang w:eastAsia="zh-CN"/>
        </w:rPr>
        <w:t>)</w:t>
      </w:r>
      <w:r>
        <w:rPr>
          <w:rFonts w:eastAsia="宋体"/>
          <w:szCs w:val="24"/>
          <w:vertAlign w:val="subscript"/>
          <w:lang w:eastAsia="zh-CN"/>
        </w:rPr>
        <w:t>2</w:t>
      </w:r>
      <w:r>
        <w:rPr>
          <w:rFonts w:eastAsia="宋体"/>
          <w:szCs w:val="24"/>
          <w:lang w:eastAsia="zh-CN"/>
        </w:rPr>
        <w:t>S</w:t>
      </w:r>
      <w:r>
        <w:rPr>
          <w:rFonts w:eastAsia="宋体"/>
          <w:szCs w:val="24"/>
          <w:vertAlign w:val="subscript"/>
          <w:lang w:eastAsia="zh-CN"/>
        </w:rPr>
        <w:t>2</w:t>
      </w:r>
      <w:r>
        <w:rPr>
          <w:rFonts w:eastAsia="宋体"/>
          <w:szCs w:val="24"/>
          <w:lang w:eastAsia="zh-CN"/>
        </w:rPr>
        <w:t>O</w:t>
      </w:r>
      <w:r>
        <w:rPr>
          <w:rFonts w:eastAsia="宋体"/>
          <w:szCs w:val="24"/>
          <w:vertAlign w:val="subscript"/>
          <w:lang w:eastAsia="zh-CN"/>
        </w:rPr>
        <w:t>8</w:t>
      </w:r>
      <w:r>
        <w:rPr>
          <w:rFonts w:eastAsia="宋体"/>
          <w:szCs w:val="24"/>
          <w:lang w:eastAsia="zh-CN"/>
        </w:rPr>
        <w:t xml:space="preserve"> </w:t>
      </w:r>
      <w:r>
        <w:rPr>
          <w:rFonts w:hint="eastAsia" w:eastAsia="宋体"/>
          <w:szCs w:val="24"/>
          <w:lang w:eastAsia="zh-CN"/>
        </w:rPr>
        <w:t>in</w:t>
      </w:r>
      <w:r>
        <w:rPr>
          <w:rFonts w:eastAsia="宋体"/>
          <w:szCs w:val="24"/>
          <w:lang w:eastAsia="zh-CN"/>
        </w:rPr>
        <w:t xml:space="preserve"> 80 mL H</w:t>
      </w:r>
      <w:r>
        <w:rPr>
          <w:rFonts w:eastAsia="宋体"/>
          <w:szCs w:val="24"/>
          <w:vertAlign w:val="subscript"/>
          <w:lang w:eastAsia="zh-CN"/>
        </w:rPr>
        <w:t>2</w:t>
      </w:r>
      <w:r>
        <w:rPr>
          <w:rFonts w:eastAsia="宋体"/>
          <w:szCs w:val="24"/>
          <w:lang w:eastAsia="zh-CN"/>
        </w:rPr>
        <w:t>O) for 24 hours and then washed with deionized water three times to remove residual etching solution. The pre-processed silicon unit was used to pick up the PMMA/MLG sheet, which was then immersed in aceto</w:t>
      </w:r>
      <w:r>
        <w:rPr>
          <w:rFonts w:hint="eastAsia" w:eastAsia="宋体"/>
          <w:szCs w:val="24"/>
          <w:lang w:eastAsia="zh-CN"/>
        </w:rPr>
        <w:t xml:space="preserve">ne to remove the PMMA three times. By using mixed hydrogen-argon gas and annealing at 210 </w:t>
      </w:r>
      <w:r>
        <w:rPr>
          <w:rFonts w:eastAsia="宋体"/>
          <w:szCs w:val="24"/>
          <w:lang w:eastAsia="zh-CN"/>
        </w:rPr>
        <w:t>℃</w:t>
      </w:r>
      <w:r>
        <w:rPr>
          <w:rFonts w:hint="eastAsia" w:eastAsia="宋体"/>
          <w:szCs w:val="24"/>
          <w:lang w:eastAsia="zh-CN"/>
        </w:rPr>
        <w:t xml:space="preserve"> for 3 hours, the PMMA residue was removed and some graphene defects were reduced. The negative resist ma-N 2403 (Micro Resist Technology) was used for electron beam</w:t>
      </w:r>
      <w:r>
        <w:rPr>
          <w:rFonts w:eastAsia="宋体"/>
          <w:szCs w:val="24"/>
          <w:lang w:eastAsia="zh-CN"/>
        </w:rPr>
        <w:t xml:space="preserve"> lithography to write bowtie patterns on the MLG on the silicon unit after development by the ma-D 525 (Micro Resist Technology). The areas not covered by the resist were etched using O</w:t>
      </w:r>
      <w:r>
        <w:rPr>
          <w:rFonts w:eastAsia="宋体"/>
          <w:szCs w:val="24"/>
          <w:vertAlign w:val="subscript"/>
          <w:lang w:eastAsia="zh-CN"/>
        </w:rPr>
        <w:t>2</w:t>
      </w:r>
      <w:r>
        <w:rPr>
          <w:rFonts w:eastAsia="宋体"/>
          <w:szCs w:val="24"/>
          <w:lang w:eastAsia="zh-CN"/>
        </w:rPr>
        <w:t xml:space="preserve">-plasma to produce the MLG bowtie pattern. Subsequently, the sample was immersed in mr-Rem 700 (Micro Resist Technology) for 30 s and washed with acetone and ethanol to remove the residual resist. Utilizing the feedback-controlled electroburning, the graphene bowtie was further processed to produce a 1-2 nm gap in the narrowest constriction area, resulting in a graphene nanoelectrodes pair with resistance in the range of hundreds of megaohms. The processing method follows the procedures outlined in previously published work </w:t>
      </w:r>
      <w:r>
        <w:rPr>
          <w:rFonts w:eastAsia="宋体"/>
          <w:szCs w:val="24"/>
          <w:u w:val="words"/>
          <w:lang w:eastAsia="zh-CN"/>
        </w:rPr>
        <w:fldChar w:fldCharType="begin">
          <w:fldData xml:space="preserve">PEVuZE5vdGU+PENpdGU+PEF1dGhvcj5UaG9tYXM8L0F1dGhvcj48WWVhcj4yMDE5PC9ZZWFyPjxS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</w:fldData>
        </w:fldChar>
      </w:r>
      <w:r>
        <w:rPr>
          <w:rFonts w:eastAsia="宋体"/>
          <w:szCs w:val="24"/>
          <w:u w:val="words"/>
          <w:lang w:eastAsia="zh-CN"/>
        </w:rPr>
        <w:instrText xml:space="preserve"> ADDIN EN.CITE </w:instrText>
      </w:r>
      <w:r>
        <w:rPr>
          <w:rFonts w:eastAsia="宋体"/>
          <w:szCs w:val="24"/>
          <w:u w:val="words"/>
          <w:lang w:eastAsia="zh-CN"/>
        </w:rPr>
        <w:fldChar w:fldCharType="begin">
          <w:fldData xml:space="preserve">PEVuZE5vdGU+PENpdGU+PEF1dGhvcj5UaG9tYXM8L0F1dGhvcj48WWVhcj4yMDE5PC9ZZWFyPjxS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</w:fldData>
        </w:fldChar>
      </w:r>
      <w:r>
        <w:rPr>
          <w:rFonts w:eastAsia="宋体"/>
          <w:szCs w:val="24"/>
          <w:u w:val="words"/>
          <w:lang w:eastAsia="zh-CN"/>
        </w:rPr>
        <w:instrText xml:space="preserve"> ADDIN EN.CITE.DATA </w:instrText>
      </w:r>
      <w:r>
        <w:rPr>
          <w:rFonts w:eastAsia="宋体"/>
          <w:szCs w:val="24"/>
          <w:lang w:eastAsia="zh-CN"/>
        </w:rPr>
        <w:fldChar w:fldCharType="end"/>
      </w:r>
      <w:r>
        <w:rPr>
          <w:rFonts w:eastAsia="宋体"/>
          <w:szCs w:val="24"/>
          <w:u w:val="words"/>
          <w:lang w:eastAsia="zh-CN"/>
        </w:rPr>
        <w:fldChar w:fldCharType="separate"/>
      </w:r>
      <w:r>
        <w:rPr>
          <w:rFonts w:eastAsia="宋体"/>
          <w:szCs w:val="24"/>
          <w:vertAlign w:val="superscript"/>
          <w:lang w:eastAsia="zh-CN"/>
        </w:rPr>
        <w:t>4</w:t>
      </w:r>
      <w:r>
        <w:rPr>
          <w:rFonts w:eastAsia="宋体"/>
          <w:szCs w:val="24"/>
          <w:lang w:eastAsia="zh-CN"/>
        </w:rPr>
        <w:fldChar w:fldCharType="end"/>
      </w:r>
      <w:r>
        <w:rPr>
          <w:rFonts w:eastAsia="宋体"/>
          <w:szCs w:val="24"/>
          <w:lang w:eastAsia="zh-CN"/>
        </w:rPr>
        <w:t xml:space="preserve">. Further current-voltage characterization before and after depositing molecules are performed in room temperature. More detailed characterizations of the devices are displayed in </w:t>
      </w:r>
      <w:r>
        <w:rPr>
          <w:rFonts w:eastAsia="宋体"/>
          <w:b/>
          <w:szCs w:val="24"/>
          <w:lang w:eastAsia="zh-CN"/>
        </w:rPr>
        <w:t>Fig. S5</w:t>
      </w:r>
      <w:r>
        <w:rPr>
          <w:rFonts w:eastAsia="宋体"/>
          <w:szCs w:val="24"/>
          <w:lang w:eastAsia="zh-CN"/>
        </w:rPr>
        <w:t xml:space="preserve">. The ultraviolet-visible absorption and luminescence spectrum summarized in </w:t>
      </w:r>
      <w:r>
        <w:rPr>
          <w:rFonts w:eastAsia="宋体"/>
          <w:b/>
          <w:szCs w:val="24"/>
          <w:lang w:eastAsia="zh-CN"/>
        </w:rPr>
        <w:t>Fig. S6</w:t>
      </w:r>
      <w:r>
        <w:rPr>
          <w:rFonts w:eastAsia="宋体"/>
          <w:szCs w:val="24"/>
          <w:lang w:eastAsia="zh-CN"/>
        </w:rPr>
        <w:t>.</w:t>
      </w:r>
      <w:r>
        <w:rPr>
          <w:rFonts w:hint="eastAsia" w:eastAsia="宋体"/>
          <w:szCs w:val="24"/>
          <w:lang w:eastAsia="zh-CN"/>
        </w:rPr>
        <w:t xml:space="preserve"> The yield of single-molecule junctions is 4% (6/150) </w:t>
      </w:r>
      <w:r>
        <w:rPr>
          <w:rFonts w:eastAsia="宋体"/>
          <w:szCs w:val="24"/>
          <w:lang w:eastAsia="zh-CN"/>
        </w:rPr>
        <w:t>according</w:t>
      </w:r>
      <w:r>
        <w:rPr>
          <w:rFonts w:hint="eastAsia" w:eastAsia="宋体"/>
          <w:szCs w:val="24"/>
          <w:lang w:eastAsia="zh-CN"/>
        </w:rPr>
        <w:t xml:space="preserve"> to room-temperature </w:t>
      </w:r>
      <w:r>
        <w:rPr>
          <w:rFonts w:hint="eastAsia" w:eastAsia="宋体"/>
          <w:i/>
          <w:iCs/>
          <w:szCs w:val="24"/>
          <w:lang w:eastAsia="zh-CN"/>
        </w:rPr>
        <w:t>I-V</w:t>
      </w:r>
      <w:r>
        <w:rPr>
          <w:rFonts w:hint="eastAsia" w:eastAsia="宋体"/>
          <w:szCs w:val="24"/>
          <w:lang w:eastAsia="zh-CN"/>
        </w:rPr>
        <w:t xml:space="preserve"> characteristics. </w:t>
      </w:r>
      <w:r>
        <w:rPr>
          <w:rFonts w:eastAsia="宋体"/>
          <w:szCs w:val="24"/>
          <w:lang w:eastAsia="zh-CN"/>
        </w:rPr>
        <w:t xml:space="preserve">Due to the different coefficients of thermal expansion of graphene and </w:t>
      </w:r>
      <w:r>
        <w:rPr>
          <w:rFonts w:hint="eastAsia" w:eastAsia="宋体"/>
          <w:szCs w:val="24"/>
          <w:lang w:eastAsia="zh-CN"/>
        </w:rPr>
        <w:t>HfO</w:t>
      </w:r>
      <w:r>
        <w:rPr>
          <w:rFonts w:hint="eastAsia" w:eastAsia="宋体"/>
          <w:szCs w:val="24"/>
          <w:vertAlign w:val="subscript"/>
          <w:lang w:eastAsia="zh-CN"/>
        </w:rPr>
        <w:t>2</w:t>
      </w:r>
      <w:r>
        <w:rPr>
          <w:rFonts w:eastAsia="宋体"/>
          <w:szCs w:val="24"/>
          <w:lang w:eastAsia="zh-CN"/>
        </w:rPr>
        <w:t>, the</w:t>
      </w:r>
      <w:r>
        <w:rPr>
          <w:rFonts w:hint="eastAsia" w:eastAsia="宋体"/>
          <w:szCs w:val="24"/>
          <w:lang w:eastAsia="zh-CN"/>
        </w:rPr>
        <w:t xml:space="preserve"> contact </w:t>
      </w:r>
      <w:r>
        <w:rPr>
          <w:rFonts w:eastAsia="宋体"/>
          <w:szCs w:val="24"/>
          <w:lang w:eastAsia="zh-CN"/>
        </w:rPr>
        <w:t xml:space="preserve">configuration between graphene and </w:t>
      </w:r>
      <w:r>
        <w:rPr>
          <w:rFonts w:hint="eastAsia" w:eastAsia="宋体"/>
          <w:szCs w:val="24"/>
          <w:lang w:eastAsia="zh-CN"/>
        </w:rPr>
        <w:t>HfO</w:t>
      </w:r>
      <w:r>
        <w:rPr>
          <w:rFonts w:hint="eastAsia" w:eastAsia="宋体"/>
          <w:szCs w:val="24"/>
          <w:vertAlign w:val="subscript"/>
          <w:lang w:eastAsia="zh-CN"/>
        </w:rPr>
        <w:t>2</w:t>
      </w:r>
      <w:r>
        <w:rPr>
          <w:rFonts w:eastAsia="宋体"/>
          <w:szCs w:val="24"/>
          <w:lang w:eastAsia="zh-CN"/>
        </w:rPr>
        <w:t xml:space="preserve"> changes during the cooling</w:t>
      </w:r>
      <w:r>
        <w:rPr>
          <w:rFonts w:hint="eastAsia" w:eastAsia="宋体"/>
          <w:szCs w:val="24"/>
          <w:lang w:eastAsia="zh-CN"/>
        </w:rPr>
        <w:t xml:space="preserve"> down</w:t>
      </w:r>
      <w:r>
        <w:rPr>
          <w:rFonts w:eastAsia="宋体"/>
          <w:szCs w:val="24"/>
          <w:lang w:eastAsia="zh-CN"/>
        </w:rPr>
        <w:t>, leaving only two molecules still surviving after the temperature drops to 30 K</w:t>
      </w:r>
      <w:r>
        <w:rPr>
          <w:rFonts w:eastAsia="宋体"/>
          <w:szCs w:val="24"/>
          <w:lang w:eastAsia="zh-CN"/>
        </w:rPr>
        <w:fldChar w:fldCharType="begin"/>
      </w:r>
      <w:r>
        <w:rPr>
          <w:rFonts w:eastAsia="宋体"/>
          <w:szCs w:val="24"/>
          <w:lang w:eastAsia="zh-CN"/>
        </w:rPr>
        <w:instrText xml:space="preserve"> ADDIN EN.CITE &lt;EndNote&gt;&lt;Cite&gt;&lt;Author&gt;Limburg&lt;/Author&gt;&lt;Year&gt;2018&lt;/Year&gt;&lt;RecNum&gt;9479&lt;/RecNum&gt;&lt;DisplayText&gt;&lt;style face="superscript"&gt;5&lt;/style&gt;&lt;/DisplayText&gt;&lt;record&gt;&lt;rec-number&gt;9479&lt;/rec-number&gt;&lt;foreign-keys&gt;&lt;key app="EN" db-id="xxfpxsfd3wsxzoezwt55ps0jt5s2fffz0xaf" timestamp="1574167096"&gt;9479&lt;/key&gt;&lt;key app="ENWeb" db-id=""&gt;0&lt;/key&gt;&lt;/foreign-keys&gt;&lt;ref-type name="Journal Article"&gt;17&lt;/ref-type&gt;&lt;contributors&gt;&lt;authors&gt;&lt;author&gt;Limburg, Bart&lt;/author&gt;&lt;author&gt;Thomas, James O.&lt;/author&gt;&lt;author&gt;Holloway, Gregory&lt;/author&gt;&lt;author&gt;Sadeghi, Hatef&lt;/author&gt;&lt;author&gt;Sangtarash, Sara&lt;/author&gt;&lt;author&gt;Hou, Ian Cheng-Yi&lt;/author&gt;&lt;author&gt;Cremers, Jonathan&lt;/author&gt;&lt;author&gt;Narita, Akimitsu&lt;/author&gt;&lt;author&gt;Müllen, Klaus&lt;/author&gt;&lt;author&gt;Lambert, Colin J.&lt;/author&gt;&lt;author&gt;Briggs, G. Andrew D.&lt;/author&gt;&lt;author&gt;Mol, Jan A.&lt;/author&gt;&lt;author&gt;Anderson, Harry L.&lt;/author&gt;&lt;/authors&gt;&lt;/contributors&gt;&lt;titles&gt;&lt;title&gt;Anchor Groups for Graphene-Porphyrin Single-Molecule Transistors&lt;/title&gt;&lt;secondary-title&gt;Advanced Functional Materials&lt;/secondary-title&gt;&lt;/titles&gt;&lt;periodical&gt;&lt;full-title&gt;Advanced Functional Materials&lt;/full-title&gt;&lt;abbr-1&gt;Adv. Funct. Mater. &lt;/abbr-1&gt;&lt;abbr-2&gt;Adv Funct Mater&lt;/abbr-2&gt;&lt;/periodical&gt;&lt;pages&gt;1803629&lt;/pages&gt;&lt;volume&gt;28&lt;/volume&gt;&lt;number&gt;45&lt;/number&gt;&lt;section&gt;1803629&lt;/section&gt;&lt;dates&gt;&lt;year&gt;2018&lt;/year&gt;&lt;/dates&gt;&lt;isbn&gt;1616301X&lt;/isbn&gt;&lt;urls&gt;&lt;/urls&gt;&lt;electronic-resource-num&gt;10.1002/adfm.201803629&lt;/electronic-resource-num&gt;&lt;/record&gt;&lt;/Cite&gt;&lt;/EndNote&gt;</w:instrText>
      </w:r>
      <w:r>
        <w:rPr>
          <w:rFonts w:eastAsia="宋体"/>
          <w:szCs w:val="24"/>
          <w:lang w:eastAsia="zh-CN"/>
        </w:rPr>
        <w:fldChar w:fldCharType="separate"/>
      </w:r>
      <w:r>
        <w:rPr>
          <w:rFonts w:eastAsia="宋体"/>
          <w:szCs w:val="24"/>
          <w:vertAlign w:val="superscript"/>
          <w:lang w:eastAsia="zh-CN"/>
        </w:rPr>
        <w:t>5</w:t>
      </w:r>
      <w:r>
        <w:rPr>
          <w:rFonts w:eastAsia="宋体"/>
          <w:szCs w:val="24"/>
          <w:lang w:eastAsia="zh-CN"/>
        </w:rPr>
        <w:fldChar w:fldCharType="end"/>
      </w:r>
      <w:r>
        <w:rPr>
          <w:rFonts w:eastAsia="宋体"/>
          <w:szCs w:val="24"/>
          <w:lang w:eastAsia="zh-CN"/>
        </w:rPr>
        <w:t>.</w:t>
      </w:r>
    </w:p>
    <w:p w14:paraId="7894A5BC">
      <w:pPr>
        <w:jc w:val="center"/>
        <w:rPr>
          <w:rFonts w:eastAsia="宋体"/>
          <w:szCs w:val="24"/>
          <w:lang w:eastAsia="zh-CN"/>
        </w:rPr>
      </w:pPr>
      <w:r>
        <w:rPr>
          <w:rFonts w:eastAsia="宋体"/>
          <w:szCs w:val="24"/>
          <w:lang w:eastAsia="zh-CN"/>
        </w:rPr>
        <w:drawing>
          <wp:inline distT="0" distB="0" distL="0" distR="0">
            <wp:extent cx="4936490" cy="3796030"/>
            <wp:effectExtent l="0" t="0" r="0" b="0"/>
            <wp:docPr id="16760782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78268"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6604" cy="3796545"/>
                    </a:xfrm>
                    <a:prstGeom prst="rect">
                      <a:avLst/>
                    </a:prstGeom>
                    <a:noFill/>
                  </pic:spPr>
                </pic:pic>
              </a:graphicData>
            </a:graphic>
          </wp:inline>
        </w:drawing>
      </w:r>
      <w:r>
        <w:rPr>
          <w:rFonts w:eastAsia="宋体"/>
          <w:szCs w:val="24"/>
          <w:lang w:eastAsia="zh-CN"/>
        </w:rPr>
        <w:fldChar w:fldCharType="begin"/>
      </w:r>
      <w:r>
        <w:rPr>
          <w:rFonts w:eastAsia="宋体"/>
          <w:szCs w:val="24"/>
          <w:lang w:eastAsia="zh-CN"/>
        </w:rPr>
        <w:instrText xml:space="preserve">  </w:instrText>
      </w:r>
      <w:r>
        <w:rPr>
          <w:rFonts w:eastAsia="宋体"/>
          <w:szCs w:val="24"/>
          <w:lang w:eastAsia="zh-CN"/>
        </w:rPr>
        <w:fldChar w:fldCharType="end"/>
      </w:r>
    </w:p>
    <w:p w14:paraId="44C5350F">
      <w:pPr>
        <w:jc w:val="both"/>
        <w:rPr>
          <w:rFonts w:eastAsia="宋体"/>
          <w:szCs w:val="24"/>
          <w:lang w:eastAsia="zh-CN"/>
        </w:rPr>
      </w:pPr>
      <w:r>
        <w:rPr>
          <w:rFonts w:eastAsia="宋体"/>
          <w:b/>
          <w:szCs w:val="24"/>
          <w:lang w:eastAsia="zh-CN"/>
        </w:rPr>
        <w:t xml:space="preserve">Fig. S5 Characterizations </w:t>
      </w:r>
      <w:r>
        <w:rPr>
          <w:rFonts w:hint="eastAsia" w:eastAsia="宋体"/>
          <w:b/>
          <w:szCs w:val="24"/>
          <w:lang w:eastAsia="zh-CN"/>
        </w:rPr>
        <w:t>of</w:t>
      </w:r>
      <w:r>
        <w:rPr>
          <w:rFonts w:eastAsia="宋体"/>
          <w:b/>
          <w:szCs w:val="24"/>
          <w:lang w:eastAsia="zh-CN"/>
        </w:rPr>
        <w:t xml:space="preserve"> device fabrication</w:t>
      </w:r>
      <w:r>
        <w:rPr>
          <w:rFonts w:eastAsia="宋体"/>
          <w:szCs w:val="24"/>
          <w:lang w:eastAsia="zh-CN"/>
        </w:rPr>
        <w:t xml:space="preserve">. </w:t>
      </w:r>
      <w:r>
        <w:rPr>
          <w:rFonts w:eastAsia="宋体"/>
          <w:b/>
          <w:szCs w:val="24"/>
          <w:lang w:eastAsia="zh-CN"/>
        </w:rPr>
        <w:t>a</w:t>
      </w:r>
      <w:r>
        <w:rPr>
          <w:rFonts w:eastAsia="宋体"/>
          <w:szCs w:val="24"/>
          <w:lang w:eastAsia="zh-CN"/>
        </w:rPr>
        <w:t xml:space="preserve">, Characterization of patterned graphene at core area using Atomic force microscope (AFM) images of 10 μm × 10 μm region, with graphene serving as the source-drain electrodes and gold contacting both sides, with the underlying gold serving as the gate electrode. </w:t>
      </w:r>
      <w:r>
        <w:rPr>
          <w:rFonts w:eastAsia="宋体"/>
          <w:b/>
          <w:szCs w:val="24"/>
          <w:lang w:eastAsia="zh-CN"/>
        </w:rPr>
        <w:t>b</w:t>
      </w:r>
      <w:r>
        <w:rPr>
          <w:rFonts w:eastAsia="宋体"/>
          <w:szCs w:val="24"/>
          <w:lang w:eastAsia="zh-CN"/>
        </w:rPr>
        <w:t>, Characterization of AFM image of the 4 μm × 4 μm region at the center of graphene constriction, with RMS-roughness: 1.62 nm (graphene) and 0.87 nm (HfO</w:t>
      </w:r>
      <w:r>
        <w:rPr>
          <w:rFonts w:eastAsia="宋体"/>
          <w:szCs w:val="24"/>
          <w:vertAlign w:val="subscript"/>
          <w:lang w:eastAsia="zh-CN"/>
        </w:rPr>
        <w:t>2</w:t>
      </w:r>
      <w:r>
        <w:rPr>
          <w:rFonts w:eastAsia="宋体"/>
          <w:szCs w:val="24"/>
          <w:lang w:eastAsia="zh-CN"/>
        </w:rPr>
        <w:t xml:space="preserve">). </w:t>
      </w:r>
      <w:r>
        <w:rPr>
          <w:rFonts w:eastAsia="宋体"/>
          <w:b/>
          <w:szCs w:val="24"/>
          <w:lang w:eastAsia="zh-CN"/>
        </w:rPr>
        <w:t>c</w:t>
      </w:r>
      <w:r>
        <w:rPr>
          <w:rFonts w:eastAsia="宋体"/>
          <w:szCs w:val="24"/>
          <w:lang w:eastAsia="zh-CN"/>
        </w:rPr>
        <w:t xml:space="preserve">, Feedback-controlled electroburning traces of graphene bowtie. </w:t>
      </w:r>
      <w:r>
        <w:rPr>
          <w:rFonts w:eastAsia="宋体"/>
          <w:b/>
          <w:szCs w:val="24"/>
          <w:lang w:eastAsia="zh-CN"/>
        </w:rPr>
        <w:t>d</w:t>
      </w:r>
      <w:r>
        <w:rPr>
          <w:rFonts w:eastAsia="宋体"/>
          <w:szCs w:val="24"/>
          <w:lang w:eastAsia="zh-CN"/>
        </w:rPr>
        <w:t xml:space="preserve">, Room temperature </w:t>
      </w:r>
      <w:r>
        <w:rPr>
          <w:rFonts w:eastAsia="宋体"/>
          <w:i/>
          <w:szCs w:val="24"/>
          <w:lang w:eastAsia="zh-CN"/>
        </w:rPr>
        <w:t>I</w:t>
      </w:r>
      <w:r>
        <w:rPr>
          <w:rFonts w:eastAsia="宋体"/>
          <w:szCs w:val="24"/>
          <w:lang w:eastAsia="zh-CN"/>
        </w:rPr>
        <w:t>-</w:t>
      </w:r>
      <w:r>
        <w:rPr>
          <w:rFonts w:eastAsia="宋体"/>
          <w:i/>
          <w:szCs w:val="24"/>
          <w:lang w:eastAsia="zh-CN"/>
        </w:rPr>
        <w:t>V</w:t>
      </w:r>
      <w:r>
        <w:rPr>
          <w:rFonts w:eastAsia="宋体"/>
          <w:szCs w:val="24"/>
          <w:lang w:eastAsia="zh-CN"/>
        </w:rPr>
        <w:t xml:space="preserve"> traces before (black lines) and after (red lines) depositing molecules.</w:t>
      </w:r>
    </w:p>
    <w:p w14:paraId="5C9154D1">
      <w:pPr>
        <w:jc w:val="center"/>
        <w:rPr>
          <w:rFonts w:eastAsia="宋体"/>
          <w:szCs w:val="24"/>
          <w:lang w:eastAsia="zh-CN"/>
        </w:rPr>
      </w:pPr>
    </w:p>
    <w:p w14:paraId="56E377E9">
      <w:pPr>
        <w:jc w:val="center"/>
        <w:rPr>
          <w:rFonts w:eastAsia="宋体"/>
          <w:szCs w:val="24"/>
          <w:lang w:eastAsia="zh-CN"/>
        </w:rPr>
      </w:pPr>
      <w:r>
        <w:rPr>
          <w:rFonts w:eastAsia="宋体"/>
          <w:szCs w:val="24"/>
          <w:lang w:eastAsia="zh-CN"/>
        </w:rPr>
        <w:drawing>
          <wp:inline distT="0" distB="0" distL="0" distR="0">
            <wp:extent cx="5882640" cy="2253615"/>
            <wp:effectExtent l="0" t="0" r="0" b="0"/>
            <wp:docPr id="20039590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59047"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t="2953"/>
                    <a:stretch>
                      <a:fillRect/>
                    </a:stretch>
                  </pic:blipFill>
                  <pic:spPr>
                    <a:xfrm>
                      <a:off x="0" y="0"/>
                      <a:ext cx="5883077" cy="2253615"/>
                    </a:xfrm>
                    <a:prstGeom prst="rect">
                      <a:avLst/>
                    </a:prstGeom>
                    <a:noFill/>
                  </pic:spPr>
                </pic:pic>
              </a:graphicData>
            </a:graphic>
          </wp:inline>
        </w:drawing>
      </w:r>
    </w:p>
    <w:p w14:paraId="4E6FC3FF">
      <w:pPr>
        <w:jc w:val="center"/>
        <w:rPr>
          <w:rFonts w:eastAsia="宋体"/>
          <w:szCs w:val="24"/>
          <w:lang w:eastAsia="zh-CN"/>
        </w:rPr>
      </w:pPr>
      <w:r>
        <w:rPr>
          <w:rFonts w:eastAsia="宋体"/>
          <w:b/>
          <w:szCs w:val="24"/>
          <w:lang w:eastAsia="zh-CN"/>
        </w:rPr>
        <w:t xml:space="preserve">Fig. S6 Characterizations </w:t>
      </w:r>
      <w:r>
        <w:rPr>
          <w:rFonts w:hint="eastAsia" w:eastAsia="宋体"/>
          <w:b/>
          <w:szCs w:val="24"/>
          <w:lang w:eastAsia="zh-CN"/>
        </w:rPr>
        <w:t>of</w:t>
      </w:r>
      <w:r>
        <w:rPr>
          <w:rFonts w:eastAsia="宋体"/>
          <w:b/>
          <w:szCs w:val="24"/>
          <w:lang w:eastAsia="zh-CN"/>
        </w:rPr>
        <w:t xml:space="preserve"> </w:t>
      </w:r>
      <w:r>
        <w:rPr>
          <w:rFonts w:eastAsia="宋体"/>
          <w:b/>
          <w:i/>
          <w:szCs w:val="24"/>
          <w:lang w:eastAsia="zh-CN"/>
        </w:rPr>
        <w:t>I</w:t>
      </w:r>
      <w:r>
        <w:rPr>
          <w:rFonts w:eastAsia="宋体"/>
          <w:b/>
          <w:szCs w:val="24"/>
          <w:lang w:eastAsia="zh-CN"/>
        </w:rPr>
        <w:t>-</w:t>
      </w:r>
      <w:r>
        <w:rPr>
          <w:rFonts w:eastAsia="宋体"/>
          <w:b/>
          <w:i/>
          <w:szCs w:val="24"/>
          <w:lang w:eastAsia="zh-CN"/>
        </w:rPr>
        <w:t>V</w:t>
      </w:r>
      <w:r>
        <w:rPr>
          <w:rFonts w:eastAsia="宋体"/>
          <w:b/>
          <w:szCs w:val="24"/>
          <w:lang w:eastAsia="zh-CN"/>
        </w:rPr>
        <w:t xml:space="preserve"> traces (a) and Current magnitude difference (b) among six devices at 30 K on a continuous </w:t>
      </w:r>
      <w:r>
        <w:rPr>
          <w:rFonts w:eastAsia="宋体"/>
          <w:b/>
          <w:i/>
          <w:szCs w:val="24"/>
          <w:lang w:eastAsia="zh-CN"/>
        </w:rPr>
        <w:t>V</w:t>
      </w:r>
      <w:r>
        <w:rPr>
          <w:rFonts w:eastAsia="宋体"/>
          <w:b/>
          <w:szCs w:val="24"/>
          <w:vertAlign w:val="subscript"/>
          <w:lang w:eastAsia="zh-CN"/>
        </w:rPr>
        <w:t>G</w:t>
      </w:r>
      <w:r>
        <w:rPr>
          <w:rFonts w:eastAsia="宋体"/>
          <w:b/>
          <w:szCs w:val="24"/>
          <w:lang w:eastAsia="zh-CN"/>
        </w:rPr>
        <w:t xml:space="preserve"> = 0 V.</w:t>
      </w:r>
    </w:p>
    <w:p w14:paraId="515DCF57">
      <w:pPr>
        <w:jc w:val="both"/>
        <w:rPr>
          <w:rFonts w:eastAsia="宋体"/>
          <w:szCs w:val="24"/>
          <w:lang w:eastAsia="zh-CN"/>
        </w:rPr>
      </w:pPr>
    </w:p>
    <w:p w14:paraId="16E82E33">
      <w:pPr>
        <w:jc w:val="center"/>
        <w:rPr>
          <w:rFonts w:eastAsia="宋体"/>
          <w:szCs w:val="24"/>
          <w:lang w:eastAsia="zh-CN"/>
        </w:rPr>
      </w:pPr>
    </w:p>
    <w:p w14:paraId="14475F31">
      <w:pPr>
        <w:jc w:val="center"/>
        <w:rPr>
          <w:rFonts w:eastAsia="宋体"/>
          <w:szCs w:val="24"/>
          <w:lang w:eastAsia="zh-CN"/>
        </w:rPr>
      </w:pPr>
      <w:r>
        <w:rPr>
          <w:rFonts w:eastAsia="宋体"/>
          <w:szCs w:val="24"/>
          <w:lang w:eastAsia="zh-CN"/>
        </w:rPr>
        <w:drawing>
          <wp:inline distT="0" distB="0" distL="0" distR="0">
            <wp:extent cx="5039995" cy="2072005"/>
            <wp:effectExtent l="0" t="0" r="8255" b="4445"/>
            <wp:docPr id="13381005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00567"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9" cy="2072041"/>
                    </a:xfrm>
                    <a:prstGeom prst="rect">
                      <a:avLst/>
                    </a:prstGeom>
                    <a:noFill/>
                  </pic:spPr>
                </pic:pic>
              </a:graphicData>
            </a:graphic>
          </wp:inline>
        </w:drawing>
      </w:r>
    </w:p>
    <w:p w14:paraId="30DF75B9">
      <w:pPr>
        <w:jc w:val="both"/>
        <w:rPr>
          <w:rFonts w:eastAsia="宋体"/>
          <w:szCs w:val="24"/>
          <w:lang w:eastAsia="zh-CN"/>
        </w:rPr>
      </w:pPr>
      <w:r>
        <w:rPr>
          <w:rFonts w:eastAsia="宋体"/>
          <w:b/>
          <w:szCs w:val="24"/>
          <w:lang w:eastAsia="zh-CN"/>
        </w:rPr>
        <w:t xml:space="preserve">Fig. S7 Temperature and gating voltage dependent current-voltage curves of device 1. a, </w:t>
      </w:r>
      <w:r>
        <w:rPr>
          <w:rFonts w:eastAsia="宋体"/>
          <w:i/>
          <w:szCs w:val="24"/>
          <w:lang w:eastAsia="zh-CN"/>
        </w:rPr>
        <w:t>I</w:t>
      </w:r>
      <w:r>
        <w:rPr>
          <w:rFonts w:eastAsia="宋体"/>
          <w:szCs w:val="24"/>
          <w:lang w:eastAsia="zh-CN"/>
        </w:rPr>
        <w:t>-</w:t>
      </w:r>
      <w:r>
        <w:rPr>
          <w:rFonts w:eastAsia="宋体"/>
          <w:i/>
          <w:szCs w:val="24"/>
          <w:lang w:eastAsia="zh-CN"/>
        </w:rPr>
        <w:t>V</w:t>
      </w:r>
      <w:r>
        <w:rPr>
          <w:rFonts w:eastAsia="宋体"/>
          <w:szCs w:val="24"/>
          <w:lang w:eastAsia="zh-CN"/>
        </w:rPr>
        <w:t xml:space="preserve"> curves at different temperatures </w:t>
      </w:r>
      <w:r>
        <w:rPr>
          <w:rFonts w:eastAsia="宋体"/>
          <w:b/>
          <w:szCs w:val="24"/>
          <w:lang w:eastAsia="zh-CN"/>
        </w:rPr>
        <w:t>(</w:t>
      </w:r>
      <w:r>
        <w:rPr>
          <w:rFonts w:eastAsia="宋体"/>
          <w:szCs w:val="24"/>
          <w:lang w:eastAsia="zh-CN"/>
        </w:rPr>
        <w:t>273 K</w:t>
      </w:r>
      <w:r>
        <w:rPr>
          <w:rFonts w:hint="eastAsia" w:eastAsia="宋体"/>
          <w:szCs w:val="24"/>
          <w:lang w:eastAsia="zh-CN"/>
        </w:rPr>
        <w:t>,</w:t>
      </w:r>
      <w:r>
        <w:rPr>
          <w:rFonts w:eastAsia="宋体"/>
          <w:szCs w:val="24"/>
          <w:lang w:eastAsia="zh-CN"/>
        </w:rPr>
        <w:t xml:space="preserve"> 120 K, 60 K, 30 K, 15 K</w:t>
      </w:r>
      <w:r>
        <w:rPr>
          <w:rFonts w:eastAsia="宋体"/>
          <w:b/>
          <w:szCs w:val="24"/>
          <w:lang w:eastAsia="zh-CN"/>
        </w:rPr>
        <w:t xml:space="preserve">). b, </w:t>
      </w:r>
      <w:r>
        <w:rPr>
          <w:rFonts w:eastAsia="宋体"/>
          <w:i/>
          <w:szCs w:val="24"/>
          <w:lang w:eastAsia="zh-CN"/>
        </w:rPr>
        <w:t>I-V</w:t>
      </w:r>
      <w:r>
        <w:rPr>
          <w:rFonts w:eastAsia="宋体"/>
          <w:szCs w:val="24"/>
          <w:lang w:eastAsia="zh-CN"/>
        </w:rPr>
        <w:t xml:space="preserve"> curves at different gating voltage </w:t>
      </w:r>
      <w:r>
        <w:rPr>
          <w:rFonts w:eastAsia="宋体"/>
          <w:i/>
          <w:szCs w:val="24"/>
          <w:lang w:eastAsia="zh-CN"/>
        </w:rPr>
        <w:t>V</w:t>
      </w:r>
      <w:r>
        <w:rPr>
          <w:rFonts w:eastAsia="宋体"/>
          <w:szCs w:val="24"/>
          <w:vertAlign w:val="subscript"/>
          <w:lang w:eastAsia="zh-CN"/>
        </w:rPr>
        <w:t>G</w:t>
      </w:r>
      <w:r>
        <w:rPr>
          <w:rFonts w:eastAsia="宋体"/>
          <w:szCs w:val="24"/>
          <w:lang w:eastAsia="zh-CN"/>
        </w:rPr>
        <w:t xml:space="preserve"> (0 V, -1.5 V, -2.5 V) </w:t>
      </w:r>
      <w:r>
        <w:rPr>
          <w:rFonts w:hint="eastAsia" w:eastAsia="宋体"/>
          <w:szCs w:val="24"/>
          <w:lang w:eastAsia="zh-CN"/>
        </w:rPr>
        <w:t>at</w:t>
      </w:r>
      <w:r>
        <w:rPr>
          <w:rFonts w:eastAsia="宋体"/>
          <w:szCs w:val="24"/>
          <w:lang w:eastAsia="zh-CN"/>
        </w:rPr>
        <w:t xml:space="preserve"> 30 K.</w:t>
      </w:r>
    </w:p>
    <w:p w14:paraId="17CF8968">
      <w:pPr>
        <w:jc w:val="both"/>
        <w:rPr>
          <w:rFonts w:eastAsia="宋体"/>
          <w:szCs w:val="24"/>
          <w:lang w:eastAsia="zh-CN"/>
        </w:rPr>
      </w:pPr>
    </w:p>
    <w:p w14:paraId="07B40C1B">
      <w:pPr>
        <w:jc w:val="center"/>
        <w:rPr>
          <w:rFonts w:eastAsia="宋体"/>
          <w:szCs w:val="24"/>
          <w:lang w:eastAsia="zh-CN"/>
        </w:rPr>
      </w:pPr>
      <w:r>
        <w:rPr>
          <w:rFonts w:eastAsia="宋体"/>
          <w:szCs w:val="24"/>
          <w:lang w:eastAsia="zh-CN"/>
        </w:rPr>
        <w:drawing>
          <wp:inline distT="0" distB="0" distL="0" distR="0">
            <wp:extent cx="2819400" cy="2159000"/>
            <wp:effectExtent l="0" t="0" r="0" b="0"/>
            <wp:docPr id="16317765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76532"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197" cy="2164684"/>
                    </a:xfrm>
                    <a:prstGeom prst="rect">
                      <a:avLst/>
                    </a:prstGeom>
                    <a:noFill/>
                  </pic:spPr>
                </pic:pic>
              </a:graphicData>
            </a:graphic>
          </wp:inline>
        </w:drawing>
      </w:r>
    </w:p>
    <w:p w14:paraId="5862E375">
      <w:pPr>
        <w:jc w:val="center"/>
        <w:rPr>
          <w:rFonts w:eastAsia="宋体"/>
          <w:b/>
          <w:szCs w:val="24"/>
          <w:lang w:eastAsia="zh-CN"/>
        </w:rPr>
      </w:pPr>
      <w:r>
        <w:rPr>
          <w:rFonts w:eastAsia="宋体"/>
          <w:b/>
          <w:szCs w:val="24"/>
          <w:lang w:eastAsia="zh-CN"/>
        </w:rPr>
        <w:t>Fig. S8 Absorption spectra of BP molecule.</w:t>
      </w:r>
    </w:p>
    <w:p w14:paraId="1C5A5547">
      <w:pPr>
        <w:rPr>
          <w:rFonts w:eastAsia="宋体"/>
          <w:b/>
          <w:szCs w:val="24"/>
          <w:lang w:eastAsia="zh-CN"/>
        </w:rPr>
      </w:pPr>
      <w:r>
        <w:rPr>
          <w:rFonts w:eastAsia="宋体"/>
          <w:b/>
          <w:szCs w:val="24"/>
          <w:lang w:eastAsia="zh-CN"/>
        </w:rPr>
        <w:br w:type="page"/>
      </w:r>
    </w:p>
    <w:p w14:paraId="1AC185F6">
      <w:pPr>
        <w:pStyle w:val="101"/>
        <w:rPr>
          <w:b/>
          <w:u w:val="none"/>
        </w:rPr>
      </w:pPr>
      <w:r>
        <w:rPr>
          <w:b/>
          <w:u w:val="none"/>
        </w:rPr>
        <w:t>Section Ⅲ. Details of Methods</w:t>
      </w:r>
    </w:p>
    <w:p w14:paraId="7F43E34C">
      <w:pPr>
        <w:widowControl w:val="0"/>
        <w:spacing w:after="120"/>
        <w:jc w:val="both"/>
        <w:rPr>
          <w:rFonts w:eastAsia="等线"/>
          <w:kern w:val="2"/>
          <w:szCs w:val="24"/>
          <w:lang w:eastAsia="zh-CN"/>
        </w:rPr>
      </w:pPr>
      <w:r>
        <w:t>To verify the reproducibility of the observed dynamic phenomena, we fabricated another BP single-molecule transistor device (</w:t>
      </w:r>
      <w:r>
        <w:rPr>
          <w:b/>
        </w:rPr>
        <w:t>Device 2</w:t>
      </w:r>
      <w:r>
        <w:t xml:space="preserve">) and performed steady-state differential conductance measurements within a voltage window of ±0.8 V. The results are shown in </w:t>
      </w:r>
      <w:r>
        <w:rPr>
          <w:b/>
        </w:rPr>
        <w:t>Fig. S12</w:t>
      </w:r>
      <w:r>
        <w:rPr>
          <w:b/>
          <w:lang w:eastAsia="zh-CN"/>
        </w:rPr>
        <w:t>a</w:t>
      </w:r>
      <w:r>
        <w:t xml:space="preserve">. We noted that the gate voltage at which the transition between the </w:t>
      </w:r>
      <w:r>
        <w:rPr>
          <w:i/>
        </w:rPr>
        <w:t>N</w:t>
      </w:r>
      <w:r>
        <w:t xml:space="preserve"> and </w:t>
      </w:r>
      <w:r>
        <w:rPr>
          <w:i/>
        </w:rPr>
        <w:t>N</w:t>
      </w:r>
      <w:r>
        <w:t xml:space="preserve">−1 charge states occurs at the gate voltage of </w:t>
      </w:r>
      <w:r>
        <w:rPr>
          <w:rStyle w:val="144"/>
          <w:i/>
        </w:rPr>
        <w:t>V</w:t>
      </w:r>
      <w:r>
        <w:rPr>
          <w:rStyle w:val="144"/>
          <w:vertAlign w:val="subscript"/>
        </w:rPr>
        <w:t>cross</w:t>
      </w:r>
      <w:r>
        <w:rPr>
          <w:rStyle w:val="144"/>
        </w:rPr>
        <w:t xml:space="preserve"> = −2.5 V</w:t>
      </w:r>
      <w:r>
        <w:t xml:space="preserve">, which is very close to that of </w:t>
      </w:r>
      <w:r>
        <w:rPr>
          <w:b/>
        </w:rPr>
        <w:t>Device 1</w:t>
      </w:r>
      <w:r>
        <w:t xml:space="preserve">, with only minor differences. These differences may arise from slight variations in the molecular conformation during the assembly process. Under </w:t>
      </w:r>
      <w:r>
        <w:rPr>
          <w:rStyle w:val="144"/>
          <w:i/>
        </w:rPr>
        <w:t>V</w:t>
      </w:r>
      <w:r>
        <w:rPr>
          <w:rStyle w:val="144"/>
          <w:vertAlign w:val="subscript"/>
        </w:rPr>
        <w:t>G</w:t>
      </w:r>
      <w:r>
        <w:rPr>
          <w:rStyle w:val="144"/>
        </w:rPr>
        <w:t>=−2.5 V</w:t>
      </w:r>
      <w:r>
        <w:t xml:space="preserve">, the dynamic behavior of </w:t>
      </w:r>
      <w:r>
        <w:rPr>
          <w:b/>
        </w:rPr>
        <w:t>Device 2</w:t>
      </w:r>
      <w:r>
        <w:t xml:space="preserve"> shown in </w:t>
      </w:r>
      <w:r>
        <w:rPr>
          <w:b/>
        </w:rPr>
        <w:t>Fig. S12b</w:t>
      </w:r>
      <w:r>
        <w:t xml:space="preserve"> was essentially consistent with the phenomena previously observed (</w:t>
      </w:r>
      <w:r>
        <w:rPr>
          <w:b/>
        </w:rPr>
        <w:t>Fig. 2e</w:t>
      </w:r>
      <w:r>
        <w:t xml:space="preserve">). In addition, we also performed dynamic measurements at </w:t>
      </w:r>
      <w:r>
        <w:rPr>
          <w:rStyle w:val="144"/>
          <w:i/>
        </w:rPr>
        <w:t>V</w:t>
      </w:r>
      <w:r>
        <w:rPr>
          <w:rStyle w:val="144"/>
          <w:vertAlign w:val="subscript"/>
        </w:rPr>
        <w:t>G</w:t>
      </w:r>
      <w:r>
        <w:rPr>
          <w:rStyle w:val="144"/>
        </w:rPr>
        <w:t xml:space="preserve"> = −1 V</w:t>
      </w:r>
      <w:r>
        <w:t xml:space="preserve">, with the results shown in </w:t>
      </w:r>
      <w:r>
        <w:rPr>
          <w:b/>
        </w:rPr>
        <w:t>Fig. S12c</w:t>
      </w:r>
      <w:r>
        <w:t xml:space="preserve">. Under this condition, the excitation threshold for the dynamics was significantly higher than that at </w:t>
      </w:r>
      <w:r>
        <w:rPr>
          <w:rStyle w:val="144"/>
          <w:i/>
        </w:rPr>
        <w:t>V</w:t>
      </w:r>
      <w:r>
        <w:rPr>
          <w:rStyle w:val="144"/>
          <w:vertAlign w:val="subscript"/>
        </w:rPr>
        <w:t xml:space="preserve">G </w:t>
      </w:r>
      <w:r>
        <w:rPr>
          <w:rStyle w:val="144"/>
        </w:rPr>
        <w:t>= −2.5 V</w:t>
      </w:r>
      <w:r>
        <w:t xml:space="preserve">. </w:t>
      </w:r>
      <w:r>
        <w:rPr>
          <w:rFonts w:hint="eastAsia"/>
          <w:lang w:eastAsia="zh-CN"/>
        </w:rPr>
        <w:t>W</w:t>
      </w:r>
      <w:r>
        <w:t xml:space="preserve">e attribute this phenomenon to the </w:t>
      </w:r>
      <w:r>
        <w:rPr>
          <w:i/>
        </w:rPr>
        <w:t>N</w:t>
      </w:r>
      <w:r>
        <w:t xml:space="preserve"> → </w:t>
      </w:r>
      <w:r>
        <w:rPr>
          <w:i/>
        </w:rPr>
        <w:t>N</w:t>
      </w:r>
      <w:r>
        <w:t>−1 dynamic process, with an estimated lifetime of approximately 30 ns based on our established analysis framework.</w:t>
      </w:r>
    </w:p>
    <w:p w14:paraId="7A4D8758">
      <w:pPr>
        <w:spacing w:after="120"/>
        <w:jc w:val="both"/>
      </w:pPr>
      <w:r>
        <w:t>Varying the voltage pulse width could be used in principle to characterize the charged excited states dynamics, which has been demonstrated in probing the triplet quenching in individual pentacene</w:t>
      </w:r>
      <w:r>
        <w:fldChar w:fldCharType="begin"/>
      </w:r>
      <w:r>
        <w:instrText xml:space="preserve"> ADDIN EN.CITE &lt;EndNote&gt;&lt;Cite&gt;&lt;Author&gt;Peng&lt;/Author&gt;&lt;Year&gt;2021&lt;/Year&gt;&lt;RecNum&gt;10002&lt;/RecNum&gt;&lt;DisplayText&gt;&lt;style face="superscript"&gt;6&lt;/style&gt;&lt;/DisplayText&gt;&lt;record&gt;&lt;rec-number&gt;10002&lt;/rec-number&gt;&lt;foreign-keys&gt;&lt;key app="EN" db-id="xxfpxsfd3wsxzoezwt55ps0jt5s2fffz0xaf" timestamp="1670655349"&gt;10002&lt;/key&gt;&lt;/foreign-keys&gt;&lt;ref-type name="Journal Article"&gt;17&lt;/ref-type&gt;&lt;contributors&gt;&lt;authors&gt;&lt;author&gt;Peng, Jinbo&lt;/author&gt;&lt;author&gt;Sokolov, Sophia&lt;/author&gt;&lt;author&gt;Hernangómez-Pérez, Daniel&lt;/author&gt;&lt;author&gt;Evers, Ferdinand&lt;/author&gt;&lt;author&gt;Gross, Leo&lt;/author&gt;&lt;author&gt;Lupton, John M.&lt;/author&gt;&lt;author&gt;Repp, Jascha&lt;/author&gt;&lt;/authors&gt;&lt;/contributors&gt;&lt;titles&gt;&lt;title&gt;Atomically resolved single-molecule triplet quenching&lt;/title&gt;&lt;secondary-title&gt;Science&lt;/secondary-title&gt;&lt;/titles&gt;&lt;periodical&gt;&lt;full-title&gt;Science&lt;/full-title&gt;&lt;/periodical&gt;&lt;pages&gt;452-456&lt;/pages&gt;&lt;volume&gt;373&lt;/volume&gt;&lt;number&gt;6553&lt;/number&gt;&lt;dates&gt;&lt;year&gt;2021&lt;/year&gt;&lt;pub-dates&gt;&lt;date&gt;2021/07/23&lt;/date&gt;&lt;/pub-dates&gt;&lt;/dates&gt;&lt;publisher&gt;American Association for the Advancement of Science&lt;/publisher&gt;&lt;urls&gt;&lt;related-urls&gt;&lt;url&gt;https://doi.org/10.1126/science.abh1155&lt;/url&gt;&lt;/related-urls&gt;&lt;/urls&gt;&lt;electronic-resource-num&gt;10.1126/science.abh1155&lt;/electronic-resource-num&gt;&lt;access-date&gt;2022/12/09&lt;/access-date&gt;&lt;/record&gt;&lt;/Cite&gt;&lt;/EndNote&gt;</w:instrText>
      </w:r>
      <w:r>
        <w:fldChar w:fldCharType="separate"/>
      </w:r>
      <w:r>
        <w:rPr>
          <w:vertAlign w:val="superscript"/>
        </w:rPr>
        <w:t>6</w:t>
      </w:r>
      <w:r>
        <w:fldChar w:fldCharType="end"/>
      </w:r>
      <w:r>
        <w:t xml:space="preserve">. Therefore, we performed the voltage pulse-width dependence measurements using a </w:t>
      </w:r>
      <w:r>
        <w:rPr>
          <w:i/>
          <w:iCs/>
        </w:rPr>
        <w:t>V</w:t>
      </w:r>
      <w:r>
        <w:rPr>
          <w:vertAlign w:val="subscript"/>
        </w:rPr>
        <w:t>pulse</w:t>
      </w:r>
      <w:r>
        <w:t xml:space="preserve"> = </w:t>
      </w:r>
      <w:r>
        <w:rPr/>
        <w:sym w:font="Symbol" w:char="F02D"/>
      </w:r>
      <w:r>
        <w:t xml:space="preserve">0.8 V, as shown in </w:t>
      </w:r>
      <w:r>
        <w:rPr>
          <w:b/>
          <w:bCs/>
        </w:rPr>
        <w:t>Fig. 2d</w:t>
      </w:r>
      <w:r>
        <w:t xml:space="preserve">. Since </w:t>
      </w:r>
      <w:r>
        <w:rPr>
          <w:rFonts w:hint="eastAsia"/>
        </w:rPr>
        <w:t>current grows with the increase of</w:t>
      </w:r>
      <w:r>
        <w:t xml:space="preserve"> pulse width (</w:t>
      </w:r>
      <w:r>
        <w:rPr>
          <w:b/>
          <w:bCs/>
        </w:rPr>
        <w:t>Fig. S13, a-b</w:t>
      </w:r>
      <w:r>
        <w:t xml:space="preserve">), </w:t>
      </w:r>
      <w:r>
        <w:rPr>
          <w:rFonts w:eastAsia="等线"/>
          <w:kern w:val="2"/>
          <w:szCs w:val="24"/>
        </w:rPr>
        <w:t xml:space="preserve">we normalized the relationship between </w:t>
      </w:r>
      <w:r>
        <w:rPr>
          <w:rFonts w:eastAsia="等线"/>
          <w:i/>
          <w:kern w:val="2"/>
          <w:szCs w:val="24"/>
        </w:rPr>
        <w:t>I</w:t>
      </w:r>
      <w:r>
        <w:rPr>
          <w:rFonts w:eastAsia="等线"/>
          <w:kern w:val="2"/>
          <w:szCs w:val="24"/>
          <w:vertAlign w:val="subscript"/>
        </w:rPr>
        <w:t xml:space="preserve">pulse </w:t>
      </w:r>
      <w:r>
        <w:rPr>
          <w:rFonts w:eastAsia="等线"/>
          <w:kern w:val="2"/>
          <w:szCs w:val="24"/>
        </w:rPr>
        <w:t xml:space="preserve">and </w:t>
      </w:r>
      <w:r>
        <w:rPr>
          <w:rFonts w:ascii="Symbol" w:hAnsi="Symbol" w:eastAsia="等线"/>
          <w:i/>
          <w:kern w:val="2"/>
          <w:szCs w:val="24"/>
        </w:rPr>
        <w:t></w:t>
      </w:r>
      <w:r>
        <w:rPr>
          <w:rFonts w:eastAsia="等线"/>
          <w:kern w:val="2"/>
          <w:szCs w:val="24"/>
          <w:vertAlign w:val="subscript"/>
        </w:rPr>
        <w:t xml:space="preserve">pulse </w:t>
      </w:r>
      <w:r>
        <w:rPr>
          <w:rFonts w:eastAsia="等线"/>
          <w:kern w:val="2"/>
          <w:szCs w:val="24"/>
        </w:rPr>
        <w:t xml:space="preserve">by extracting the amount of current change caused by unit pulse width, </w:t>
      </w:r>
      <w:r>
        <w:rPr>
          <w:rFonts w:eastAsia="等线"/>
          <w:i/>
          <w:kern w:val="2"/>
          <w:szCs w:val="24"/>
        </w:rPr>
        <w:t>I</w:t>
      </w:r>
      <w:r>
        <w:rPr>
          <w:rFonts w:eastAsia="等线"/>
          <w:kern w:val="2"/>
          <w:szCs w:val="24"/>
          <w:vertAlign w:val="subscript"/>
        </w:rPr>
        <w:t>pulse</w:t>
      </w:r>
      <w:r>
        <w:rPr>
          <w:rFonts w:eastAsia="等线"/>
          <w:kern w:val="2"/>
          <w:szCs w:val="24"/>
          <w:lang w:eastAsia="zh-CN"/>
        </w:rPr>
        <w:t>/</w:t>
      </w:r>
      <w:r>
        <w:rPr>
          <w:rFonts w:ascii="Symbol" w:hAnsi="Symbol" w:eastAsia="等线"/>
          <w:i/>
          <w:kern w:val="2"/>
          <w:szCs w:val="24"/>
        </w:rPr>
        <w:t></w:t>
      </w:r>
      <w:r>
        <w:rPr>
          <w:rFonts w:eastAsia="等线"/>
          <w:kern w:val="2"/>
          <w:szCs w:val="24"/>
          <w:vertAlign w:val="subscript"/>
        </w:rPr>
        <w:t xml:space="preserve">pulse </w:t>
      </w:r>
      <w:r>
        <w:rPr>
          <w:rFonts w:eastAsia="等线"/>
          <w:kern w:val="2"/>
          <w:szCs w:val="24"/>
        </w:rPr>
        <w:t>= (</w:t>
      </w:r>
      <w:r>
        <w:rPr>
          <w:rFonts w:eastAsia="等线"/>
          <w:i/>
          <w:kern w:val="2"/>
          <w:szCs w:val="24"/>
        </w:rPr>
        <w:t>I</w:t>
      </w:r>
      <w:r>
        <w:rPr>
          <w:rFonts w:eastAsia="等线"/>
          <w:kern w:val="2"/>
          <w:szCs w:val="24"/>
          <w:vertAlign w:val="subscript"/>
        </w:rPr>
        <w:t xml:space="preserve">pulse </w:t>
      </w:r>
      <w:r>
        <w:rPr>
          <w:rFonts w:eastAsia="等线"/>
          <w:kern w:val="2"/>
          <w:szCs w:val="24"/>
        </w:rPr>
        <w:sym w:font="Symbol" w:char="F02D"/>
      </w:r>
      <w:r>
        <w:rPr>
          <w:rFonts w:eastAsia="等线"/>
          <w:i/>
          <w:kern w:val="2"/>
          <w:szCs w:val="24"/>
        </w:rPr>
        <w:t xml:space="preserve"> I</w:t>
      </w:r>
      <w:r>
        <w:rPr>
          <w:rFonts w:ascii="Symbol" w:hAnsi="Symbol" w:eastAsia="等线"/>
          <w:kern w:val="2"/>
          <w:szCs w:val="24"/>
          <w:vertAlign w:val="subscript"/>
        </w:rPr>
        <w:t></w:t>
      </w:r>
      <w:r>
        <w:rPr>
          <w:rFonts w:eastAsia="等线"/>
          <w:kern w:val="2"/>
          <w:szCs w:val="24"/>
          <w:vertAlign w:val="subscript"/>
        </w:rPr>
        <w:t>=0 ns</w:t>
      </w:r>
      <w:r>
        <w:rPr>
          <w:rFonts w:eastAsia="等线"/>
          <w:kern w:val="2"/>
          <w:szCs w:val="24"/>
          <w:lang w:eastAsia="zh-CN"/>
        </w:rPr>
        <w:t>)/</w:t>
      </w:r>
      <w:r>
        <w:rPr>
          <w:rFonts w:ascii="Symbol" w:hAnsi="Symbol" w:eastAsia="等线"/>
          <w:i/>
          <w:kern w:val="2"/>
          <w:szCs w:val="24"/>
        </w:rPr>
        <w:t></w:t>
      </w:r>
      <w:r>
        <w:rPr>
          <w:rFonts w:eastAsia="等线"/>
          <w:kern w:val="2"/>
          <w:szCs w:val="24"/>
          <w:vertAlign w:val="subscript"/>
        </w:rPr>
        <w:t>pulse</w:t>
      </w:r>
      <w:r>
        <w:rPr>
          <w:rFonts w:eastAsia="等线"/>
          <w:kern w:val="2"/>
          <w:szCs w:val="24"/>
        </w:rPr>
        <w:t>. The signal at</w:t>
      </w:r>
      <w:r>
        <w:rPr>
          <w:rFonts w:ascii="Symbol" w:hAnsi="Symbol" w:eastAsia="等线"/>
          <w:kern w:val="2"/>
          <w:szCs w:val="24"/>
        </w:rPr>
        <w:t></w:t>
      </w:r>
      <w:r>
        <w:rPr>
          <w:rFonts w:ascii="Symbol" w:hAnsi="Symbol" w:eastAsia="等线"/>
          <w:i/>
          <w:kern w:val="2"/>
          <w:szCs w:val="24"/>
        </w:rPr>
        <w:t></w:t>
      </w:r>
      <w:r>
        <w:rPr>
          <w:rFonts w:eastAsia="等线"/>
          <w:kern w:val="2"/>
          <w:szCs w:val="24"/>
          <w:vertAlign w:val="subscript"/>
        </w:rPr>
        <w:t>pulse</w:t>
      </w:r>
      <w:r>
        <w:rPr>
          <w:rFonts w:eastAsia="等线"/>
          <w:kern w:val="2"/>
          <w:szCs w:val="24"/>
          <w:vertAlign w:val="subscript"/>
          <w:lang w:eastAsia="zh-CN"/>
        </w:rPr>
        <w:t xml:space="preserve"> </w:t>
      </w:r>
      <w:r>
        <w:rPr>
          <w:rFonts w:eastAsia="等线"/>
          <w:kern w:val="2"/>
          <w:szCs w:val="24"/>
        </w:rPr>
        <w:t>=</w:t>
      </w:r>
      <w:r>
        <w:rPr>
          <w:rFonts w:eastAsia="等线"/>
          <w:kern w:val="2"/>
          <w:szCs w:val="24"/>
          <w:lang w:eastAsia="zh-CN"/>
        </w:rPr>
        <w:t xml:space="preserve"> </w:t>
      </w:r>
      <w:r>
        <w:rPr>
          <w:rFonts w:eastAsia="等线"/>
          <w:kern w:val="2"/>
          <w:szCs w:val="24"/>
        </w:rPr>
        <w:t xml:space="preserve">0 ns is subtracted in order to minimize the impact of rising and falling edges on the accuracy of normalization. </w:t>
      </w:r>
      <w:r>
        <w:t xml:space="preserve">The normalized </w:t>
      </w:r>
      <w:r>
        <w:rPr>
          <w:i/>
          <w:iCs/>
        </w:rPr>
        <w:t>I</w:t>
      </w:r>
      <w:r>
        <w:rPr>
          <w:vertAlign w:val="subscript"/>
        </w:rPr>
        <w:t>pulse</w:t>
      </w:r>
      <w:r>
        <w:t xml:space="preserve"> at </w:t>
      </w:r>
      <w:r>
        <w:rPr>
          <w:i/>
          <w:iCs/>
        </w:rPr>
        <w:t>V</w:t>
      </w:r>
      <w:r>
        <w:rPr>
          <w:vertAlign w:val="subscript"/>
        </w:rPr>
        <w:t>G</w:t>
      </w:r>
      <w:r>
        <w:t xml:space="preserve"> = 0 V corresponding to the N state is insensitive to the pulse width. In contrast, a low-to-high dynamical curve of normalized </w:t>
      </w:r>
      <w:r>
        <w:rPr>
          <w:i/>
          <w:iCs/>
        </w:rPr>
        <w:t>I</w:t>
      </w:r>
      <w:r>
        <w:rPr>
          <w:vertAlign w:val="subscript"/>
        </w:rPr>
        <w:t>pulse</w:t>
      </w:r>
      <w:r>
        <w:t xml:space="preserve"> appears at</w:t>
      </w:r>
      <w:r>
        <w:rPr>
          <w:i/>
          <w:iCs/>
        </w:rPr>
        <w:t xml:space="preserve"> V</w:t>
      </w:r>
      <w:r>
        <w:rPr>
          <w:vertAlign w:val="subscript"/>
        </w:rPr>
        <w:t>G</w:t>
      </w:r>
      <w:r>
        <w:t xml:space="preserve"> = </w:t>
      </w:r>
      <w:r>
        <w:rPr/>
        <w:sym w:font="Symbol" w:char="F02D"/>
      </w:r>
      <w:r>
        <w:t>2.5 V and the single-exponential fitting reflects a lifetime of ~86 ns (</w:t>
      </w:r>
      <w:r>
        <w:rPr>
          <w:b/>
          <w:bCs/>
        </w:rPr>
        <w:t>Fig. S13c</w:t>
      </w:r>
      <w:r>
        <w:t>). Such a lifetime is too long for the recombination of excited doublet state and it quenches at 160 K (</w:t>
      </w:r>
      <w:r>
        <w:rPr>
          <w:b/>
          <w:bCs/>
        </w:rPr>
        <w:t>Fig. S13, d-f</w:t>
      </w:r>
      <w:r>
        <w:t>) due to the thermal fluctuation-induced dephasing, suggesting the occurrence of excited state dynamics.</w:t>
      </w:r>
    </w:p>
    <w:p w14:paraId="5866EAA0"/>
    <w:p w14:paraId="5A6F779F">
      <w:pPr>
        <w:widowControl w:val="0"/>
        <w:spacing w:after="120"/>
        <w:jc w:val="center"/>
        <w:rPr>
          <w:rFonts w:eastAsia="等线"/>
          <w:kern w:val="2"/>
          <w:szCs w:val="24"/>
        </w:rPr>
      </w:pPr>
      <w:r>
        <w:rPr>
          <w:rFonts w:eastAsia="等线"/>
          <w:kern w:val="2"/>
          <w:szCs w:val="24"/>
        </w:rPr>
        <w:drawing>
          <wp:inline distT="0" distB="0" distL="0" distR="0">
            <wp:extent cx="2910840" cy="245872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1939" cy="2476643"/>
                    </a:xfrm>
                    <a:prstGeom prst="rect">
                      <a:avLst/>
                    </a:prstGeom>
                    <a:noFill/>
                    <a:ln>
                      <a:noFill/>
                    </a:ln>
                  </pic:spPr>
                </pic:pic>
              </a:graphicData>
            </a:graphic>
          </wp:inline>
        </w:drawing>
      </w:r>
    </w:p>
    <w:p w14:paraId="38863EF2">
      <w:pPr>
        <w:widowControl w:val="0"/>
        <w:spacing w:after="120"/>
        <w:jc w:val="both"/>
        <w:rPr>
          <w:rFonts w:eastAsia="等线"/>
          <w:b/>
          <w:kern w:val="2"/>
          <w:szCs w:val="24"/>
        </w:rPr>
      </w:pPr>
      <w:r>
        <w:rPr>
          <w:rFonts w:eastAsia="等线"/>
          <w:b/>
          <w:kern w:val="2"/>
          <w:szCs w:val="24"/>
        </w:rPr>
        <w:t>Fig. S9 Pulse current-voltage characterizations at N</w:t>
      </w:r>
      <w:r>
        <w:rPr>
          <w:rFonts w:eastAsia="等线"/>
          <w:b/>
          <w:kern w:val="2"/>
          <w:szCs w:val="24"/>
          <w:lang w:val="de-DE"/>
        </w:rPr>
        <w:sym w:font="Symbol" w:char="F02D"/>
      </w:r>
      <w:r>
        <w:rPr>
          <w:rFonts w:eastAsia="等线"/>
          <w:b/>
          <w:kern w:val="2"/>
          <w:szCs w:val="24"/>
        </w:rPr>
        <w:t xml:space="preserve">1 (blue dots, </w:t>
      </w:r>
      <w:r>
        <w:rPr>
          <w:rFonts w:eastAsia="等线"/>
          <w:b/>
          <w:i/>
          <w:iCs/>
          <w:kern w:val="2"/>
          <w:szCs w:val="24"/>
        </w:rPr>
        <w:t>V</w:t>
      </w:r>
      <w:r>
        <w:rPr>
          <w:rFonts w:eastAsia="等线"/>
          <w:b/>
          <w:kern w:val="2"/>
          <w:szCs w:val="24"/>
          <w:vertAlign w:val="subscript"/>
        </w:rPr>
        <w:t>G</w:t>
      </w:r>
      <w:r>
        <w:rPr>
          <w:rFonts w:eastAsia="等线"/>
          <w:b/>
          <w:kern w:val="2"/>
          <w:szCs w:val="24"/>
        </w:rPr>
        <w:t xml:space="preserve">= </w:t>
      </w:r>
      <w:r>
        <w:rPr>
          <w:rFonts w:eastAsia="等线"/>
          <w:b/>
          <w:kern w:val="2"/>
          <w:szCs w:val="24"/>
          <w:lang w:val="de-DE"/>
        </w:rPr>
        <w:sym w:font="Symbol" w:char="F02D"/>
      </w:r>
      <w:r>
        <w:rPr>
          <w:rFonts w:eastAsia="等线"/>
          <w:b/>
          <w:kern w:val="2"/>
          <w:szCs w:val="24"/>
        </w:rPr>
        <w:t>2.5 V</w:t>
      </w:r>
      <w:r>
        <w:rPr>
          <w:rFonts w:hint="eastAsia" w:eastAsia="等线"/>
          <w:b/>
          <w:kern w:val="2"/>
          <w:szCs w:val="24"/>
        </w:rPr>
        <w:t>)</w:t>
      </w:r>
      <w:r>
        <w:rPr>
          <w:rFonts w:eastAsia="等线"/>
          <w:b/>
          <w:kern w:val="2"/>
          <w:szCs w:val="24"/>
        </w:rPr>
        <w:t xml:space="preserve"> and N (</w:t>
      </w:r>
      <w:r>
        <w:rPr>
          <w:rFonts w:hint="eastAsia" w:eastAsia="等线"/>
          <w:b/>
          <w:kern w:val="2"/>
          <w:szCs w:val="24"/>
        </w:rPr>
        <w:t>re</w:t>
      </w:r>
      <w:r>
        <w:rPr>
          <w:rFonts w:eastAsia="等线"/>
          <w:b/>
          <w:kern w:val="2"/>
          <w:szCs w:val="24"/>
        </w:rPr>
        <w:t xml:space="preserve">d dots, </w:t>
      </w:r>
      <w:r>
        <w:rPr>
          <w:rFonts w:eastAsia="等线"/>
          <w:b/>
          <w:i/>
          <w:iCs/>
          <w:kern w:val="2"/>
          <w:szCs w:val="24"/>
        </w:rPr>
        <w:t>V</w:t>
      </w:r>
      <w:r>
        <w:rPr>
          <w:rFonts w:eastAsia="等线"/>
          <w:b/>
          <w:kern w:val="2"/>
          <w:szCs w:val="24"/>
          <w:vertAlign w:val="subscript"/>
        </w:rPr>
        <w:t>G</w:t>
      </w:r>
      <w:r>
        <w:rPr>
          <w:rFonts w:eastAsia="等线"/>
          <w:b/>
          <w:kern w:val="2"/>
          <w:szCs w:val="24"/>
        </w:rPr>
        <w:t>= 0 V</w:t>
      </w:r>
      <w:r>
        <w:rPr>
          <w:rFonts w:hint="eastAsia" w:eastAsia="等线"/>
          <w:b/>
          <w:kern w:val="2"/>
          <w:szCs w:val="24"/>
        </w:rPr>
        <w:t>)</w:t>
      </w:r>
      <w:r>
        <w:rPr>
          <w:rFonts w:eastAsia="等线"/>
          <w:b/>
          <w:kern w:val="2"/>
          <w:szCs w:val="24"/>
        </w:rPr>
        <w:t xml:space="preserve"> states of single molecule</w:t>
      </w:r>
    </w:p>
    <w:p w14:paraId="04F57591">
      <w:pPr>
        <w:rPr>
          <w:rFonts w:eastAsia="宋体"/>
          <w:u w:val="single"/>
        </w:rPr>
      </w:pPr>
    </w:p>
    <w:p w14:paraId="3DE11F64">
      <w:pPr>
        <w:widowControl w:val="0"/>
        <w:spacing w:after="120"/>
        <w:jc w:val="center"/>
        <w:rPr>
          <w:rFonts w:eastAsia="等线"/>
          <w:b/>
          <w:bCs/>
          <w:kern w:val="2"/>
          <w:szCs w:val="24"/>
          <w:lang w:eastAsia="zh-CN"/>
        </w:rPr>
      </w:pPr>
      <w:bookmarkStart w:id="4" w:name="_Hlk161421145"/>
      <w:bookmarkStart w:id="7" w:name="_GoBack"/>
      <w:r>
        <w:rPr>
          <w:rFonts w:eastAsia="等线"/>
          <w:b/>
          <w:bCs/>
          <w:kern w:val="2"/>
          <w:szCs w:val="24"/>
          <w:lang w:eastAsia="zh-CN"/>
        </w:rPr>
        <w:drawing>
          <wp:inline distT="0" distB="0" distL="0" distR="0">
            <wp:extent cx="5759450" cy="2992755"/>
            <wp:effectExtent l="0" t="0" r="0" b="0"/>
            <wp:docPr id="7611271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27158"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2992941"/>
                    </a:xfrm>
                    <a:prstGeom prst="rect">
                      <a:avLst/>
                    </a:prstGeom>
                    <a:noFill/>
                    <a:ln>
                      <a:noFill/>
                    </a:ln>
                  </pic:spPr>
                </pic:pic>
              </a:graphicData>
            </a:graphic>
          </wp:inline>
        </w:drawing>
      </w:r>
      <w:bookmarkEnd w:id="7"/>
    </w:p>
    <w:p w14:paraId="007E250C">
      <w:pPr>
        <w:widowControl w:val="0"/>
        <w:spacing w:after="120"/>
        <w:jc w:val="both"/>
        <w:rPr>
          <w:rFonts w:eastAsia="等线"/>
          <w:kern w:val="2"/>
          <w:szCs w:val="24"/>
          <w:lang w:eastAsia="zh-CN"/>
        </w:rPr>
      </w:pPr>
      <w:r>
        <w:rPr>
          <w:rFonts w:eastAsia="等线"/>
          <w:b/>
          <w:bCs/>
          <w:kern w:val="2"/>
          <w:szCs w:val="24"/>
          <w:lang w:eastAsia="zh-CN"/>
        </w:rPr>
        <w:t>Fig. S10 All-electronic pump-probe measurements of the charged molecule in device 1.</w:t>
      </w:r>
      <w:bookmarkEnd w:id="4"/>
      <w:r>
        <w:rPr>
          <w:rFonts w:eastAsia="等线"/>
          <w:kern w:val="2"/>
          <w:szCs w:val="24"/>
          <w:lang w:eastAsia="zh-CN"/>
        </w:rPr>
        <w:t xml:space="preserve"> </w:t>
      </w:r>
      <w:bookmarkStart w:id="5" w:name="_Hlk149311509"/>
      <w:r>
        <w:rPr>
          <w:rFonts w:eastAsia="等线"/>
          <w:b/>
          <w:kern w:val="2"/>
          <w:szCs w:val="24"/>
          <w:lang w:eastAsia="zh-CN"/>
        </w:rPr>
        <w:t>a</w:t>
      </w:r>
      <w:r>
        <w:rPr>
          <w:rFonts w:hint="eastAsia" w:eastAsia="等线"/>
          <w:bCs/>
          <w:kern w:val="2"/>
          <w:szCs w:val="24"/>
          <w:lang w:eastAsia="zh-CN"/>
        </w:rPr>
        <w:t xml:space="preserve">, </w:t>
      </w:r>
      <w:r>
        <w:rPr>
          <w:rFonts w:eastAsia="等线"/>
          <w:kern w:val="2"/>
          <w:szCs w:val="24"/>
          <w:lang w:eastAsia="zh-CN"/>
        </w:rPr>
        <w:t xml:space="preserve">Corresponding dependence of the probe current </w:t>
      </w:r>
      <w:r>
        <w:rPr>
          <w:rFonts w:eastAsia="等线"/>
          <w:i/>
          <w:kern w:val="2"/>
          <w:szCs w:val="24"/>
          <w:lang w:eastAsia="zh-CN"/>
        </w:rPr>
        <w:t>I</w:t>
      </w:r>
      <w:r>
        <w:rPr>
          <w:rFonts w:eastAsia="等线"/>
          <w:kern w:val="2"/>
          <w:szCs w:val="24"/>
          <w:vertAlign w:val="subscript"/>
          <w:lang w:eastAsia="zh-CN"/>
        </w:rPr>
        <w:t>probe</w:t>
      </w:r>
      <w:r>
        <w:rPr>
          <w:rFonts w:eastAsia="等线"/>
          <w:kern w:val="2"/>
          <w:szCs w:val="24"/>
          <w:lang w:eastAsia="zh-CN"/>
        </w:rPr>
        <w:t xml:space="preserve"> on the delay time as a function of trigger voltage </w:t>
      </w:r>
      <w:r>
        <w:rPr>
          <w:rFonts w:eastAsia="等线"/>
          <w:i/>
          <w:kern w:val="2"/>
          <w:szCs w:val="24"/>
          <w:lang w:eastAsia="zh-CN"/>
        </w:rPr>
        <w:t>V</w:t>
      </w:r>
      <w:r>
        <w:rPr>
          <w:rFonts w:eastAsia="等线"/>
          <w:kern w:val="2"/>
          <w:szCs w:val="24"/>
          <w:vertAlign w:val="subscript"/>
          <w:lang w:eastAsia="zh-CN"/>
        </w:rPr>
        <w:t xml:space="preserve">pump. </w:t>
      </w:r>
      <w:r>
        <w:rPr>
          <w:rFonts w:eastAsia="等线"/>
          <w:kern w:val="2"/>
          <w:szCs w:val="24"/>
          <w:lang w:eastAsia="zh-CN"/>
        </w:rPr>
        <w:t xml:space="preserve">at a continues </w:t>
      </w:r>
      <w:r>
        <w:rPr>
          <w:rFonts w:eastAsia="等线"/>
          <w:i/>
          <w:kern w:val="2"/>
          <w:szCs w:val="24"/>
          <w:lang w:eastAsia="zh-CN"/>
        </w:rPr>
        <w:t>V</w:t>
      </w:r>
      <w:r>
        <w:rPr>
          <w:rFonts w:eastAsia="等线"/>
          <w:kern w:val="2"/>
          <w:szCs w:val="24"/>
          <w:vertAlign w:val="subscript"/>
          <w:lang w:eastAsia="zh-CN"/>
        </w:rPr>
        <w:t>G</w:t>
      </w:r>
      <w:r>
        <w:rPr>
          <w:rFonts w:hint="eastAsia" w:eastAsia="等线"/>
          <w:kern w:val="2"/>
          <w:szCs w:val="24"/>
          <w:vertAlign w:val="subscript"/>
          <w:lang w:eastAsia="zh-CN"/>
        </w:rPr>
        <w:t xml:space="preserve"> </w:t>
      </w:r>
      <w:r>
        <w:rPr>
          <w:rFonts w:eastAsia="等线"/>
          <w:kern w:val="2"/>
          <w:szCs w:val="24"/>
          <w:lang w:eastAsia="zh-CN"/>
        </w:rPr>
        <w:t>=</w:t>
      </w:r>
      <w:r>
        <w:rPr>
          <w:rFonts w:hint="eastAsia" w:eastAsia="等线"/>
          <w:kern w:val="2"/>
          <w:szCs w:val="24"/>
          <w:lang w:eastAsia="zh-CN"/>
        </w:rPr>
        <w:t xml:space="preserve"> </w:t>
      </w:r>
      <w:r>
        <w:rPr>
          <w:rFonts w:eastAsia="等线"/>
          <w:kern w:val="2"/>
          <w:szCs w:val="24"/>
          <w:lang w:val="de-DE" w:eastAsia="zh-CN"/>
        </w:rPr>
        <w:sym w:font="Symbol" w:char="F02D"/>
      </w:r>
      <w:r>
        <w:rPr>
          <w:rFonts w:eastAsia="等线"/>
          <w:kern w:val="2"/>
          <w:szCs w:val="24"/>
          <w:lang w:eastAsia="zh-CN"/>
        </w:rPr>
        <w:t xml:space="preserve">2.5 V. </w:t>
      </w:r>
      <w:bookmarkEnd w:id="5"/>
      <w:r>
        <w:rPr>
          <w:rFonts w:eastAsia="等线"/>
          <w:b/>
          <w:kern w:val="2"/>
          <w:szCs w:val="24"/>
          <w:lang w:eastAsia="zh-CN"/>
        </w:rPr>
        <w:t>b</w:t>
      </w:r>
      <w:r>
        <w:rPr>
          <w:rFonts w:hint="eastAsia" w:eastAsia="等线"/>
          <w:bCs/>
          <w:kern w:val="2"/>
          <w:szCs w:val="24"/>
          <w:lang w:eastAsia="zh-CN"/>
        </w:rPr>
        <w:t>,</w:t>
      </w:r>
      <w:r>
        <w:rPr>
          <w:rFonts w:hint="eastAsia" w:eastAsia="等线"/>
          <w:b/>
          <w:kern w:val="2"/>
          <w:szCs w:val="24"/>
          <w:lang w:eastAsia="zh-CN"/>
        </w:rPr>
        <w:t xml:space="preserve"> </w:t>
      </w:r>
      <w:r>
        <w:rPr>
          <w:rFonts w:eastAsia="等线"/>
          <w:kern w:val="2"/>
          <w:szCs w:val="24"/>
          <w:lang w:eastAsia="zh-CN"/>
        </w:rPr>
        <w:t xml:space="preserve">Single pump–probe spectra under a pump voltage of </w:t>
      </w:r>
      <w:r>
        <w:rPr>
          <w:rFonts w:eastAsia="等线"/>
          <w:kern w:val="2"/>
          <w:szCs w:val="24"/>
          <w:lang w:val="de-DE" w:eastAsia="zh-CN"/>
        </w:rPr>
        <w:sym w:font="Symbol" w:char="F02D"/>
      </w:r>
      <w:r>
        <w:rPr>
          <w:rFonts w:eastAsia="等线"/>
          <w:kern w:val="2"/>
          <w:szCs w:val="24"/>
          <w:lang w:eastAsia="zh-CN"/>
        </w:rPr>
        <w:t xml:space="preserve">0.8 V and its single-exponential fitting curve. </w:t>
      </w:r>
      <w:r>
        <w:rPr>
          <w:rFonts w:eastAsia="等线"/>
          <w:b/>
          <w:kern w:val="2"/>
          <w:szCs w:val="24"/>
          <w:lang w:eastAsia="zh-CN"/>
        </w:rPr>
        <w:t>c</w:t>
      </w:r>
      <w:r>
        <w:rPr>
          <w:rFonts w:hint="eastAsia" w:eastAsia="等线"/>
          <w:bCs/>
          <w:kern w:val="2"/>
          <w:szCs w:val="24"/>
          <w:lang w:eastAsia="zh-CN"/>
        </w:rPr>
        <w:t xml:space="preserve">, </w:t>
      </w:r>
      <w:r>
        <w:rPr>
          <w:rFonts w:eastAsia="等线"/>
          <w:kern w:val="2"/>
          <w:szCs w:val="24"/>
          <w:lang w:eastAsia="zh-CN"/>
        </w:rPr>
        <w:t xml:space="preserve">Single pump–probe spectra under a pump voltage of </w:t>
      </w:r>
      <w:r>
        <w:rPr>
          <w:rFonts w:eastAsia="等线"/>
          <w:kern w:val="2"/>
          <w:szCs w:val="24"/>
          <w:lang w:val="de-DE" w:eastAsia="zh-CN"/>
        </w:rPr>
        <w:sym w:font="Symbol" w:char="F02D"/>
      </w:r>
      <w:r>
        <w:rPr>
          <w:rFonts w:eastAsia="等线"/>
          <w:kern w:val="2"/>
          <w:szCs w:val="24"/>
          <w:lang w:eastAsia="zh-CN"/>
        </w:rPr>
        <w:t>0.25 V and its single-exponential fitting curve.</w:t>
      </w:r>
      <w:r>
        <w:rPr>
          <w:rFonts w:hint="eastAsia" w:eastAsia="等线"/>
          <w:kern w:val="2"/>
          <w:szCs w:val="24"/>
          <w:lang w:eastAsia="zh-CN"/>
        </w:rPr>
        <w:t xml:space="preserve"> </w:t>
      </w:r>
      <w:r>
        <w:rPr>
          <w:rFonts w:eastAsia="等线"/>
          <w:b/>
          <w:kern w:val="2"/>
          <w:szCs w:val="24"/>
          <w:lang w:eastAsia="zh-CN"/>
        </w:rPr>
        <w:t>d</w:t>
      </w:r>
      <w:r>
        <w:rPr>
          <w:rFonts w:eastAsia="等线"/>
          <w:kern w:val="2"/>
          <w:szCs w:val="24"/>
          <w:lang w:eastAsia="zh-CN"/>
        </w:rPr>
        <w:t xml:space="preserve">, Corresponding dependence of the probe current </w:t>
      </w:r>
      <w:r>
        <w:rPr>
          <w:rFonts w:eastAsia="等线"/>
          <w:i/>
          <w:kern w:val="2"/>
          <w:szCs w:val="24"/>
          <w:lang w:eastAsia="zh-CN"/>
        </w:rPr>
        <w:t>I</w:t>
      </w:r>
      <w:r>
        <w:rPr>
          <w:rFonts w:eastAsia="等线"/>
          <w:kern w:val="2"/>
          <w:szCs w:val="24"/>
          <w:vertAlign w:val="subscript"/>
          <w:lang w:eastAsia="zh-CN"/>
        </w:rPr>
        <w:t>probe</w:t>
      </w:r>
      <w:r>
        <w:rPr>
          <w:rFonts w:eastAsia="等线"/>
          <w:kern w:val="2"/>
          <w:szCs w:val="24"/>
          <w:lang w:eastAsia="zh-CN"/>
        </w:rPr>
        <w:t xml:space="preserve"> on the delay time as a function of trigger voltage </w:t>
      </w:r>
      <w:r>
        <w:rPr>
          <w:rFonts w:eastAsia="等线"/>
          <w:i/>
          <w:kern w:val="2"/>
          <w:szCs w:val="24"/>
          <w:lang w:eastAsia="zh-CN"/>
        </w:rPr>
        <w:t>V</w:t>
      </w:r>
      <w:r>
        <w:rPr>
          <w:rFonts w:eastAsia="等线"/>
          <w:kern w:val="2"/>
          <w:szCs w:val="24"/>
          <w:vertAlign w:val="subscript"/>
          <w:lang w:eastAsia="zh-CN"/>
        </w:rPr>
        <w:t xml:space="preserve">pump. </w:t>
      </w:r>
      <w:r>
        <w:rPr>
          <w:rFonts w:eastAsia="等线"/>
          <w:kern w:val="2"/>
          <w:szCs w:val="24"/>
          <w:lang w:eastAsia="zh-CN"/>
        </w:rPr>
        <w:t xml:space="preserve">at a continues </w:t>
      </w:r>
      <w:r>
        <w:rPr>
          <w:rFonts w:eastAsia="等线"/>
          <w:i/>
          <w:kern w:val="2"/>
          <w:szCs w:val="24"/>
          <w:lang w:eastAsia="zh-CN"/>
        </w:rPr>
        <w:t>V</w:t>
      </w:r>
      <w:r>
        <w:rPr>
          <w:rFonts w:eastAsia="等线"/>
          <w:kern w:val="2"/>
          <w:szCs w:val="24"/>
          <w:vertAlign w:val="subscript"/>
          <w:lang w:eastAsia="zh-CN"/>
        </w:rPr>
        <w:t>G</w:t>
      </w:r>
      <w:r>
        <w:rPr>
          <w:rFonts w:hint="eastAsia" w:eastAsia="等线"/>
          <w:kern w:val="2"/>
          <w:szCs w:val="24"/>
          <w:vertAlign w:val="subscript"/>
          <w:lang w:eastAsia="zh-CN"/>
        </w:rPr>
        <w:t xml:space="preserve"> </w:t>
      </w:r>
      <w:r>
        <w:rPr>
          <w:rFonts w:eastAsia="等线"/>
          <w:kern w:val="2"/>
          <w:szCs w:val="24"/>
          <w:lang w:eastAsia="zh-CN"/>
        </w:rPr>
        <w:t>=</w:t>
      </w:r>
      <w:r>
        <w:rPr>
          <w:rFonts w:hint="eastAsia" w:eastAsia="等线"/>
          <w:kern w:val="2"/>
          <w:szCs w:val="24"/>
          <w:lang w:eastAsia="zh-CN"/>
        </w:rPr>
        <w:t xml:space="preserve"> </w:t>
      </w:r>
      <w:r>
        <w:rPr>
          <w:rFonts w:eastAsia="等线"/>
          <w:kern w:val="2"/>
          <w:szCs w:val="24"/>
          <w:lang w:eastAsia="zh-CN"/>
        </w:rPr>
        <w:t xml:space="preserve">0 V. </w:t>
      </w:r>
      <w:r>
        <w:rPr>
          <w:rFonts w:eastAsia="等线"/>
          <w:b/>
          <w:kern w:val="2"/>
          <w:szCs w:val="24"/>
          <w:lang w:eastAsia="zh-CN"/>
        </w:rPr>
        <w:t>e</w:t>
      </w:r>
      <w:r>
        <w:rPr>
          <w:rFonts w:hint="eastAsia" w:eastAsia="等线"/>
          <w:bCs/>
          <w:kern w:val="2"/>
          <w:szCs w:val="24"/>
          <w:lang w:eastAsia="zh-CN"/>
        </w:rPr>
        <w:t xml:space="preserve">, </w:t>
      </w:r>
      <w:r>
        <w:rPr>
          <w:rFonts w:eastAsia="等线"/>
          <w:kern w:val="2"/>
          <w:szCs w:val="24"/>
          <w:lang w:eastAsia="zh-CN"/>
        </w:rPr>
        <w:t xml:space="preserve">Corresponding dependence of the probe current </w:t>
      </w:r>
      <w:r>
        <w:rPr>
          <w:rFonts w:eastAsia="等线"/>
          <w:i/>
          <w:kern w:val="2"/>
          <w:szCs w:val="24"/>
          <w:lang w:eastAsia="zh-CN"/>
        </w:rPr>
        <w:t>I</w:t>
      </w:r>
      <w:r>
        <w:rPr>
          <w:rFonts w:eastAsia="等线"/>
          <w:kern w:val="2"/>
          <w:szCs w:val="24"/>
          <w:vertAlign w:val="subscript"/>
          <w:lang w:eastAsia="zh-CN"/>
        </w:rPr>
        <w:t>probe</w:t>
      </w:r>
      <w:r>
        <w:rPr>
          <w:rFonts w:eastAsia="等线"/>
          <w:kern w:val="2"/>
          <w:szCs w:val="24"/>
          <w:lang w:eastAsia="zh-CN"/>
        </w:rPr>
        <w:t xml:space="preserve"> at </w:t>
      </w:r>
      <w:r>
        <w:rPr>
          <w:rFonts w:ascii="Symbol" w:hAnsi="Symbol" w:eastAsia="等线"/>
          <w:i/>
          <w:iCs/>
          <w:kern w:val="2"/>
          <w:szCs w:val="24"/>
          <w:lang w:eastAsia="zh-CN"/>
        </w:rPr>
        <w:t></w:t>
      </w:r>
      <w:r>
        <w:rPr>
          <w:rFonts w:eastAsia="等线"/>
          <w:i/>
          <w:iCs/>
          <w:kern w:val="2"/>
          <w:szCs w:val="24"/>
          <w:lang w:eastAsia="zh-CN"/>
        </w:rPr>
        <w:t>t</w:t>
      </w:r>
      <w:r>
        <w:rPr>
          <w:rFonts w:eastAsia="等线"/>
          <w:kern w:val="2"/>
          <w:szCs w:val="24"/>
          <w:lang w:eastAsia="zh-CN"/>
        </w:rPr>
        <w:t xml:space="preserve"> = 0 and 500 ns as a function of trigger voltage </w:t>
      </w:r>
      <w:r>
        <w:rPr>
          <w:rFonts w:eastAsia="等线"/>
          <w:i/>
          <w:kern w:val="2"/>
          <w:szCs w:val="24"/>
          <w:lang w:eastAsia="zh-CN"/>
        </w:rPr>
        <w:t>V</w:t>
      </w:r>
      <w:r>
        <w:rPr>
          <w:rFonts w:eastAsia="等线"/>
          <w:kern w:val="2"/>
          <w:szCs w:val="24"/>
          <w:vertAlign w:val="subscript"/>
          <w:lang w:eastAsia="zh-CN"/>
        </w:rPr>
        <w:t xml:space="preserve">pump </w:t>
      </w:r>
      <w:r>
        <w:rPr>
          <w:rFonts w:eastAsia="等线"/>
          <w:kern w:val="2"/>
          <w:szCs w:val="24"/>
          <w:lang w:eastAsia="zh-CN"/>
        </w:rPr>
        <w:t xml:space="preserve">of a neutral </w:t>
      </w:r>
      <w:r>
        <w:rPr>
          <w:rFonts w:eastAsia="等线"/>
          <w:b/>
          <w:kern w:val="2"/>
          <w:szCs w:val="24"/>
          <w:lang w:eastAsia="zh-CN"/>
        </w:rPr>
        <w:t>BP</w:t>
      </w:r>
      <w:r>
        <w:rPr>
          <w:rFonts w:eastAsia="等线"/>
          <w:kern w:val="2"/>
          <w:szCs w:val="24"/>
          <w:lang w:eastAsia="zh-CN"/>
        </w:rPr>
        <w:t xml:space="preserve"> molecule. </w:t>
      </w:r>
      <w:r>
        <w:rPr>
          <w:rFonts w:eastAsia="等线"/>
          <w:b/>
          <w:bCs/>
          <w:kern w:val="2"/>
          <w:szCs w:val="24"/>
          <w:lang w:eastAsia="zh-CN"/>
        </w:rPr>
        <w:t>f</w:t>
      </w:r>
      <w:r>
        <w:rPr>
          <w:rFonts w:hint="eastAsia" w:eastAsia="等线"/>
          <w:kern w:val="2"/>
          <w:szCs w:val="24"/>
          <w:lang w:eastAsia="zh-CN"/>
        </w:rPr>
        <w:t xml:space="preserve">, </w:t>
      </w:r>
      <w:r>
        <w:rPr>
          <w:rFonts w:eastAsia="等线"/>
          <w:kern w:val="2"/>
          <w:szCs w:val="24"/>
          <w:lang w:eastAsia="zh-CN"/>
        </w:rPr>
        <w:t xml:space="preserve">Corresponding dependence of the probe current </w:t>
      </w:r>
      <w:r>
        <w:rPr>
          <w:rFonts w:eastAsia="等线"/>
          <w:i/>
          <w:kern w:val="2"/>
          <w:szCs w:val="24"/>
          <w:lang w:eastAsia="zh-CN"/>
        </w:rPr>
        <w:t>I</w:t>
      </w:r>
      <w:r>
        <w:rPr>
          <w:rFonts w:eastAsia="等线"/>
          <w:kern w:val="2"/>
          <w:szCs w:val="24"/>
          <w:vertAlign w:val="subscript"/>
          <w:lang w:eastAsia="zh-CN"/>
        </w:rPr>
        <w:t>probe</w:t>
      </w:r>
      <w:r>
        <w:rPr>
          <w:rFonts w:eastAsia="等线"/>
          <w:kern w:val="2"/>
          <w:szCs w:val="24"/>
          <w:lang w:eastAsia="zh-CN"/>
        </w:rPr>
        <w:t xml:space="preserve"> as a function of the delay time at </w:t>
      </w:r>
      <w:r>
        <w:rPr>
          <w:rFonts w:eastAsia="等线"/>
          <w:i/>
          <w:kern w:val="2"/>
          <w:szCs w:val="24"/>
          <w:lang w:eastAsia="zh-CN"/>
        </w:rPr>
        <w:t>V</w:t>
      </w:r>
      <w:r>
        <w:rPr>
          <w:rFonts w:eastAsia="等线"/>
          <w:kern w:val="2"/>
          <w:szCs w:val="24"/>
          <w:vertAlign w:val="subscript"/>
          <w:lang w:eastAsia="zh-CN"/>
        </w:rPr>
        <w:t xml:space="preserve">pump </w:t>
      </w:r>
      <w:r>
        <w:rPr>
          <w:rFonts w:eastAsia="等线"/>
          <w:kern w:val="2"/>
          <w:szCs w:val="24"/>
          <w:lang w:eastAsia="zh-CN"/>
        </w:rPr>
        <w:t xml:space="preserve">= </w:t>
      </w:r>
      <w:r>
        <w:rPr>
          <w:rFonts w:eastAsia="等线"/>
          <w:kern w:val="2"/>
          <w:szCs w:val="24"/>
          <w:lang w:val="de-DE" w:eastAsia="zh-CN"/>
        </w:rPr>
        <w:sym w:font="Symbol" w:char="F02D"/>
      </w:r>
      <w:r>
        <w:rPr>
          <w:rFonts w:eastAsia="等线"/>
          <w:kern w:val="2"/>
          <w:szCs w:val="24"/>
          <w:lang w:eastAsia="zh-CN"/>
        </w:rPr>
        <w:t xml:space="preserve">0.2 and </w:t>
      </w:r>
      <w:r>
        <w:rPr>
          <w:rFonts w:eastAsia="等线"/>
          <w:kern w:val="2"/>
          <w:szCs w:val="24"/>
          <w:lang w:val="de-DE" w:eastAsia="zh-CN"/>
        </w:rPr>
        <w:sym w:font="Symbol" w:char="F02D"/>
      </w:r>
      <w:r>
        <w:rPr>
          <w:rFonts w:eastAsia="等线"/>
          <w:kern w:val="2"/>
          <w:szCs w:val="24"/>
          <w:lang w:eastAsia="zh-CN"/>
        </w:rPr>
        <w:t>0.8 V.</w:t>
      </w:r>
    </w:p>
    <w:p w14:paraId="025FF3C3">
      <w:pPr>
        <w:widowControl w:val="0"/>
        <w:spacing w:after="120"/>
        <w:jc w:val="center"/>
        <w:rPr>
          <w:rFonts w:eastAsia="等线"/>
          <w:kern w:val="2"/>
          <w:szCs w:val="24"/>
          <w:lang w:eastAsia="zh-CN"/>
        </w:rPr>
      </w:pPr>
      <w:r>
        <w:rPr>
          <w:rFonts w:eastAsia="等线"/>
          <w:kern w:val="2"/>
          <w:szCs w:val="24"/>
          <w:lang w:eastAsia="zh-CN"/>
        </w:rPr>
        <w:drawing>
          <wp:inline distT="0" distB="0" distL="0" distR="0">
            <wp:extent cx="3189605" cy="2228215"/>
            <wp:effectExtent l="0" t="0" r="0" b="635"/>
            <wp:docPr id="20343973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97381"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0029" cy="2228549"/>
                    </a:xfrm>
                    <a:prstGeom prst="rect">
                      <a:avLst/>
                    </a:prstGeom>
                    <a:noFill/>
                  </pic:spPr>
                </pic:pic>
              </a:graphicData>
            </a:graphic>
          </wp:inline>
        </w:drawing>
      </w:r>
    </w:p>
    <w:p w14:paraId="36172E5F">
      <w:pPr>
        <w:widowControl w:val="0"/>
        <w:spacing w:after="120"/>
        <w:jc w:val="both"/>
        <w:rPr>
          <w:rFonts w:eastAsia="等线"/>
          <w:kern w:val="2"/>
          <w:szCs w:val="24"/>
          <w:lang w:eastAsia="zh-CN"/>
        </w:rPr>
      </w:pPr>
      <w:r>
        <w:rPr>
          <w:rFonts w:eastAsia="等线"/>
          <w:b/>
          <w:kern w:val="2"/>
          <w:szCs w:val="24"/>
          <w:lang w:eastAsia="zh-CN"/>
        </w:rPr>
        <w:t>Fig. S11 Forward and reverse scan of pump–probe spectra</w:t>
      </w:r>
      <w:r>
        <w:rPr>
          <w:rFonts w:eastAsia="等线"/>
          <w:kern w:val="2"/>
          <w:szCs w:val="24"/>
          <w:lang w:eastAsia="zh-CN"/>
        </w:rPr>
        <w:t>. The blue triangle represents the signal response of the probe current increasing from 0 ns to 800 ns with 10 ns intervals, where red triangle represents the opposite.</w:t>
      </w:r>
    </w:p>
    <w:p w14:paraId="23997F4B">
      <w:pPr>
        <w:widowControl w:val="0"/>
        <w:spacing w:after="120"/>
        <w:rPr>
          <w:rFonts w:eastAsia="等线"/>
          <w:b/>
          <w:bCs/>
          <w:kern w:val="2"/>
          <w:szCs w:val="24"/>
          <w:lang w:eastAsia="zh-CN"/>
        </w:rPr>
      </w:pPr>
    </w:p>
    <w:p w14:paraId="5B59030E">
      <w:pPr>
        <w:widowControl w:val="0"/>
        <w:spacing w:after="120"/>
        <w:jc w:val="center"/>
        <w:rPr>
          <w:rFonts w:eastAsia="等线"/>
          <w:b/>
          <w:bCs/>
          <w:kern w:val="2"/>
          <w:szCs w:val="24"/>
          <w:lang w:eastAsia="zh-CN"/>
        </w:rPr>
      </w:pPr>
      <w:r>
        <w:rPr>
          <w:rFonts w:eastAsia="等线"/>
          <w:b/>
          <w:bCs/>
          <w:kern w:val="2"/>
          <w:szCs w:val="24"/>
          <w:lang w:eastAsia="zh-CN"/>
        </w:rPr>
        <w:drawing>
          <wp:inline distT="0" distB="0" distL="0" distR="0">
            <wp:extent cx="5985510" cy="1696085"/>
            <wp:effectExtent l="0" t="0" r="0" b="0"/>
            <wp:docPr id="2163532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53262"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6136" cy="1696605"/>
                    </a:xfrm>
                    <a:prstGeom prst="rect">
                      <a:avLst/>
                    </a:prstGeom>
                    <a:noFill/>
                  </pic:spPr>
                </pic:pic>
              </a:graphicData>
            </a:graphic>
          </wp:inline>
        </w:drawing>
      </w:r>
    </w:p>
    <w:p w14:paraId="52B51A2A">
      <w:pPr>
        <w:widowControl w:val="0"/>
        <w:spacing w:after="120"/>
        <w:jc w:val="both"/>
        <w:rPr>
          <w:rFonts w:eastAsia="等线"/>
          <w:kern w:val="2"/>
          <w:szCs w:val="24"/>
          <w:lang w:eastAsia="zh-CN"/>
        </w:rPr>
      </w:pPr>
      <w:r>
        <w:rPr>
          <w:rFonts w:eastAsia="等线"/>
          <w:b/>
          <w:bCs/>
          <w:kern w:val="2"/>
          <w:szCs w:val="24"/>
          <w:lang w:eastAsia="zh-CN"/>
        </w:rPr>
        <w:t>Fig. S12 All-electronic pump-probe measurements of the charged molecule in device 2. a.</w:t>
      </w:r>
      <w:r>
        <w:rPr>
          <w:rFonts w:eastAsia="等线"/>
          <w:kern w:val="2"/>
          <w:szCs w:val="24"/>
          <w:lang w:eastAsia="zh-CN"/>
        </w:rPr>
        <w:t xml:space="preserve"> Charge stability diagram of device 2 showing the differential conductance (d</w:t>
      </w:r>
      <w:r>
        <w:rPr>
          <w:rFonts w:eastAsia="等线"/>
          <w:i/>
          <w:iCs/>
          <w:kern w:val="2"/>
          <w:szCs w:val="24"/>
          <w:lang w:eastAsia="zh-CN"/>
        </w:rPr>
        <w:t>I</w:t>
      </w:r>
      <w:r>
        <w:rPr>
          <w:rFonts w:eastAsia="等线"/>
          <w:kern w:val="2"/>
          <w:szCs w:val="24"/>
          <w:vertAlign w:val="subscript"/>
          <w:lang w:eastAsia="zh-CN"/>
        </w:rPr>
        <w:t>SD</w:t>
      </w:r>
      <w:r>
        <w:rPr>
          <w:rFonts w:eastAsia="等线"/>
          <w:kern w:val="2"/>
          <w:szCs w:val="24"/>
          <w:lang w:eastAsia="zh-CN"/>
        </w:rPr>
        <w:t>/d</w:t>
      </w:r>
      <w:r>
        <w:rPr>
          <w:rFonts w:eastAsia="等线"/>
          <w:i/>
          <w:iCs/>
          <w:kern w:val="2"/>
          <w:szCs w:val="24"/>
          <w:lang w:eastAsia="zh-CN"/>
        </w:rPr>
        <w:t>V</w:t>
      </w:r>
      <w:r>
        <w:rPr>
          <w:rFonts w:eastAsia="等线"/>
          <w:kern w:val="2"/>
          <w:szCs w:val="24"/>
          <w:vertAlign w:val="subscript"/>
          <w:lang w:eastAsia="zh-CN"/>
        </w:rPr>
        <w:t>SD</w:t>
      </w:r>
      <w:r>
        <w:rPr>
          <w:rFonts w:eastAsia="等线"/>
          <w:kern w:val="2"/>
          <w:szCs w:val="24"/>
          <w:lang w:eastAsia="zh-CN"/>
        </w:rPr>
        <w:t>) as a function of bias voltage (</w:t>
      </w:r>
      <w:r>
        <w:rPr>
          <w:rFonts w:eastAsia="等线"/>
          <w:i/>
          <w:iCs/>
          <w:kern w:val="2"/>
          <w:szCs w:val="24"/>
          <w:lang w:eastAsia="zh-CN"/>
        </w:rPr>
        <w:t>V</w:t>
      </w:r>
      <w:r>
        <w:rPr>
          <w:rFonts w:eastAsia="等线"/>
          <w:kern w:val="2"/>
          <w:szCs w:val="24"/>
          <w:vertAlign w:val="subscript"/>
          <w:lang w:eastAsia="zh-CN"/>
        </w:rPr>
        <w:t>SD</w:t>
      </w:r>
      <w:r>
        <w:rPr>
          <w:rFonts w:eastAsia="等线"/>
          <w:kern w:val="2"/>
          <w:szCs w:val="24"/>
          <w:lang w:eastAsia="zh-CN"/>
        </w:rPr>
        <w:t>) and gate voltage (</w:t>
      </w:r>
      <w:r>
        <w:rPr>
          <w:rFonts w:eastAsia="等线"/>
          <w:i/>
          <w:kern w:val="2"/>
          <w:szCs w:val="24"/>
          <w:lang w:eastAsia="zh-CN"/>
        </w:rPr>
        <w:t>V</w:t>
      </w:r>
      <w:r>
        <w:rPr>
          <w:rFonts w:eastAsia="等线"/>
          <w:kern w:val="2"/>
          <w:szCs w:val="24"/>
          <w:vertAlign w:val="subscript"/>
          <w:lang w:eastAsia="zh-CN"/>
        </w:rPr>
        <w:t>G</w:t>
      </w:r>
      <w:r>
        <w:rPr>
          <w:rFonts w:eastAsia="等线"/>
          <w:kern w:val="2"/>
          <w:szCs w:val="24"/>
          <w:lang w:eastAsia="zh-CN"/>
        </w:rPr>
        <w:t xml:space="preserve">) at 30 K. </w:t>
      </w:r>
      <w:r>
        <w:rPr>
          <w:rFonts w:eastAsia="等线"/>
          <w:b/>
          <w:kern w:val="2"/>
          <w:szCs w:val="24"/>
          <w:lang w:eastAsia="zh-CN"/>
        </w:rPr>
        <w:t>b</w:t>
      </w:r>
      <w:r>
        <w:rPr>
          <w:rFonts w:eastAsia="等线"/>
          <w:kern w:val="2"/>
          <w:szCs w:val="24"/>
          <w:lang w:eastAsia="zh-CN"/>
        </w:rPr>
        <w:t>,</w:t>
      </w:r>
      <w:r>
        <w:rPr>
          <w:rFonts w:eastAsia="等线"/>
          <w:b/>
          <w:kern w:val="2"/>
          <w:szCs w:val="24"/>
          <w:lang w:eastAsia="zh-CN"/>
        </w:rPr>
        <w:t xml:space="preserve"> c</w:t>
      </w:r>
      <w:r>
        <w:rPr>
          <w:rFonts w:eastAsia="等线"/>
          <w:kern w:val="2"/>
          <w:szCs w:val="24"/>
          <w:lang w:eastAsia="zh-CN"/>
        </w:rPr>
        <w:t xml:space="preserve">, Corresponding dependence of the probe current </w:t>
      </w:r>
      <w:r>
        <w:rPr>
          <w:rFonts w:eastAsia="等线"/>
          <w:i/>
          <w:kern w:val="2"/>
          <w:szCs w:val="24"/>
          <w:lang w:eastAsia="zh-CN"/>
        </w:rPr>
        <w:t>I</w:t>
      </w:r>
      <w:r>
        <w:rPr>
          <w:rFonts w:eastAsia="等线"/>
          <w:kern w:val="2"/>
          <w:szCs w:val="24"/>
          <w:vertAlign w:val="subscript"/>
          <w:lang w:eastAsia="zh-CN"/>
        </w:rPr>
        <w:t>probe</w:t>
      </w:r>
      <w:r>
        <w:rPr>
          <w:rFonts w:eastAsia="等线"/>
          <w:kern w:val="2"/>
          <w:szCs w:val="24"/>
          <w:lang w:eastAsia="zh-CN"/>
        </w:rPr>
        <w:t xml:space="preserve"> on the delay time as a function of trigger voltage </w:t>
      </w:r>
      <w:r>
        <w:rPr>
          <w:rFonts w:eastAsia="等线"/>
          <w:i/>
          <w:kern w:val="2"/>
          <w:szCs w:val="24"/>
          <w:lang w:eastAsia="zh-CN"/>
        </w:rPr>
        <w:t>V</w:t>
      </w:r>
      <w:r>
        <w:rPr>
          <w:rFonts w:eastAsia="等线"/>
          <w:kern w:val="2"/>
          <w:szCs w:val="24"/>
          <w:vertAlign w:val="subscript"/>
          <w:lang w:eastAsia="zh-CN"/>
        </w:rPr>
        <w:t xml:space="preserve">pump. </w:t>
      </w:r>
      <w:r>
        <w:rPr>
          <w:rFonts w:eastAsia="等线"/>
          <w:kern w:val="2"/>
          <w:szCs w:val="24"/>
          <w:lang w:eastAsia="zh-CN"/>
        </w:rPr>
        <w:t xml:space="preserve">at a continues </w:t>
      </w:r>
      <w:r>
        <w:rPr>
          <w:rFonts w:eastAsia="等线"/>
          <w:i/>
          <w:kern w:val="2"/>
          <w:szCs w:val="24"/>
          <w:lang w:eastAsia="zh-CN"/>
        </w:rPr>
        <w:t>V</w:t>
      </w:r>
      <w:r>
        <w:rPr>
          <w:rFonts w:eastAsia="等线"/>
          <w:kern w:val="2"/>
          <w:szCs w:val="24"/>
          <w:vertAlign w:val="subscript"/>
          <w:lang w:eastAsia="zh-CN"/>
        </w:rPr>
        <w:t>G</w:t>
      </w:r>
      <w:r>
        <w:rPr>
          <w:rFonts w:hint="eastAsia" w:eastAsia="等线"/>
          <w:kern w:val="2"/>
          <w:szCs w:val="24"/>
          <w:vertAlign w:val="subscript"/>
          <w:lang w:eastAsia="zh-CN"/>
        </w:rPr>
        <w:t xml:space="preserve"> </w:t>
      </w:r>
      <w:r>
        <w:rPr>
          <w:rFonts w:eastAsia="等线"/>
          <w:kern w:val="2"/>
          <w:szCs w:val="24"/>
          <w:lang w:eastAsia="zh-CN"/>
        </w:rPr>
        <w:t>=</w:t>
      </w:r>
      <w:r>
        <w:rPr>
          <w:rFonts w:hint="eastAsia" w:eastAsia="等线"/>
          <w:kern w:val="2"/>
          <w:szCs w:val="24"/>
          <w:lang w:eastAsia="zh-CN"/>
        </w:rPr>
        <w:t xml:space="preserve"> </w:t>
      </w:r>
      <w:r>
        <w:rPr>
          <w:rFonts w:eastAsia="等线"/>
          <w:kern w:val="2"/>
          <w:szCs w:val="24"/>
          <w:lang w:val="de-DE" w:eastAsia="zh-CN"/>
        </w:rPr>
        <w:sym w:font="Symbol" w:char="F02D"/>
      </w:r>
      <w:r>
        <w:rPr>
          <w:rFonts w:eastAsia="等线"/>
          <w:kern w:val="2"/>
          <w:szCs w:val="24"/>
          <w:lang w:eastAsia="zh-CN"/>
        </w:rPr>
        <w:t>2.5 V (</w:t>
      </w:r>
      <w:r>
        <w:rPr>
          <w:rFonts w:eastAsia="等线"/>
          <w:b/>
          <w:kern w:val="2"/>
          <w:szCs w:val="24"/>
          <w:lang w:eastAsia="zh-CN"/>
        </w:rPr>
        <w:t xml:space="preserve">b, </w:t>
      </w:r>
      <w:r>
        <w:rPr>
          <w:rFonts w:eastAsia="等线"/>
          <w:kern w:val="2"/>
          <w:szCs w:val="24"/>
          <w:lang w:eastAsia="zh-CN"/>
        </w:rPr>
        <w:t xml:space="preserve">N-1 state) and </w:t>
      </w:r>
      <w:r>
        <w:rPr>
          <w:rFonts w:eastAsia="等线"/>
          <w:i/>
          <w:kern w:val="2"/>
          <w:szCs w:val="24"/>
          <w:lang w:eastAsia="zh-CN"/>
        </w:rPr>
        <w:t>V</w:t>
      </w:r>
      <w:r>
        <w:rPr>
          <w:rFonts w:eastAsia="等线"/>
          <w:kern w:val="2"/>
          <w:szCs w:val="24"/>
          <w:vertAlign w:val="subscript"/>
          <w:lang w:eastAsia="zh-CN"/>
        </w:rPr>
        <w:t>G</w:t>
      </w:r>
      <w:r>
        <w:rPr>
          <w:rFonts w:hint="eastAsia" w:eastAsia="等线"/>
          <w:kern w:val="2"/>
          <w:szCs w:val="24"/>
          <w:vertAlign w:val="subscript"/>
          <w:lang w:eastAsia="zh-CN"/>
        </w:rPr>
        <w:t xml:space="preserve"> </w:t>
      </w:r>
      <w:r>
        <w:rPr>
          <w:rFonts w:eastAsia="等线"/>
          <w:kern w:val="2"/>
          <w:szCs w:val="24"/>
          <w:lang w:eastAsia="zh-CN"/>
        </w:rPr>
        <w:t>=</w:t>
      </w:r>
      <w:r>
        <w:rPr>
          <w:rFonts w:hint="eastAsia" w:eastAsia="等线"/>
          <w:kern w:val="2"/>
          <w:szCs w:val="24"/>
          <w:lang w:eastAsia="zh-CN"/>
        </w:rPr>
        <w:t xml:space="preserve"> </w:t>
      </w:r>
      <w:r>
        <w:rPr>
          <w:rFonts w:eastAsia="等线"/>
          <w:kern w:val="2"/>
          <w:szCs w:val="24"/>
          <w:lang w:val="de-DE" w:eastAsia="zh-CN"/>
        </w:rPr>
        <w:sym w:font="Symbol" w:char="F02D"/>
      </w:r>
      <w:r>
        <w:rPr>
          <w:rFonts w:eastAsia="等线"/>
          <w:kern w:val="2"/>
          <w:szCs w:val="24"/>
          <w:lang w:eastAsia="zh-CN"/>
        </w:rPr>
        <w:t>1 V (</w:t>
      </w:r>
      <w:r>
        <w:rPr>
          <w:rFonts w:eastAsia="等线"/>
          <w:b/>
          <w:kern w:val="2"/>
          <w:szCs w:val="24"/>
          <w:lang w:eastAsia="zh-CN"/>
        </w:rPr>
        <w:t xml:space="preserve">c, </w:t>
      </w:r>
      <w:r>
        <w:rPr>
          <w:rFonts w:eastAsia="等线"/>
          <w:kern w:val="2"/>
          <w:szCs w:val="24"/>
          <w:lang w:eastAsia="zh-CN"/>
        </w:rPr>
        <w:t xml:space="preserve">N state). Similar feature with </w:t>
      </w:r>
      <w:r>
        <w:rPr>
          <w:rFonts w:eastAsia="等线"/>
          <w:b/>
          <w:kern w:val="2"/>
          <w:szCs w:val="24"/>
          <w:lang w:eastAsia="zh-CN"/>
        </w:rPr>
        <w:t>Device 1</w:t>
      </w:r>
      <w:r>
        <w:rPr>
          <w:rFonts w:eastAsia="等线"/>
          <w:kern w:val="2"/>
          <w:szCs w:val="24"/>
          <w:lang w:eastAsia="zh-CN"/>
        </w:rPr>
        <w:t xml:space="preserve"> could be observed in </w:t>
      </w:r>
      <w:r>
        <w:rPr>
          <w:rFonts w:eastAsia="等线"/>
          <w:b/>
          <w:kern w:val="2"/>
          <w:szCs w:val="24"/>
          <w:lang w:eastAsia="zh-CN"/>
        </w:rPr>
        <w:t xml:space="preserve">b, </w:t>
      </w:r>
      <w:r>
        <w:rPr>
          <w:rFonts w:eastAsia="等线"/>
          <w:kern w:val="2"/>
          <w:szCs w:val="24"/>
          <w:lang w:eastAsia="zh-CN"/>
        </w:rPr>
        <w:t>where an obvious low conducted state was found around V</w:t>
      </w:r>
      <w:r>
        <w:rPr>
          <w:rFonts w:eastAsia="等线"/>
          <w:kern w:val="2"/>
          <w:szCs w:val="24"/>
          <w:vertAlign w:val="subscript"/>
          <w:lang w:eastAsia="zh-CN"/>
        </w:rPr>
        <w:t>pump</w:t>
      </w:r>
      <w:r>
        <w:rPr>
          <w:rFonts w:eastAsia="等线"/>
          <w:kern w:val="2"/>
          <w:szCs w:val="24"/>
          <w:lang w:eastAsia="zh-CN"/>
        </w:rPr>
        <w:t xml:space="preserve"> = </w:t>
      </w:r>
      <w:r>
        <w:rPr>
          <w:rFonts w:eastAsia="等线"/>
          <w:kern w:val="2"/>
          <w:szCs w:val="24"/>
          <w:lang w:val="de-DE" w:eastAsia="zh-CN"/>
        </w:rPr>
        <w:sym w:font="Symbol" w:char="F02D"/>
      </w:r>
      <w:r>
        <w:rPr>
          <w:rFonts w:eastAsia="等线"/>
          <w:kern w:val="2"/>
          <w:szCs w:val="24"/>
          <w:lang w:eastAsia="zh-CN"/>
        </w:rPr>
        <w:t>0.8 V</w:t>
      </w:r>
      <w:r>
        <w:rPr>
          <w:rFonts w:eastAsia="等线"/>
          <w:b/>
          <w:kern w:val="2"/>
          <w:szCs w:val="24"/>
          <w:lang w:eastAsia="zh-CN"/>
        </w:rPr>
        <w:t xml:space="preserve">. </w:t>
      </w:r>
      <w:r>
        <w:rPr>
          <w:rFonts w:eastAsia="等线"/>
          <w:kern w:val="2"/>
          <w:szCs w:val="24"/>
          <w:lang w:eastAsia="zh-CN"/>
        </w:rPr>
        <w:t xml:space="preserve">A short-lived state with ~30 ns lifetime is found in </w:t>
      </w:r>
      <w:r>
        <w:rPr>
          <w:rFonts w:eastAsia="等线"/>
          <w:b/>
          <w:kern w:val="2"/>
          <w:szCs w:val="24"/>
          <w:lang w:eastAsia="zh-CN"/>
        </w:rPr>
        <w:t>c</w:t>
      </w:r>
      <w:r>
        <w:rPr>
          <w:rFonts w:eastAsia="等线"/>
          <w:kern w:val="2"/>
          <w:szCs w:val="24"/>
          <w:lang w:eastAsia="zh-CN"/>
        </w:rPr>
        <w:t xml:space="preserve">, which is mainly caused by the inconsistency of the molecular configuration among devices. Therefore, the transition from </w:t>
      </w:r>
      <w:r>
        <w:rPr>
          <w:rFonts w:eastAsia="等线"/>
          <w:i/>
          <w:kern w:val="2"/>
          <w:szCs w:val="24"/>
          <w:lang w:eastAsia="zh-CN"/>
        </w:rPr>
        <w:t>S</w:t>
      </w:r>
      <w:r>
        <w:rPr>
          <w:rFonts w:eastAsia="等线"/>
          <w:kern w:val="2"/>
          <w:szCs w:val="24"/>
          <w:vertAlign w:val="subscript"/>
          <w:lang w:eastAsia="zh-CN"/>
        </w:rPr>
        <w:t>0</w:t>
      </w:r>
      <w:r>
        <w:rPr>
          <w:rFonts w:eastAsia="等线"/>
          <w:kern w:val="2"/>
          <w:szCs w:val="24"/>
          <w:lang w:eastAsia="zh-CN"/>
        </w:rPr>
        <w:t xml:space="preserve"> to </w:t>
      </w:r>
      <w:r>
        <w:rPr>
          <w:rFonts w:eastAsia="等线"/>
          <w:i/>
          <w:kern w:val="2"/>
          <w:szCs w:val="24"/>
          <w:lang w:eastAsia="zh-CN"/>
        </w:rPr>
        <w:t>D</w:t>
      </w:r>
      <w:r>
        <w:rPr>
          <w:rFonts w:eastAsia="等线"/>
          <w:kern w:val="2"/>
          <w:szCs w:val="24"/>
          <w:vertAlign w:val="subscript"/>
          <w:lang w:eastAsia="zh-CN"/>
        </w:rPr>
        <w:t>0</w:t>
      </w:r>
      <w:r>
        <w:rPr>
          <w:rFonts w:eastAsia="等线"/>
          <w:kern w:val="2"/>
          <w:szCs w:val="24"/>
          <w:vertAlign w:val="superscript"/>
          <w:lang w:eastAsia="zh-CN"/>
        </w:rPr>
        <w:t>2+</w:t>
      </w:r>
      <w:r>
        <w:rPr>
          <w:rFonts w:eastAsia="等线"/>
          <w:kern w:val="2"/>
          <w:szCs w:val="24"/>
          <w:lang w:eastAsia="zh-CN"/>
        </w:rPr>
        <w:t xml:space="preserve"> can be observed at this condition, which is different from </w:t>
      </w:r>
      <w:r>
        <w:rPr>
          <w:rFonts w:eastAsia="等线"/>
          <w:b/>
          <w:kern w:val="2"/>
          <w:szCs w:val="24"/>
          <w:lang w:eastAsia="zh-CN"/>
        </w:rPr>
        <w:t>Fig. S10d</w:t>
      </w:r>
      <w:r>
        <w:rPr>
          <w:rFonts w:eastAsia="等线"/>
          <w:kern w:val="2"/>
          <w:szCs w:val="24"/>
          <w:lang w:eastAsia="zh-CN"/>
        </w:rPr>
        <w:t>.</w:t>
      </w:r>
    </w:p>
    <w:p w14:paraId="1CEA241A">
      <w:pPr>
        <w:rPr>
          <w:rFonts w:eastAsia="等线"/>
          <w:kern w:val="2"/>
          <w:szCs w:val="24"/>
          <w:lang w:eastAsia="zh-CN"/>
        </w:rPr>
      </w:pPr>
    </w:p>
    <w:p w14:paraId="09C3D2EE">
      <w:pPr>
        <w:widowControl w:val="0"/>
        <w:spacing w:after="120"/>
        <w:jc w:val="center"/>
        <w:rPr>
          <w:rFonts w:eastAsia="等线"/>
          <w:kern w:val="2"/>
          <w:szCs w:val="24"/>
          <w:lang w:eastAsia="zh-CN"/>
        </w:rPr>
      </w:pPr>
      <w:r>
        <w:rPr>
          <w:rFonts w:eastAsia="等线"/>
          <w:kern w:val="2"/>
          <w:szCs w:val="24"/>
          <w:lang w:eastAsia="zh-CN"/>
        </w:rPr>
        <w:drawing>
          <wp:inline distT="0" distB="0" distL="0" distR="0">
            <wp:extent cx="5908675" cy="2912110"/>
            <wp:effectExtent l="0" t="0" r="0" b="2540"/>
            <wp:docPr id="7172529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2970"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8777" cy="2912550"/>
                    </a:xfrm>
                    <a:prstGeom prst="rect">
                      <a:avLst/>
                    </a:prstGeom>
                    <a:noFill/>
                  </pic:spPr>
                </pic:pic>
              </a:graphicData>
            </a:graphic>
          </wp:inline>
        </w:drawing>
      </w:r>
    </w:p>
    <w:p w14:paraId="77D832E6">
      <w:pPr>
        <w:widowControl w:val="0"/>
        <w:spacing w:after="120"/>
        <w:jc w:val="both"/>
        <w:rPr>
          <w:rFonts w:eastAsia="等线"/>
          <w:kern w:val="2"/>
          <w:szCs w:val="24"/>
        </w:rPr>
      </w:pPr>
      <w:r>
        <w:rPr>
          <w:rFonts w:eastAsia="等线"/>
          <w:b/>
          <w:bCs/>
          <w:kern w:val="2"/>
          <w:szCs w:val="24"/>
        </w:rPr>
        <w:t xml:space="preserve">Fig. S13 </w:t>
      </w:r>
      <w:r>
        <w:rPr>
          <w:rFonts w:eastAsia="等线"/>
          <w:b/>
          <w:bCs/>
          <w:kern w:val="2"/>
          <w:szCs w:val="24"/>
          <w:lang w:eastAsia="zh-CN"/>
        </w:rPr>
        <w:t>Single-pulse measurement of the charged single molecule by pulse-width dependence experiment</w:t>
      </w:r>
      <w:r>
        <w:rPr>
          <w:rFonts w:eastAsia="等线"/>
          <w:b/>
          <w:bCs/>
          <w:kern w:val="2"/>
          <w:szCs w:val="24"/>
        </w:rPr>
        <w:t>.</w:t>
      </w:r>
      <w:r>
        <w:rPr>
          <w:rFonts w:eastAsia="等线"/>
          <w:kern w:val="2"/>
          <w:szCs w:val="24"/>
        </w:rPr>
        <w:t xml:space="preserve"> </w:t>
      </w:r>
      <w:r>
        <w:rPr>
          <w:rFonts w:eastAsia="等线"/>
          <w:b/>
          <w:bCs/>
          <w:kern w:val="2"/>
          <w:szCs w:val="24"/>
          <w:lang w:eastAsia="zh-CN"/>
        </w:rPr>
        <w:t>a</w:t>
      </w:r>
      <w:r>
        <w:rPr>
          <w:rFonts w:hint="eastAsia" w:eastAsia="等线"/>
          <w:kern w:val="2"/>
          <w:szCs w:val="24"/>
        </w:rPr>
        <w:t>,</w:t>
      </w:r>
      <w:r>
        <w:rPr>
          <w:rFonts w:eastAsia="等线"/>
          <w:b/>
          <w:bCs/>
          <w:kern w:val="2"/>
          <w:szCs w:val="24"/>
          <w:lang w:eastAsia="zh-CN"/>
        </w:rPr>
        <w:t>b</w:t>
      </w:r>
      <w:r>
        <w:rPr>
          <w:rFonts w:hint="eastAsia" w:eastAsia="等线"/>
          <w:kern w:val="2"/>
          <w:szCs w:val="24"/>
        </w:rPr>
        <w:t xml:space="preserve">, </w:t>
      </w:r>
      <w:r>
        <w:rPr>
          <w:rFonts w:eastAsia="等线"/>
          <w:kern w:val="2"/>
          <w:szCs w:val="24"/>
        </w:rPr>
        <w:t xml:space="preserve">Measured pulse current </w:t>
      </w:r>
      <w:r>
        <w:rPr>
          <w:rFonts w:eastAsia="等线"/>
          <w:i/>
          <w:iCs/>
          <w:kern w:val="2"/>
          <w:szCs w:val="24"/>
        </w:rPr>
        <w:t>I</w:t>
      </w:r>
      <w:r>
        <w:rPr>
          <w:rFonts w:eastAsia="等线"/>
          <w:kern w:val="2"/>
          <w:szCs w:val="24"/>
          <w:vertAlign w:val="subscript"/>
        </w:rPr>
        <w:t>pulse</w:t>
      </w:r>
      <w:r>
        <w:rPr>
          <w:rFonts w:eastAsia="等线"/>
          <w:kern w:val="2"/>
          <w:szCs w:val="24"/>
        </w:rPr>
        <w:t xml:space="preserve"> </w:t>
      </w:r>
      <w:r>
        <w:rPr>
          <w:rFonts w:hint="eastAsia" w:eastAsia="等线"/>
          <w:kern w:val="2"/>
          <w:szCs w:val="24"/>
        </w:rPr>
        <w:t>as</w:t>
      </w:r>
      <w:r>
        <w:rPr>
          <w:rFonts w:eastAsia="等线"/>
          <w:kern w:val="2"/>
          <w:szCs w:val="24"/>
        </w:rPr>
        <w:t xml:space="preserve"> a function of pulse width </w:t>
      </w:r>
      <w:r>
        <w:rPr>
          <w:rFonts w:ascii="Symbol" w:hAnsi="Symbol" w:eastAsia="等线"/>
          <w:i/>
          <w:iCs/>
          <w:kern w:val="2"/>
          <w:szCs w:val="24"/>
        </w:rPr>
        <w:t></w:t>
      </w:r>
      <w:r>
        <w:rPr>
          <w:rFonts w:eastAsia="等线"/>
          <w:kern w:val="2"/>
          <w:szCs w:val="24"/>
          <w:vertAlign w:val="subscript"/>
        </w:rPr>
        <w:t>pulse</w:t>
      </w:r>
      <w:r>
        <w:rPr>
          <w:rFonts w:eastAsia="等线"/>
          <w:kern w:val="2"/>
          <w:szCs w:val="24"/>
        </w:rPr>
        <w:t xml:space="preserve"> with fixed </w:t>
      </w:r>
      <w:r>
        <w:rPr>
          <w:rFonts w:eastAsia="等线"/>
          <w:kern w:val="2"/>
          <w:szCs w:val="24"/>
          <w:lang w:val="de-DE"/>
        </w:rPr>
        <w:sym w:font="Symbol" w:char="F02D"/>
      </w:r>
      <w:r>
        <w:rPr>
          <w:rFonts w:eastAsia="等线"/>
          <w:kern w:val="2"/>
          <w:szCs w:val="24"/>
        </w:rPr>
        <w:t xml:space="preserve">0.8 V amplitude at </w:t>
      </w:r>
      <w:r>
        <w:rPr>
          <w:rFonts w:eastAsia="等线"/>
          <w:i/>
          <w:iCs/>
          <w:kern w:val="2"/>
          <w:szCs w:val="24"/>
        </w:rPr>
        <w:t>V</w:t>
      </w:r>
      <w:r>
        <w:rPr>
          <w:rFonts w:eastAsia="等线"/>
          <w:kern w:val="2"/>
          <w:szCs w:val="24"/>
          <w:vertAlign w:val="subscript"/>
        </w:rPr>
        <w:t>G</w:t>
      </w:r>
      <w:r>
        <w:rPr>
          <w:rFonts w:eastAsia="等线"/>
          <w:kern w:val="2"/>
          <w:szCs w:val="24"/>
        </w:rPr>
        <w:t xml:space="preserve">= </w:t>
      </w:r>
      <w:r>
        <w:rPr>
          <w:rFonts w:eastAsia="等线"/>
          <w:kern w:val="2"/>
          <w:szCs w:val="24"/>
          <w:lang w:val="de-DE"/>
        </w:rPr>
        <w:sym w:font="Symbol" w:char="F02D"/>
      </w:r>
      <w:r>
        <w:rPr>
          <w:rFonts w:eastAsia="等线"/>
          <w:kern w:val="2"/>
          <w:szCs w:val="24"/>
        </w:rPr>
        <w:t xml:space="preserve">2.5 </w:t>
      </w:r>
      <w:r>
        <w:rPr>
          <w:rFonts w:hint="eastAsia" w:eastAsia="等线"/>
          <w:kern w:val="2"/>
          <w:szCs w:val="24"/>
        </w:rPr>
        <w:t>V</w:t>
      </w:r>
      <w:r>
        <w:rPr>
          <w:rFonts w:eastAsia="等线"/>
          <w:kern w:val="2"/>
          <w:szCs w:val="24"/>
        </w:rPr>
        <w:t xml:space="preserve"> (</w:t>
      </w:r>
      <w:r>
        <w:rPr>
          <w:rFonts w:eastAsia="等线"/>
          <w:b/>
          <w:kern w:val="2"/>
          <w:szCs w:val="24"/>
        </w:rPr>
        <w:t>a</w:t>
      </w:r>
      <w:r>
        <w:rPr>
          <w:rFonts w:eastAsia="等线"/>
          <w:kern w:val="2"/>
          <w:szCs w:val="24"/>
        </w:rPr>
        <w:t>) and 0 V (</w:t>
      </w:r>
      <w:r>
        <w:rPr>
          <w:rFonts w:eastAsia="等线"/>
          <w:b/>
          <w:kern w:val="2"/>
          <w:szCs w:val="24"/>
          <w:lang w:eastAsia="zh-CN"/>
        </w:rPr>
        <w:t>b</w:t>
      </w:r>
      <w:r>
        <w:rPr>
          <w:rFonts w:eastAsia="等线"/>
          <w:kern w:val="2"/>
          <w:szCs w:val="24"/>
        </w:rPr>
        <w:t xml:space="preserve">). </w:t>
      </w:r>
      <w:r>
        <w:rPr>
          <w:rFonts w:eastAsia="等线"/>
          <w:b/>
          <w:kern w:val="2"/>
          <w:szCs w:val="24"/>
        </w:rPr>
        <w:t>c</w:t>
      </w:r>
      <w:r>
        <w:rPr>
          <w:rFonts w:eastAsia="等线"/>
          <w:kern w:val="2"/>
          <w:szCs w:val="24"/>
        </w:rPr>
        <w:t>.</w:t>
      </w:r>
      <w:r>
        <w:t xml:space="preserve">The normalized pulse current by variable pulse width voltage at </w:t>
      </w:r>
      <w:r>
        <w:rPr>
          <w:i/>
          <w:iCs/>
        </w:rPr>
        <w:t>V</w:t>
      </w:r>
      <w:r>
        <w:rPr>
          <w:vertAlign w:val="subscript"/>
        </w:rPr>
        <w:t>G</w:t>
      </w:r>
      <w:r>
        <w:t xml:space="preserve"> = </w:t>
      </w:r>
      <w:r>
        <w:rPr/>
        <w:sym w:font="Symbol" w:char="F02D"/>
      </w:r>
      <w:r>
        <w:t>2.5 V (</w:t>
      </w:r>
      <w:r>
        <w:rPr>
          <w:rFonts w:hint="eastAsia"/>
          <w:lang w:eastAsia="zh-CN"/>
        </w:rPr>
        <w:t>blue</w:t>
      </w:r>
      <w:r>
        <w:t xml:space="preserve"> line) and 0 V (red line).</w:t>
      </w:r>
      <w:r>
        <w:rPr>
          <w:rFonts w:hint="eastAsia" w:ascii="HardingText-Regular" w:hAnsi="HardingText-Regular"/>
          <w:color w:val="000000"/>
        </w:rPr>
        <w:t xml:space="preserve"> </w:t>
      </w:r>
      <w:r>
        <w:t xml:space="preserve">The red and blue lines are guides for the eye. The </w:t>
      </w:r>
      <w:r>
        <w:rPr>
          <w:rFonts w:eastAsia="等线"/>
          <w:kern w:val="2"/>
          <w:szCs w:val="24"/>
        </w:rPr>
        <w:t xml:space="preserve">normalization method was to extract the slope of the signal difference under different pulse widths compared to that at </w:t>
      </w:r>
      <w:r>
        <w:rPr>
          <w:rFonts w:ascii="Symbol" w:hAnsi="Symbol" w:eastAsia="等线"/>
          <w:i/>
          <w:iCs/>
          <w:kern w:val="2"/>
          <w:szCs w:val="24"/>
        </w:rPr>
        <w:t></w:t>
      </w:r>
      <w:r>
        <w:rPr>
          <w:rFonts w:eastAsia="等线"/>
          <w:kern w:val="2"/>
          <w:szCs w:val="24"/>
          <w:vertAlign w:val="subscript"/>
        </w:rPr>
        <w:t>pulse</w:t>
      </w:r>
      <w:r>
        <w:rPr>
          <w:rFonts w:eastAsia="等线"/>
          <w:kern w:val="2"/>
          <w:szCs w:val="24"/>
        </w:rPr>
        <w:t xml:space="preserve"> = 0 ns.</w:t>
      </w:r>
      <w:r>
        <w:rPr>
          <w:rFonts w:hint="eastAsia" w:eastAsia="等线"/>
          <w:kern w:val="2"/>
          <w:szCs w:val="24"/>
        </w:rPr>
        <w:t xml:space="preserve"> </w:t>
      </w:r>
      <w:r>
        <w:rPr>
          <w:rFonts w:eastAsia="等线"/>
          <w:b/>
          <w:bCs/>
          <w:kern w:val="2"/>
          <w:szCs w:val="24"/>
          <w:lang w:eastAsia="zh-CN"/>
        </w:rPr>
        <w:t>d</w:t>
      </w:r>
      <w:r>
        <w:rPr>
          <w:rFonts w:hint="eastAsia" w:eastAsia="等线"/>
          <w:kern w:val="2"/>
          <w:szCs w:val="24"/>
        </w:rPr>
        <w:t>,</w:t>
      </w:r>
      <w:r>
        <w:rPr>
          <w:rFonts w:eastAsia="等线"/>
          <w:b/>
          <w:kern w:val="2"/>
          <w:szCs w:val="24"/>
        </w:rPr>
        <w:t xml:space="preserve"> </w:t>
      </w:r>
      <w:r>
        <w:rPr>
          <w:rFonts w:eastAsia="等线"/>
          <w:b/>
          <w:kern w:val="2"/>
          <w:szCs w:val="24"/>
          <w:lang w:eastAsia="zh-CN"/>
        </w:rPr>
        <w:t>e</w:t>
      </w:r>
      <w:r>
        <w:rPr>
          <w:rFonts w:eastAsia="等线"/>
          <w:kern w:val="2"/>
          <w:szCs w:val="24"/>
        </w:rPr>
        <w:t xml:space="preserve">, </w:t>
      </w:r>
      <w:r>
        <w:rPr>
          <w:rFonts w:eastAsia="等线"/>
          <w:b/>
          <w:bCs/>
          <w:kern w:val="2"/>
          <w:szCs w:val="24"/>
          <w:lang w:eastAsia="zh-CN"/>
        </w:rPr>
        <w:t>f</w:t>
      </w:r>
      <w:r>
        <w:rPr>
          <w:rFonts w:hint="eastAsia" w:eastAsia="等线"/>
          <w:kern w:val="2"/>
          <w:szCs w:val="24"/>
        </w:rPr>
        <w:t xml:space="preserve">, </w:t>
      </w:r>
      <w:r>
        <w:rPr>
          <w:rFonts w:eastAsia="等线"/>
          <w:kern w:val="2"/>
          <w:szCs w:val="24"/>
        </w:rPr>
        <w:t>The normalized probe current by variable pulse width voltage at 50 K (</w:t>
      </w:r>
      <w:r>
        <w:rPr>
          <w:rFonts w:eastAsia="等线"/>
          <w:b/>
          <w:kern w:val="2"/>
          <w:szCs w:val="24"/>
          <w:lang w:eastAsia="zh-CN"/>
        </w:rPr>
        <w:t>d</w:t>
      </w:r>
      <w:r>
        <w:rPr>
          <w:rFonts w:eastAsia="等线"/>
          <w:kern w:val="2"/>
          <w:szCs w:val="24"/>
        </w:rPr>
        <w:t>), 120 K (</w:t>
      </w:r>
      <w:r>
        <w:rPr>
          <w:rFonts w:eastAsia="等线"/>
          <w:b/>
          <w:kern w:val="2"/>
          <w:szCs w:val="24"/>
          <w:lang w:eastAsia="zh-CN"/>
        </w:rPr>
        <w:t>e</w:t>
      </w:r>
      <w:r>
        <w:rPr>
          <w:rFonts w:eastAsia="等线"/>
          <w:kern w:val="2"/>
          <w:szCs w:val="24"/>
        </w:rPr>
        <w:t>) and 160</w:t>
      </w:r>
      <w:r>
        <w:rPr>
          <w:rFonts w:hint="eastAsia" w:eastAsia="等线"/>
          <w:kern w:val="2"/>
          <w:szCs w:val="24"/>
        </w:rPr>
        <w:t xml:space="preserve"> </w:t>
      </w:r>
      <w:r>
        <w:rPr>
          <w:rFonts w:eastAsia="等线"/>
          <w:kern w:val="2"/>
          <w:szCs w:val="24"/>
        </w:rPr>
        <w:t>K (</w:t>
      </w:r>
      <w:r>
        <w:rPr>
          <w:rFonts w:eastAsia="等线"/>
          <w:b/>
          <w:kern w:val="2"/>
          <w:szCs w:val="24"/>
          <w:lang w:eastAsia="zh-CN"/>
        </w:rPr>
        <w:t>f</w:t>
      </w:r>
      <w:r>
        <w:rPr>
          <w:rFonts w:eastAsia="等线"/>
          <w:kern w:val="2"/>
          <w:szCs w:val="24"/>
        </w:rPr>
        <w:t>). As the temperature increasing, its dynamic response with pulse width also disappears.</w:t>
      </w:r>
    </w:p>
    <w:p w14:paraId="00730E4E">
      <w:pPr>
        <w:jc w:val="center"/>
        <w:rPr>
          <w:rFonts w:eastAsia="宋体"/>
          <w:b/>
          <w:szCs w:val="24"/>
          <w:lang w:eastAsia="zh-CN"/>
        </w:rPr>
      </w:pPr>
      <w:r>
        <w:rPr>
          <w:rFonts w:eastAsia="宋体"/>
          <w:b/>
          <w:szCs w:val="24"/>
          <w:lang w:eastAsia="zh-CN"/>
        </w:rPr>
        <w:drawing>
          <wp:inline distT="0" distB="0" distL="0" distR="0">
            <wp:extent cx="5753100" cy="4458335"/>
            <wp:effectExtent l="0" t="0" r="0" b="0"/>
            <wp:docPr id="8589780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8077" name="图片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3227" cy="4458626"/>
                    </a:xfrm>
                    <a:prstGeom prst="rect">
                      <a:avLst/>
                    </a:prstGeom>
                    <a:noFill/>
                  </pic:spPr>
                </pic:pic>
              </a:graphicData>
            </a:graphic>
          </wp:inline>
        </w:drawing>
      </w:r>
    </w:p>
    <w:p w14:paraId="681468FD">
      <w:pPr>
        <w:jc w:val="both"/>
        <w:rPr>
          <w:rFonts w:eastAsia="宋体"/>
          <w:szCs w:val="24"/>
          <w:lang w:eastAsia="zh-CN"/>
        </w:rPr>
      </w:pPr>
      <w:r>
        <w:rPr>
          <w:rFonts w:eastAsia="宋体"/>
          <w:b/>
          <w:szCs w:val="24"/>
          <w:lang w:eastAsia="zh-CN"/>
        </w:rPr>
        <w:t xml:space="preserve">Fig. S14 Transient </w:t>
      </w:r>
      <w:r>
        <w:rPr>
          <w:rFonts w:eastAsia="宋体"/>
          <w:b/>
          <w:i/>
          <w:szCs w:val="24"/>
          <w:lang w:eastAsia="zh-CN"/>
        </w:rPr>
        <w:t>I</w:t>
      </w:r>
      <w:r>
        <w:rPr>
          <w:rFonts w:eastAsia="宋体"/>
          <w:b/>
          <w:szCs w:val="24"/>
          <w:vertAlign w:val="subscript"/>
          <w:lang w:eastAsia="zh-CN"/>
        </w:rPr>
        <w:t>pulse</w:t>
      </w:r>
      <w:r>
        <w:rPr>
          <w:rFonts w:eastAsia="宋体"/>
          <w:b/>
          <w:szCs w:val="24"/>
          <w:lang w:eastAsia="zh-CN"/>
        </w:rPr>
        <w:t>-</w:t>
      </w:r>
      <w:r>
        <w:rPr>
          <w:rFonts w:eastAsia="宋体"/>
          <w:b/>
          <w:i/>
          <w:szCs w:val="24"/>
          <w:lang w:eastAsia="zh-CN"/>
        </w:rPr>
        <w:t>V</w:t>
      </w:r>
      <w:r>
        <w:rPr>
          <w:rFonts w:eastAsia="宋体"/>
          <w:b/>
          <w:szCs w:val="24"/>
          <w:vertAlign w:val="subscript"/>
          <w:lang w:eastAsia="zh-CN"/>
        </w:rPr>
        <w:t>pulse</w:t>
      </w:r>
      <w:r>
        <w:rPr>
          <w:rFonts w:eastAsia="宋体"/>
          <w:b/>
          <w:szCs w:val="24"/>
          <w:lang w:eastAsia="zh-CN"/>
        </w:rPr>
        <w:t xml:space="preserve"> pump-probe measurements of the charged molecule</w:t>
      </w:r>
      <w:r>
        <w:rPr>
          <w:rFonts w:eastAsia="宋体"/>
          <w:szCs w:val="24"/>
          <w:lang w:eastAsia="zh-CN"/>
        </w:rPr>
        <w:t xml:space="preserve">. </w:t>
      </w:r>
      <w:r>
        <w:rPr>
          <w:rFonts w:eastAsia="宋体"/>
          <w:b/>
          <w:szCs w:val="24"/>
          <w:lang w:eastAsia="zh-CN"/>
        </w:rPr>
        <w:t>a</w:t>
      </w:r>
      <w:r>
        <w:rPr>
          <w:rFonts w:eastAsia="宋体"/>
          <w:szCs w:val="24"/>
          <w:lang w:eastAsia="zh-CN"/>
        </w:rPr>
        <w:t xml:space="preserve">, Total current </w:t>
      </w:r>
      <w:r>
        <w:rPr>
          <w:rFonts w:eastAsia="宋体"/>
          <w:i/>
          <w:szCs w:val="24"/>
          <w:lang w:eastAsia="zh-CN"/>
        </w:rPr>
        <w:t>I</w:t>
      </w:r>
      <w:r>
        <w:rPr>
          <w:rFonts w:eastAsia="宋体"/>
          <w:szCs w:val="24"/>
          <w:vertAlign w:val="subscript"/>
          <w:lang w:eastAsia="zh-CN"/>
        </w:rPr>
        <w:t>total</w:t>
      </w:r>
      <w:r>
        <w:rPr>
          <w:rFonts w:eastAsia="宋体"/>
          <w:szCs w:val="24"/>
          <w:lang w:eastAsia="zh-CN"/>
        </w:rPr>
        <w:t xml:space="preserve"> recorded in a lock-in amplifier before (gray) and after (blue) considering phase inversion. </w:t>
      </w:r>
      <w:r>
        <w:rPr>
          <w:rFonts w:eastAsia="宋体"/>
          <w:b/>
          <w:szCs w:val="24"/>
          <w:lang w:eastAsia="zh-CN"/>
        </w:rPr>
        <w:t>b</w:t>
      </w:r>
      <w:r>
        <w:rPr>
          <w:rFonts w:eastAsia="宋体"/>
          <w:szCs w:val="24"/>
          <w:lang w:eastAsia="zh-CN"/>
        </w:rPr>
        <w:t xml:space="preserve">, Total current after considering phase inversion and the method for extracting probe current. </w:t>
      </w:r>
      <w:r>
        <w:rPr>
          <w:rFonts w:eastAsia="宋体"/>
          <w:b/>
          <w:szCs w:val="24"/>
          <w:lang w:eastAsia="zh-CN"/>
        </w:rPr>
        <w:t>c</w:t>
      </w:r>
      <w:r>
        <w:rPr>
          <w:rFonts w:eastAsia="宋体"/>
          <w:szCs w:val="24"/>
          <w:lang w:eastAsia="zh-CN"/>
        </w:rPr>
        <w:t xml:space="preserve">, Transient pulsed </w:t>
      </w:r>
      <w:r>
        <w:rPr>
          <w:rFonts w:eastAsia="宋体"/>
          <w:i/>
          <w:szCs w:val="24"/>
          <w:lang w:eastAsia="zh-CN"/>
        </w:rPr>
        <w:t>I</w:t>
      </w:r>
      <w:r>
        <w:rPr>
          <w:rFonts w:eastAsia="宋体"/>
          <w:szCs w:val="24"/>
          <w:lang w:eastAsia="zh-CN"/>
        </w:rPr>
        <w:t>-</w:t>
      </w:r>
      <w:r>
        <w:rPr>
          <w:rFonts w:eastAsia="宋体"/>
          <w:i/>
          <w:szCs w:val="24"/>
          <w:lang w:eastAsia="zh-CN"/>
        </w:rPr>
        <w:t>V</w:t>
      </w:r>
      <w:r>
        <w:rPr>
          <w:rFonts w:eastAsia="宋体"/>
          <w:szCs w:val="24"/>
          <w:lang w:eastAsia="zh-CN"/>
        </w:rPr>
        <w:t xml:space="preserve"> characterization at 0 ns (blue) and 500 ns (yellow). </w:t>
      </w:r>
      <w:r>
        <w:rPr>
          <w:rFonts w:eastAsia="宋体"/>
          <w:b/>
          <w:szCs w:val="24"/>
          <w:lang w:eastAsia="zh-CN"/>
        </w:rPr>
        <w:t>d</w:t>
      </w:r>
      <w:r>
        <w:rPr>
          <w:rFonts w:eastAsia="宋体"/>
          <w:szCs w:val="24"/>
          <w:lang w:eastAsia="zh-CN"/>
        </w:rPr>
        <w:t xml:space="preserve">, Corresponding dependence of the probe current </w:t>
      </w:r>
      <w:r>
        <w:rPr>
          <w:rFonts w:eastAsia="宋体"/>
          <w:i/>
          <w:szCs w:val="24"/>
          <w:lang w:eastAsia="zh-CN"/>
        </w:rPr>
        <w:t>I</w:t>
      </w:r>
      <w:r>
        <w:rPr>
          <w:rFonts w:eastAsia="宋体"/>
          <w:szCs w:val="24"/>
          <w:vertAlign w:val="subscript"/>
          <w:lang w:eastAsia="zh-CN"/>
        </w:rPr>
        <w:t>probe</w:t>
      </w:r>
      <w:r>
        <w:rPr>
          <w:rFonts w:eastAsia="宋体"/>
          <w:szCs w:val="24"/>
          <w:lang w:eastAsia="zh-CN"/>
        </w:rPr>
        <w:t xml:space="preserve"> on the delay time as a function of probe voltage </w:t>
      </w:r>
      <w:r>
        <w:rPr>
          <w:rFonts w:eastAsia="宋体"/>
          <w:i/>
          <w:szCs w:val="24"/>
          <w:lang w:eastAsia="zh-CN"/>
        </w:rPr>
        <w:t>V</w:t>
      </w:r>
      <w:r>
        <w:rPr>
          <w:rFonts w:eastAsia="宋体"/>
          <w:szCs w:val="24"/>
          <w:vertAlign w:val="subscript"/>
          <w:lang w:eastAsia="zh-CN"/>
        </w:rPr>
        <w:t>probe</w:t>
      </w:r>
      <w:r>
        <w:rPr>
          <w:rFonts w:eastAsia="宋体"/>
          <w:szCs w:val="24"/>
          <w:lang w:eastAsia="zh-CN"/>
        </w:rPr>
        <w:t xml:space="preserve"> at a continuous </w:t>
      </w:r>
      <w:r>
        <w:rPr>
          <w:rFonts w:eastAsia="宋体"/>
          <w:i/>
          <w:szCs w:val="24"/>
          <w:lang w:eastAsia="zh-CN"/>
        </w:rPr>
        <w:t>V</w:t>
      </w:r>
      <w:r>
        <w:rPr>
          <w:rFonts w:eastAsia="宋体"/>
          <w:szCs w:val="24"/>
          <w:vertAlign w:val="subscript"/>
          <w:lang w:eastAsia="zh-CN"/>
        </w:rPr>
        <w:t>G</w:t>
      </w:r>
      <w:r>
        <w:rPr>
          <w:rFonts w:eastAsia="宋体"/>
          <w:szCs w:val="24"/>
          <w:lang w:eastAsia="zh-CN"/>
        </w:rPr>
        <w:t xml:space="preserve"> = </w:t>
      </w:r>
      <w:r>
        <w:rPr>
          <w:rFonts w:eastAsia="宋体"/>
          <w:szCs w:val="24"/>
          <w:lang w:val="de-DE" w:eastAsia="zh-CN"/>
        </w:rPr>
        <w:sym w:font="Symbol" w:char="F02D"/>
      </w:r>
      <w:r>
        <w:rPr>
          <w:rFonts w:eastAsia="宋体"/>
          <w:szCs w:val="24"/>
          <w:lang w:eastAsia="zh-CN"/>
        </w:rPr>
        <w:t>2.5 V.</w:t>
      </w:r>
    </w:p>
    <w:p w14:paraId="0864ABAB">
      <w:pPr>
        <w:spacing w:line="360" w:lineRule="auto"/>
        <w:jc w:val="both"/>
        <w:rPr>
          <w:rFonts w:eastAsia="宋体"/>
          <w:sz w:val="21"/>
          <w:szCs w:val="21"/>
          <w:lang w:eastAsia="zh-CN"/>
        </w:rPr>
      </w:pPr>
    </w:p>
    <w:p w14:paraId="38904972">
      <w:pPr>
        <w:spacing w:line="360" w:lineRule="auto"/>
        <w:jc w:val="center"/>
        <w:rPr>
          <w:rFonts w:eastAsia="宋体"/>
          <w:sz w:val="21"/>
          <w:szCs w:val="21"/>
          <w:lang w:eastAsia="zh-CN"/>
        </w:rPr>
      </w:pPr>
      <w:r>
        <w:rPr>
          <w:rFonts w:eastAsia="宋体"/>
          <w:sz w:val="21"/>
          <w:szCs w:val="21"/>
          <w:lang w:eastAsia="zh-CN"/>
        </w:rPr>
        <w:drawing>
          <wp:inline distT="0" distB="0" distL="0" distR="0">
            <wp:extent cx="4632960" cy="3518535"/>
            <wp:effectExtent l="0" t="0" r="0" b="5715"/>
            <wp:docPr id="21311008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00831"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7720" cy="3522318"/>
                    </a:xfrm>
                    <a:prstGeom prst="rect">
                      <a:avLst/>
                    </a:prstGeom>
                    <a:noFill/>
                  </pic:spPr>
                </pic:pic>
              </a:graphicData>
            </a:graphic>
          </wp:inline>
        </w:drawing>
      </w:r>
    </w:p>
    <w:p w14:paraId="2865D557">
      <w:pPr>
        <w:spacing w:after="120"/>
        <w:jc w:val="both"/>
        <w:rPr>
          <w:rFonts w:eastAsia="宋体"/>
          <w:bCs/>
          <w:szCs w:val="24"/>
          <w:lang w:eastAsia="zh-CN"/>
        </w:rPr>
      </w:pPr>
      <w:r>
        <w:rPr>
          <w:rFonts w:eastAsia="宋体"/>
          <w:b/>
          <w:bCs/>
          <w:szCs w:val="24"/>
          <w:lang w:eastAsia="zh-CN"/>
        </w:rPr>
        <w:t>Fig. S15 Electrical characterizations and all-electronic pump-probe measurements on a graphene tunnel junction</w:t>
      </w:r>
      <w:r>
        <w:rPr>
          <w:rFonts w:hint="eastAsia" w:eastAsia="宋体"/>
          <w:b/>
          <w:bCs/>
          <w:szCs w:val="24"/>
          <w:lang w:eastAsia="zh-CN"/>
        </w:rPr>
        <w:t>.</w:t>
      </w:r>
      <w:r>
        <w:rPr>
          <w:rFonts w:eastAsia="宋体"/>
          <w:szCs w:val="24"/>
          <w:lang w:eastAsia="zh-CN"/>
        </w:rPr>
        <w:t xml:space="preserve"> </w:t>
      </w:r>
      <w:r>
        <w:rPr>
          <w:rFonts w:eastAsia="宋体"/>
          <w:b/>
          <w:bCs/>
          <w:szCs w:val="24"/>
          <w:lang w:eastAsia="zh-CN"/>
        </w:rPr>
        <w:t>a</w:t>
      </w:r>
      <w:r>
        <w:rPr>
          <w:rFonts w:hint="eastAsia" w:eastAsia="宋体"/>
          <w:szCs w:val="24"/>
          <w:lang w:eastAsia="zh-CN"/>
        </w:rPr>
        <w:t xml:space="preserve">, </w:t>
      </w:r>
      <w:r>
        <w:rPr>
          <w:rFonts w:eastAsia="宋体"/>
          <w:szCs w:val="24"/>
          <w:lang w:eastAsia="zh-CN"/>
        </w:rPr>
        <w:t xml:space="preserve">Charge stability diagram showing the differential conductance </w:t>
      </w:r>
      <w:r>
        <w:rPr>
          <w:rFonts w:eastAsia="宋体"/>
          <w:i/>
          <w:szCs w:val="24"/>
          <w:lang w:eastAsia="zh-CN"/>
        </w:rPr>
        <w:t>G</w:t>
      </w:r>
      <w:r>
        <w:rPr>
          <w:rFonts w:eastAsia="宋体"/>
          <w:szCs w:val="24"/>
          <w:vertAlign w:val="subscript"/>
          <w:lang w:eastAsia="zh-CN"/>
        </w:rPr>
        <w:t>SD</w:t>
      </w:r>
      <w:r>
        <w:rPr>
          <w:rFonts w:eastAsia="宋体"/>
          <w:szCs w:val="24"/>
          <w:lang w:eastAsia="zh-CN"/>
        </w:rPr>
        <w:t xml:space="preserve"> (</w:t>
      </w:r>
      <w:r>
        <w:rPr>
          <w:rFonts w:eastAsia="宋体"/>
          <w:bCs/>
          <w:szCs w:val="24"/>
          <w:lang w:eastAsia="zh-CN"/>
        </w:rPr>
        <w:t>d</w:t>
      </w:r>
      <w:r>
        <w:rPr>
          <w:rFonts w:eastAsia="宋体"/>
          <w:bCs/>
          <w:i/>
          <w:szCs w:val="24"/>
          <w:lang w:eastAsia="zh-CN"/>
        </w:rPr>
        <w:t>I</w:t>
      </w:r>
      <w:r>
        <w:rPr>
          <w:rFonts w:eastAsia="宋体"/>
          <w:bCs/>
          <w:szCs w:val="24"/>
          <w:vertAlign w:val="subscript"/>
          <w:lang w:eastAsia="zh-CN"/>
        </w:rPr>
        <w:t>SD</w:t>
      </w:r>
      <w:r>
        <w:rPr>
          <w:rFonts w:eastAsia="宋体"/>
          <w:bCs/>
          <w:szCs w:val="24"/>
          <w:lang w:eastAsia="zh-CN"/>
        </w:rPr>
        <w:t>/d</w:t>
      </w:r>
      <w:r>
        <w:rPr>
          <w:rFonts w:eastAsia="宋体"/>
          <w:bCs/>
          <w:i/>
          <w:szCs w:val="24"/>
          <w:lang w:eastAsia="zh-CN"/>
        </w:rPr>
        <w:t>V</w:t>
      </w:r>
      <w:r>
        <w:rPr>
          <w:rFonts w:eastAsia="宋体"/>
          <w:bCs/>
          <w:szCs w:val="24"/>
          <w:vertAlign w:val="subscript"/>
          <w:lang w:eastAsia="zh-CN"/>
        </w:rPr>
        <w:t>SD</w:t>
      </w:r>
      <w:r>
        <w:rPr>
          <w:rFonts w:eastAsia="宋体"/>
          <w:szCs w:val="24"/>
          <w:lang w:eastAsia="zh-CN"/>
        </w:rPr>
        <w:t>) as a function of bias voltage (</w:t>
      </w:r>
      <w:r>
        <w:rPr>
          <w:rFonts w:eastAsia="宋体"/>
          <w:i/>
          <w:szCs w:val="24"/>
          <w:lang w:eastAsia="zh-CN"/>
        </w:rPr>
        <w:t>V</w:t>
      </w:r>
      <w:r>
        <w:rPr>
          <w:rFonts w:hint="eastAsia" w:eastAsia="宋体"/>
          <w:szCs w:val="24"/>
          <w:vertAlign w:val="subscript"/>
          <w:lang w:eastAsia="zh-CN"/>
        </w:rPr>
        <w:t>SD</w:t>
      </w:r>
      <w:r>
        <w:rPr>
          <w:rFonts w:eastAsia="宋体"/>
          <w:szCs w:val="24"/>
          <w:lang w:eastAsia="zh-CN"/>
        </w:rPr>
        <w:t>) and gate voltage (</w:t>
      </w:r>
      <w:r>
        <w:rPr>
          <w:rFonts w:eastAsia="宋体"/>
          <w:i/>
          <w:szCs w:val="24"/>
          <w:lang w:eastAsia="zh-CN"/>
        </w:rPr>
        <w:t>V</w:t>
      </w:r>
      <w:r>
        <w:rPr>
          <w:rFonts w:eastAsia="宋体"/>
          <w:szCs w:val="24"/>
          <w:vertAlign w:val="subscript"/>
          <w:lang w:eastAsia="zh-CN"/>
        </w:rPr>
        <w:t>G</w:t>
      </w:r>
      <w:r>
        <w:rPr>
          <w:rFonts w:eastAsia="宋体"/>
          <w:szCs w:val="24"/>
          <w:lang w:eastAsia="zh-CN"/>
        </w:rPr>
        <w:t xml:space="preserve">) at 30 K. </w:t>
      </w:r>
      <w:r>
        <w:rPr>
          <w:rFonts w:eastAsia="宋体"/>
          <w:b/>
          <w:bCs/>
          <w:szCs w:val="24"/>
          <w:lang w:eastAsia="zh-CN"/>
        </w:rPr>
        <w:t>b</w:t>
      </w:r>
      <w:r>
        <w:rPr>
          <w:rFonts w:hint="eastAsia" w:eastAsia="宋体"/>
          <w:szCs w:val="24"/>
          <w:lang w:eastAsia="zh-CN"/>
        </w:rPr>
        <w:t xml:space="preserve">, </w:t>
      </w:r>
      <w:r>
        <w:rPr>
          <w:rFonts w:eastAsia="宋体"/>
          <w:bCs/>
          <w:szCs w:val="24"/>
          <w:lang w:eastAsia="zh-CN"/>
        </w:rPr>
        <w:t xml:space="preserve">Corresponding dependence of the probe current </w:t>
      </w:r>
      <w:r>
        <w:rPr>
          <w:rFonts w:eastAsia="宋体"/>
          <w:bCs/>
          <w:i/>
          <w:szCs w:val="24"/>
          <w:lang w:eastAsia="zh-CN"/>
        </w:rPr>
        <w:t>I</w:t>
      </w:r>
      <w:r>
        <w:rPr>
          <w:rFonts w:eastAsia="宋体"/>
          <w:bCs/>
          <w:szCs w:val="24"/>
          <w:vertAlign w:val="subscript"/>
          <w:lang w:eastAsia="zh-CN"/>
        </w:rPr>
        <w:t>probe</w:t>
      </w:r>
      <w:r>
        <w:rPr>
          <w:rFonts w:eastAsia="宋体"/>
          <w:bCs/>
          <w:szCs w:val="24"/>
          <w:lang w:eastAsia="zh-CN"/>
        </w:rPr>
        <w:t xml:space="preserve"> on the delay time as a function of trigger voltage </w:t>
      </w:r>
      <w:r>
        <w:rPr>
          <w:rFonts w:eastAsia="宋体"/>
          <w:bCs/>
          <w:i/>
          <w:szCs w:val="24"/>
          <w:lang w:eastAsia="zh-CN"/>
        </w:rPr>
        <w:t>V</w:t>
      </w:r>
      <w:r>
        <w:rPr>
          <w:rFonts w:eastAsia="宋体"/>
          <w:bCs/>
          <w:szCs w:val="24"/>
          <w:vertAlign w:val="subscript"/>
          <w:lang w:eastAsia="zh-CN"/>
        </w:rPr>
        <w:t xml:space="preserve">pump. </w:t>
      </w:r>
      <w:r>
        <w:rPr>
          <w:rFonts w:eastAsia="宋体"/>
          <w:bCs/>
          <w:szCs w:val="24"/>
          <w:lang w:eastAsia="zh-CN"/>
        </w:rPr>
        <w:t xml:space="preserve">at a </w:t>
      </w:r>
      <w:r>
        <w:rPr>
          <w:rFonts w:hint="eastAsia" w:eastAsia="宋体"/>
          <w:szCs w:val="24"/>
          <w:lang w:eastAsia="zh-CN"/>
        </w:rPr>
        <w:t>continuous</w:t>
      </w:r>
      <w:r>
        <w:rPr>
          <w:rFonts w:eastAsia="宋体"/>
          <w:bCs/>
          <w:szCs w:val="24"/>
          <w:lang w:eastAsia="zh-CN"/>
        </w:rPr>
        <w:t xml:space="preserve"> </w:t>
      </w:r>
      <w:r>
        <w:rPr>
          <w:rFonts w:eastAsia="宋体"/>
          <w:bCs/>
          <w:i/>
          <w:szCs w:val="24"/>
          <w:lang w:eastAsia="zh-CN"/>
        </w:rPr>
        <w:t>V</w:t>
      </w:r>
      <w:r>
        <w:rPr>
          <w:rFonts w:eastAsia="宋体"/>
          <w:bCs/>
          <w:szCs w:val="24"/>
          <w:vertAlign w:val="subscript"/>
          <w:lang w:eastAsia="zh-CN"/>
        </w:rPr>
        <w:t>G</w:t>
      </w:r>
      <w:r>
        <w:rPr>
          <w:rFonts w:hint="eastAsia" w:eastAsia="宋体"/>
          <w:bCs/>
          <w:szCs w:val="24"/>
          <w:vertAlign w:val="subscript"/>
          <w:lang w:eastAsia="zh-CN"/>
        </w:rPr>
        <w:t xml:space="preserve"> </w:t>
      </w:r>
      <w:r>
        <w:rPr>
          <w:rFonts w:eastAsia="宋体"/>
          <w:bCs/>
          <w:szCs w:val="24"/>
          <w:lang w:eastAsia="zh-CN"/>
        </w:rPr>
        <w:t xml:space="preserve">= 0 V. </w:t>
      </w:r>
      <w:r>
        <w:rPr>
          <w:rFonts w:eastAsia="宋体"/>
          <w:b/>
          <w:bCs/>
          <w:szCs w:val="24"/>
          <w:lang w:eastAsia="zh-CN"/>
        </w:rPr>
        <w:t>c</w:t>
      </w:r>
      <w:r>
        <w:rPr>
          <w:rFonts w:hint="eastAsia" w:eastAsia="宋体"/>
          <w:szCs w:val="24"/>
          <w:lang w:eastAsia="zh-CN"/>
        </w:rPr>
        <w:t xml:space="preserve">, </w:t>
      </w:r>
      <w:r>
        <w:rPr>
          <w:rFonts w:eastAsia="宋体"/>
          <w:szCs w:val="24"/>
          <w:lang w:eastAsia="zh-CN"/>
        </w:rPr>
        <w:t xml:space="preserve">Corresponding dependence of the probe current </w:t>
      </w:r>
      <w:r>
        <w:rPr>
          <w:rFonts w:eastAsia="宋体"/>
          <w:i/>
          <w:szCs w:val="24"/>
          <w:lang w:eastAsia="zh-CN"/>
        </w:rPr>
        <w:t>I</w:t>
      </w:r>
      <w:r>
        <w:rPr>
          <w:rFonts w:eastAsia="宋体"/>
          <w:szCs w:val="24"/>
          <w:vertAlign w:val="subscript"/>
          <w:lang w:eastAsia="zh-CN"/>
        </w:rPr>
        <w:t>probe</w:t>
      </w:r>
      <w:r>
        <w:rPr>
          <w:rFonts w:eastAsia="宋体"/>
          <w:szCs w:val="24"/>
          <w:lang w:eastAsia="zh-CN"/>
        </w:rPr>
        <w:t xml:space="preserve"> on the delay time as a function of probe voltage </w:t>
      </w:r>
      <w:r>
        <w:rPr>
          <w:rFonts w:eastAsia="宋体"/>
          <w:i/>
          <w:szCs w:val="24"/>
          <w:lang w:eastAsia="zh-CN"/>
        </w:rPr>
        <w:t>V</w:t>
      </w:r>
      <w:r>
        <w:rPr>
          <w:rFonts w:eastAsia="宋体"/>
          <w:szCs w:val="24"/>
          <w:vertAlign w:val="subscript"/>
          <w:lang w:eastAsia="zh-CN"/>
        </w:rPr>
        <w:t>probe</w:t>
      </w:r>
      <w:r>
        <w:rPr>
          <w:rFonts w:eastAsia="宋体"/>
          <w:szCs w:val="24"/>
          <w:lang w:eastAsia="zh-CN"/>
        </w:rPr>
        <w:t xml:space="preserve"> at a </w:t>
      </w:r>
      <w:bookmarkStart w:id="6" w:name="_Hlk161690897"/>
      <w:r>
        <w:rPr>
          <w:rFonts w:hint="eastAsia" w:eastAsia="宋体"/>
          <w:szCs w:val="24"/>
          <w:lang w:eastAsia="zh-CN"/>
        </w:rPr>
        <w:t>continuous</w:t>
      </w:r>
      <w:bookmarkEnd w:id="6"/>
      <w:r>
        <w:rPr>
          <w:rFonts w:eastAsia="宋体"/>
          <w:szCs w:val="24"/>
          <w:lang w:eastAsia="zh-CN"/>
        </w:rPr>
        <w:t xml:space="preserve"> </w:t>
      </w:r>
      <w:r>
        <w:rPr>
          <w:rFonts w:eastAsia="宋体"/>
          <w:i/>
          <w:szCs w:val="24"/>
          <w:lang w:eastAsia="zh-CN"/>
        </w:rPr>
        <w:t>V</w:t>
      </w:r>
      <w:r>
        <w:rPr>
          <w:rFonts w:eastAsia="宋体"/>
          <w:szCs w:val="24"/>
          <w:vertAlign w:val="subscript"/>
          <w:lang w:eastAsia="zh-CN"/>
        </w:rPr>
        <w:t>G</w:t>
      </w:r>
      <w:r>
        <w:rPr>
          <w:rFonts w:hint="eastAsia" w:eastAsia="宋体"/>
          <w:szCs w:val="24"/>
          <w:vertAlign w:val="subscript"/>
          <w:lang w:eastAsia="zh-CN"/>
        </w:rPr>
        <w:t xml:space="preserve"> </w:t>
      </w:r>
      <w:r>
        <w:rPr>
          <w:rFonts w:eastAsia="宋体"/>
          <w:szCs w:val="24"/>
          <w:lang w:eastAsia="zh-CN"/>
        </w:rPr>
        <w:t xml:space="preserve">= 0 V. </w:t>
      </w:r>
      <w:r>
        <w:rPr>
          <w:rFonts w:eastAsia="宋体"/>
          <w:b/>
          <w:szCs w:val="24"/>
          <w:lang w:eastAsia="zh-CN"/>
        </w:rPr>
        <w:t>d</w:t>
      </w:r>
      <w:r>
        <w:rPr>
          <w:rFonts w:hint="eastAsia" w:eastAsia="宋体"/>
          <w:bCs/>
          <w:szCs w:val="24"/>
          <w:lang w:eastAsia="zh-CN"/>
        </w:rPr>
        <w:t xml:space="preserve">, </w:t>
      </w:r>
      <w:r>
        <w:rPr>
          <w:rFonts w:eastAsia="宋体"/>
          <w:bCs/>
          <w:szCs w:val="24"/>
          <w:lang w:eastAsia="zh-CN"/>
        </w:rPr>
        <w:t xml:space="preserve">Transient differential conductance spectroscopy </w:t>
      </w:r>
      <w:r>
        <w:rPr>
          <w:rFonts w:hint="eastAsia" w:eastAsia="宋体"/>
          <w:bCs/>
          <w:i/>
          <w:szCs w:val="24"/>
          <w:lang w:eastAsia="zh-CN"/>
        </w:rPr>
        <w:t>G</w:t>
      </w:r>
      <w:r>
        <w:rPr>
          <w:rFonts w:eastAsia="宋体"/>
          <w:bCs/>
          <w:szCs w:val="24"/>
          <w:vertAlign w:val="subscript"/>
          <w:lang w:eastAsia="zh-CN"/>
        </w:rPr>
        <w:t>transient</w:t>
      </w:r>
      <w:r>
        <w:rPr>
          <w:rFonts w:eastAsia="宋体"/>
          <w:bCs/>
          <w:szCs w:val="24"/>
          <w:lang w:eastAsia="zh-CN"/>
        </w:rPr>
        <w:t xml:space="preserve"> (d</w:t>
      </w:r>
      <w:r>
        <w:rPr>
          <w:rFonts w:eastAsia="宋体"/>
          <w:bCs/>
          <w:i/>
          <w:szCs w:val="24"/>
          <w:lang w:eastAsia="zh-CN"/>
        </w:rPr>
        <w:t>I</w:t>
      </w:r>
      <w:r>
        <w:rPr>
          <w:rFonts w:eastAsia="宋体"/>
          <w:bCs/>
          <w:szCs w:val="24"/>
          <w:vertAlign w:val="subscript"/>
          <w:lang w:eastAsia="zh-CN"/>
        </w:rPr>
        <w:t>probe</w:t>
      </w:r>
      <w:r>
        <w:rPr>
          <w:rFonts w:eastAsia="宋体"/>
          <w:bCs/>
          <w:szCs w:val="24"/>
          <w:lang w:eastAsia="zh-CN"/>
        </w:rPr>
        <w:t>/d</w:t>
      </w:r>
      <w:r>
        <w:rPr>
          <w:rFonts w:eastAsia="宋体"/>
          <w:bCs/>
          <w:i/>
          <w:szCs w:val="24"/>
          <w:lang w:eastAsia="zh-CN"/>
        </w:rPr>
        <w:t>V</w:t>
      </w:r>
      <w:r>
        <w:rPr>
          <w:rFonts w:eastAsia="宋体"/>
          <w:bCs/>
          <w:szCs w:val="24"/>
          <w:vertAlign w:val="subscript"/>
          <w:lang w:eastAsia="zh-CN"/>
        </w:rPr>
        <w:t>probe</w:t>
      </w:r>
      <w:r>
        <w:rPr>
          <w:rFonts w:eastAsia="宋体"/>
          <w:bCs/>
          <w:szCs w:val="24"/>
          <w:lang w:eastAsia="zh-CN"/>
        </w:rPr>
        <w:t>) of graphene tunneling junction.</w:t>
      </w:r>
    </w:p>
    <w:p w14:paraId="65B62F2A">
      <w:pPr>
        <w:jc w:val="center"/>
        <w:rPr>
          <w:rFonts w:eastAsia="宋体"/>
          <w:sz w:val="21"/>
          <w:szCs w:val="21"/>
          <w:lang w:eastAsia="zh-CN"/>
        </w:rPr>
      </w:pPr>
      <w:r>
        <w:rPr>
          <w:rFonts w:eastAsia="宋体"/>
          <w:sz w:val="22"/>
          <w:szCs w:val="22"/>
          <w:lang w:eastAsia="zh-CN"/>
        </w:rPr>
        <w:drawing>
          <wp:inline distT="0" distB="0" distL="0" distR="0">
            <wp:extent cx="5409565" cy="2611755"/>
            <wp:effectExtent l="0" t="0" r="635" b="0"/>
            <wp:docPr id="368142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4210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t="2835"/>
                    <a:stretch>
                      <a:fillRect/>
                    </a:stretch>
                  </pic:blipFill>
                  <pic:spPr>
                    <a:xfrm>
                      <a:off x="0" y="0"/>
                      <a:ext cx="5420550" cy="2616962"/>
                    </a:xfrm>
                    <a:prstGeom prst="rect">
                      <a:avLst/>
                    </a:prstGeom>
                    <a:noFill/>
                    <a:ln>
                      <a:noFill/>
                    </a:ln>
                  </pic:spPr>
                </pic:pic>
              </a:graphicData>
            </a:graphic>
          </wp:inline>
        </w:drawing>
      </w:r>
    </w:p>
    <w:p w14:paraId="193C3FD1">
      <w:pPr>
        <w:jc w:val="both"/>
        <w:rPr>
          <w:rFonts w:eastAsia="宋体"/>
          <w:b/>
          <w:szCs w:val="24"/>
          <w:lang w:eastAsia="zh-CN"/>
        </w:rPr>
      </w:pPr>
      <w:r>
        <w:rPr>
          <w:rFonts w:eastAsia="宋体"/>
          <w:b/>
          <w:szCs w:val="24"/>
          <w:lang w:eastAsia="zh-CN"/>
        </w:rPr>
        <w:t xml:space="preserve">Fig. S16 The differential conductance (right panel) derived from </w:t>
      </w:r>
      <w:r>
        <w:rPr>
          <w:rFonts w:eastAsia="宋体"/>
          <w:b/>
          <w:i/>
          <w:szCs w:val="24"/>
          <w:lang w:eastAsia="zh-CN"/>
        </w:rPr>
        <w:t>I</w:t>
      </w:r>
      <w:r>
        <w:rPr>
          <w:rFonts w:eastAsia="宋体"/>
          <w:b/>
          <w:szCs w:val="24"/>
          <w:vertAlign w:val="subscript"/>
          <w:lang w:eastAsia="zh-CN"/>
        </w:rPr>
        <w:t>probe</w:t>
      </w:r>
      <w:r>
        <w:rPr>
          <w:rFonts w:eastAsia="宋体"/>
          <w:b/>
          <w:szCs w:val="24"/>
          <w:lang w:eastAsia="zh-CN"/>
        </w:rPr>
        <w:t>-</w:t>
      </w:r>
      <w:r>
        <w:rPr>
          <w:rFonts w:eastAsia="宋体"/>
          <w:b/>
          <w:i/>
          <w:szCs w:val="24"/>
          <w:lang w:eastAsia="zh-CN"/>
        </w:rPr>
        <w:t>V</w:t>
      </w:r>
      <w:r>
        <w:rPr>
          <w:rFonts w:eastAsia="宋体"/>
          <w:b/>
          <w:szCs w:val="24"/>
          <w:vertAlign w:val="subscript"/>
          <w:lang w:eastAsia="zh-CN"/>
        </w:rPr>
        <w:t>probe</w:t>
      </w:r>
      <w:r>
        <w:rPr>
          <w:rFonts w:eastAsia="宋体"/>
          <w:b/>
          <w:szCs w:val="24"/>
          <w:lang w:eastAsia="zh-CN"/>
        </w:rPr>
        <w:t xml:space="preserve"> curves (left panel) before (black) and after (blue) smoothing </w:t>
      </w:r>
      <w:r>
        <w:rPr>
          <w:rFonts w:hint="eastAsia" w:eastAsia="宋体"/>
          <w:szCs w:val="24"/>
          <w:lang w:eastAsia="zh-CN"/>
        </w:rPr>
        <w:t>The</w:t>
      </w:r>
      <w:r>
        <w:rPr>
          <w:rFonts w:eastAsia="宋体"/>
          <w:szCs w:val="24"/>
          <w:lang w:eastAsia="zh-CN"/>
        </w:rPr>
        <w:t xml:space="preserve"> red dashed lines indicate the movement of resonance peak over time.</w:t>
      </w:r>
    </w:p>
    <w:p w14:paraId="3768FB6F">
      <w:pPr>
        <w:spacing w:line="360" w:lineRule="auto"/>
        <w:jc w:val="center"/>
        <w:rPr>
          <w:rFonts w:eastAsia="宋体"/>
          <w:szCs w:val="24"/>
          <w:lang w:val="de-DE" w:eastAsia="zh-CN"/>
        </w:rPr>
      </w:pPr>
      <w:r>
        <w:rPr>
          <w:rFonts w:eastAsia="宋体"/>
          <w:szCs w:val="24"/>
          <w:lang w:eastAsia="zh-CN"/>
        </w:rPr>
        <w:drawing>
          <wp:inline distT="0" distB="0" distL="0" distR="0">
            <wp:extent cx="2969260" cy="2272665"/>
            <wp:effectExtent l="0" t="0" r="2540" b="0"/>
            <wp:docPr id="2048730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3063"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9260" cy="2273108"/>
                    </a:xfrm>
                    <a:prstGeom prst="rect">
                      <a:avLst/>
                    </a:prstGeom>
                    <a:noFill/>
                    <a:ln>
                      <a:noFill/>
                    </a:ln>
                  </pic:spPr>
                </pic:pic>
              </a:graphicData>
            </a:graphic>
          </wp:inline>
        </w:drawing>
      </w:r>
    </w:p>
    <w:p w14:paraId="08B96DB4">
      <w:pPr>
        <w:rPr>
          <w:rFonts w:eastAsia="宋体"/>
          <w:b/>
          <w:szCs w:val="24"/>
          <w:lang w:eastAsia="zh-CN"/>
        </w:rPr>
      </w:pPr>
      <w:r>
        <w:rPr>
          <w:rFonts w:eastAsia="宋体"/>
          <w:b/>
          <w:szCs w:val="24"/>
          <w:lang w:eastAsia="zh-CN"/>
        </w:rPr>
        <w:t>Fig. S17 The time evolution of energy space between P</w:t>
      </w:r>
      <w:r>
        <w:rPr>
          <w:rFonts w:hint="eastAsia" w:eastAsia="宋体"/>
          <w:b/>
          <w:szCs w:val="24"/>
          <w:lang w:eastAsia="zh-CN"/>
        </w:rPr>
        <w:t>eak</w:t>
      </w:r>
      <w:r>
        <w:rPr>
          <w:rFonts w:eastAsia="宋体"/>
          <w:b/>
          <w:szCs w:val="24"/>
          <w:lang w:eastAsia="zh-CN"/>
        </w:rPr>
        <w:t xml:space="preserve"> 2 and Peak 3 shown in Fig. 4b</w:t>
      </w:r>
    </w:p>
    <w:p w14:paraId="482C3D1A">
      <w:pPr>
        <w:pStyle w:val="101"/>
        <w:rPr>
          <w:b/>
        </w:rPr>
      </w:pPr>
      <w:r>
        <w:rPr>
          <w:rFonts w:eastAsia="宋体"/>
          <w:b/>
          <w:lang w:eastAsia="zh-CN"/>
        </w:rPr>
        <w:br w:type="page"/>
      </w:r>
      <w:r>
        <w:rPr>
          <w:b/>
        </w:rPr>
        <w:t xml:space="preserve">Section </w:t>
      </w:r>
      <w:r>
        <w:rPr>
          <w:b/>
          <w:lang w:eastAsia="zh-CN"/>
        </w:rPr>
        <w:t>Ⅳ</w:t>
      </w:r>
      <w:r>
        <w:rPr>
          <w:b/>
        </w:rPr>
        <w:t>. Details of Methods</w:t>
      </w:r>
    </w:p>
    <w:p w14:paraId="780ABF9F">
      <w:pPr>
        <w:spacing w:after="120"/>
        <w:jc w:val="both"/>
        <w:rPr>
          <w:rFonts w:eastAsia="宋体"/>
          <w:szCs w:val="24"/>
          <w:lang w:eastAsia="zh-CN"/>
        </w:rPr>
      </w:pPr>
      <w:r>
        <w:rPr>
          <w:rFonts w:eastAsia="宋体"/>
          <w:szCs w:val="24"/>
          <w:lang w:eastAsia="zh-CN"/>
        </w:rPr>
        <w:t xml:space="preserve">As shown in </w:t>
      </w:r>
      <w:r>
        <w:rPr>
          <w:rFonts w:eastAsia="宋体"/>
          <w:b/>
          <w:szCs w:val="24"/>
          <w:lang w:eastAsia="zh-CN"/>
        </w:rPr>
        <w:t>Fig. S18a</w:t>
      </w:r>
      <w:r>
        <w:rPr>
          <w:rFonts w:eastAsia="宋体"/>
          <w:szCs w:val="24"/>
          <w:lang w:eastAsia="zh-CN"/>
        </w:rPr>
        <w:t xml:space="preserve">, the alkane branched chains of </w:t>
      </w:r>
      <w:r>
        <w:rPr>
          <w:rFonts w:eastAsia="宋体"/>
          <w:b/>
          <w:szCs w:val="24"/>
          <w:lang w:eastAsia="zh-CN"/>
        </w:rPr>
        <w:t>BP</w:t>
      </w:r>
      <w:r>
        <w:rPr>
          <w:rFonts w:eastAsia="宋体"/>
          <w:szCs w:val="24"/>
          <w:lang w:eastAsia="zh-CN"/>
        </w:rPr>
        <w:t xml:space="preserve"> molecule was simplified due to its small impact on energy levels but not conducive to convergence during optimization. We considered various initial structures of the </w:t>
      </w:r>
      <w:r>
        <w:rPr>
          <w:rFonts w:eastAsia="宋体"/>
          <w:b/>
          <w:szCs w:val="24"/>
          <w:lang w:eastAsia="zh-CN"/>
        </w:rPr>
        <w:t>BP</w:t>
      </w:r>
      <w:r>
        <w:rPr>
          <w:rFonts w:eastAsia="宋体"/>
          <w:szCs w:val="24"/>
          <w:lang w:eastAsia="zh-CN"/>
        </w:rPr>
        <w:t xml:space="preserve"> molecule, the configuration with the symmetry of C</w:t>
      </w:r>
      <w:r>
        <w:rPr>
          <w:rFonts w:eastAsia="宋体"/>
          <w:szCs w:val="24"/>
          <w:vertAlign w:val="subscript"/>
          <w:lang w:eastAsia="zh-CN"/>
        </w:rPr>
        <w:t>2h</w:t>
      </w:r>
      <w:r>
        <w:rPr>
          <w:rFonts w:eastAsia="宋体"/>
          <w:szCs w:val="24"/>
          <w:lang w:eastAsia="zh-CN"/>
        </w:rPr>
        <w:t xml:space="preserve"> has the lowest energy after relaxation (</w:t>
      </w:r>
      <w:r>
        <w:rPr>
          <w:rFonts w:eastAsia="宋体"/>
          <w:b/>
          <w:szCs w:val="24"/>
          <w:lang w:eastAsia="zh-CN"/>
        </w:rPr>
        <w:t>Fig. S18b</w:t>
      </w:r>
      <w:r>
        <w:rPr>
          <w:rFonts w:eastAsia="宋体"/>
          <w:szCs w:val="24"/>
          <w:lang w:eastAsia="zh-CN"/>
        </w:rPr>
        <w:t xml:space="preserve">). Then, the energy levels and electron distribution of </w:t>
      </w:r>
      <w:r>
        <w:rPr>
          <w:rFonts w:eastAsia="宋体"/>
          <w:b/>
          <w:szCs w:val="24"/>
          <w:lang w:eastAsia="zh-CN"/>
        </w:rPr>
        <w:t>BP</w:t>
      </w:r>
      <w:r>
        <w:rPr>
          <w:rFonts w:eastAsia="宋体"/>
          <w:szCs w:val="24"/>
          <w:lang w:eastAsia="zh-CN"/>
        </w:rPr>
        <w:t xml:space="preserve"> molecular frontier orbitals are also calculated and shown in </w:t>
      </w:r>
      <w:r>
        <w:rPr>
          <w:rFonts w:eastAsia="宋体"/>
          <w:b/>
          <w:szCs w:val="24"/>
          <w:lang w:eastAsia="zh-CN"/>
        </w:rPr>
        <w:t>Fig. S18c</w:t>
      </w:r>
      <w:r>
        <w:rPr>
          <w:rFonts w:eastAsia="宋体"/>
          <w:szCs w:val="24"/>
          <w:lang w:eastAsia="zh-CN"/>
        </w:rPr>
        <w:t>. The calculated energy difference of HOMO and LUMO is 2.73 eV, which is consistent with the bandgap of 2.71 eV observed in the Ultraviolet-Visible spectrum (</w:t>
      </w:r>
      <w:r>
        <w:rPr>
          <w:rFonts w:eastAsia="宋体"/>
          <w:b/>
          <w:szCs w:val="24"/>
          <w:lang w:eastAsia="zh-CN"/>
        </w:rPr>
        <w:t>Fig. S8</w:t>
      </w:r>
      <w:r>
        <w:rPr>
          <w:rFonts w:eastAsia="宋体"/>
          <w:szCs w:val="24"/>
          <w:lang w:eastAsia="zh-CN"/>
        </w:rPr>
        <w:t xml:space="preserve">). </w:t>
      </w:r>
    </w:p>
    <w:p w14:paraId="5A21E81C">
      <w:pPr>
        <w:jc w:val="both"/>
        <w:rPr>
          <w:rFonts w:eastAsia="宋体"/>
          <w:szCs w:val="24"/>
          <w:lang w:eastAsia="zh-CN"/>
        </w:rPr>
      </w:pPr>
      <w:r>
        <w:rPr>
          <w:rFonts w:eastAsia="宋体"/>
          <w:szCs w:val="24"/>
          <w:lang w:eastAsia="zh-CN"/>
        </w:rPr>
        <w:t xml:space="preserve">For neutral molecule, the excitation energies of the lowest three excited states are calculated by TDDFT method adopted in Gaussian 16, with </w:t>
      </w:r>
      <w:r>
        <w:rPr>
          <w:rFonts w:eastAsia="宋体"/>
          <w:i/>
          <w:iCs/>
          <w:szCs w:val="24"/>
          <w:lang w:eastAsia="zh-CN"/>
        </w:rPr>
        <w:t>T</w:t>
      </w:r>
      <w:r>
        <w:rPr>
          <w:rFonts w:eastAsia="宋体"/>
          <w:szCs w:val="24"/>
          <w:vertAlign w:val="subscript"/>
          <w:lang w:eastAsia="zh-CN"/>
        </w:rPr>
        <w:t>1</w:t>
      </w:r>
      <w:r>
        <w:rPr>
          <w:rFonts w:eastAsia="宋体"/>
          <w:szCs w:val="24"/>
          <w:lang w:eastAsia="zh-CN"/>
        </w:rPr>
        <w:t xml:space="preserve"> </w:t>
      </w:r>
      <w:r>
        <w:rPr>
          <w:rFonts w:eastAsia="宋体"/>
          <w:szCs w:val="24"/>
          <w:lang w:val="de-DE" w:eastAsia="zh-CN"/>
        </w:rPr>
        <w:sym w:font="Symbol" w:char="F02D"/>
      </w:r>
      <w:r>
        <w:rPr>
          <w:rFonts w:eastAsia="宋体"/>
          <w:szCs w:val="24"/>
          <w:lang w:eastAsia="zh-CN"/>
        </w:rPr>
        <w:t xml:space="preserve"> </w:t>
      </w:r>
      <w:r>
        <w:rPr>
          <w:rFonts w:eastAsia="宋体"/>
          <w:i/>
          <w:iCs/>
          <w:szCs w:val="24"/>
          <w:lang w:eastAsia="zh-CN"/>
        </w:rPr>
        <w:t>S</w:t>
      </w:r>
      <w:r>
        <w:rPr>
          <w:rFonts w:eastAsia="宋体"/>
          <w:szCs w:val="24"/>
          <w:vertAlign w:val="subscript"/>
          <w:lang w:eastAsia="zh-CN"/>
        </w:rPr>
        <w:t>0</w:t>
      </w:r>
      <w:r>
        <w:rPr>
          <w:rFonts w:eastAsia="宋体"/>
          <w:szCs w:val="24"/>
          <w:lang w:eastAsia="zh-CN"/>
        </w:rPr>
        <w:t xml:space="preserve"> = 1.65 eV, </w:t>
      </w:r>
      <w:r>
        <w:rPr>
          <w:rFonts w:eastAsia="宋体"/>
          <w:i/>
          <w:iCs/>
          <w:szCs w:val="24"/>
          <w:lang w:eastAsia="zh-CN"/>
        </w:rPr>
        <w:t>T</w:t>
      </w:r>
      <w:r>
        <w:rPr>
          <w:rFonts w:eastAsia="宋体"/>
          <w:szCs w:val="24"/>
          <w:vertAlign w:val="subscript"/>
          <w:lang w:eastAsia="zh-CN"/>
        </w:rPr>
        <w:t>2</w:t>
      </w:r>
      <w:r>
        <w:rPr>
          <w:rFonts w:eastAsia="宋体"/>
          <w:szCs w:val="24"/>
          <w:lang w:eastAsia="zh-CN"/>
        </w:rPr>
        <w:t xml:space="preserve"> </w:t>
      </w:r>
      <w:r>
        <w:rPr>
          <w:rFonts w:eastAsia="宋体"/>
          <w:szCs w:val="24"/>
          <w:lang w:val="de-DE" w:eastAsia="zh-CN"/>
        </w:rPr>
        <w:sym w:font="Symbol" w:char="F02D"/>
      </w:r>
      <w:r>
        <w:rPr>
          <w:rFonts w:eastAsia="宋体"/>
          <w:szCs w:val="24"/>
          <w:lang w:eastAsia="zh-CN"/>
        </w:rPr>
        <w:t xml:space="preserve"> </w:t>
      </w:r>
      <w:r>
        <w:rPr>
          <w:rFonts w:eastAsia="宋体"/>
          <w:i/>
          <w:iCs/>
          <w:szCs w:val="24"/>
          <w:lang w:eastAsia="zh-CN"/>
        </w:rPr>
        <w:t>S</w:t>
      </w:r>
      <w:r>
        <w:rPr>
          <w:rFonts w:eastAsia="宋体"/>
          <w:szCs w:val="24"/>
          <w:vertAlign w:val="subscript"/>
          <w:lang w:eastAsia="zh-CN"/>
        </w:rPr>
        <w:t>0</w:t>
      </w:r>
      <w:r>
        <w:rPr>
          <w:rFonts w:eastAsia="宋体"/>
          <w:szCs w:val="24"/>
          <w:lang w:eastAsia="zh-CN"/>
        </w:rPr>
        <w:t xml:space="preserve"> = 1.89 eV, </w:t>
      </w:r>
      <w:r>
        <w:rPr>
          <w:rFonts w:eastAsia="宋体"/>
          <w:i/>
          <w:iCs/>
          <w:szCs w:val="24"/>
          <w:lang w:eastAsia="zh-CN"/>
        </w:rPr>
        <w:t>S</w:t>
      </w:r>
      <w:r>
        <w:rPr>
          <w:rFonts w:eastAsia="宋体"/>
          <w:szCs w:val="24"/>
          <w:vertAlign w:val="subscript"/>
          <w:lang w:eastAsia="zh-CN"/>
        </w:rPr>
        <w:t>1</w:t>
      </w:r>
      <w:r>
        <w:rPr>
          <w:rFonts w:eastAsia="宋体"/>
          <w:szCs w:val="24"/>
          <w:lang w:eastAsia="zh-CN"/>
        </w:rPr>
        <w:t xml:space="preserve"> </w:t>
      </w:r>
      <w:r>
        <w:rPr>
          <w:rFonts w:eastAsia="宋体"/>
          <w:szCs w:val="24"/>
          <w:lang w:val="de-DE" w:eastAsia="zh-CN"/>
        </w:rPr>
        <w:sym w:font="Symbol" w:char="F02D"/>
      </w:r>
      <w:r>
        <w:rPr>
          <w:rFonts w:eastAsia="宋体"/>
          <w:szCs w:val="24"/>
          <w:lang w:eastAsia="zh-CN"/>
        </w:rPr>
        <w:t xml:space="preserve"> </w:t>
      </w:r>
      <w:r>
        <w:rPr>
          <w:rFonts w:eastAsia="宋体"/>
          <w:i/>
          <w:iCs/>
          <w:szCs w:val="24"/>
          <w:lang w:eastAsia="zh-CN"/>
        </w:rPr>
        <w:t>S</w:t>
      </w:r>
      <w:r>
        <w:rPr>
          <w:rFonts w:eastAsia="宋体"/>
          <w:szCs w:val="24"/>
          <w:vertAlign w:val="subscript"/>
          <w:lang w:eastAsia="zh-CN"/>
        </w:rPr>
        <w:t>0</w:t>
      </w:r>
      <w:r>
        <w:rPr>
          <w:rFonts w:eastAsia="宋体"/>
          <w:szCs w:val="24"/>
          <w:lang w:eastAsia="zh-CN"/>
        </w:rPr>
        <w:t xml:space="preserve"> = 2.50 eV. We also calculate the energy of </w:t>
      </w:r>
      <w:r>
        <w:rPr>
          <w:rFonts w:eastAsia="宋体"/>
          <w:i/>
          <w:iCs/>
          <w:szCs w:val="24"/>
          <w:lang w:eastAsia="zh-CN"/>
        </w:rPr>
        <w:t>T</w:t>
      </w:r>
      <w:r>
        <w:rPr>
          <w:rFonts w:eastAsia="宋体"/>
          <w:szCs w:val="24"/>
          <w:vertAlign w:val="subscript"/>
          <w:lang w:eastAsia="zh-CN"/>
        </w:rPr>
        <w:t>1</w:t>
      </w:r>
      <w:r>
        <w:rPr>
          <w:rFonts w:eastAsia="宋体"/>
          <w:szCs w:val="24"/>
          <w:lang w:eastAsia="zh-CN"/>
        </w:rPr>
        <w:t xml:space="preserve"> state by DFT method adopted in Gaussian 16, with </w:t>
      </w:r>
      <w:r>
        <w:rPr>
          <w:rFonts w:eastAsia="宋体"/>
          <w:i/>
          <w:iCs/>
          <w:szCs w:val="24"/>
          <w:lang w:eastAsia="zh-CN"/>
        </w:rPr>
        <w:t>T</w:t>
      </w:r>
      <w:r>
        <w:rPr>
          <w:rFonts w:eastAsia="宋体"/>
          <w:szCs w:val="24"/>
          <w:vertAlign w:val="subscript"/>
          <w:lang w:eastAsia="zh-CN"/>
        </w:rPr>
        <w:t>1</w:t>
      </w:r>
      <w:r>
        <w:rPr>
          <w:rFonts w:eastAsia="宋体"/>
          <w:szCs w:val="24"/>
          <w:lang w:eastAsia="zh-CN"/>
        </w:rPr>
        <w:t xml:space="preserve"> – </w:t>
      </w:r>
      <w:r>
        <w:rPr>
          <w:rFonts w:eastAsia="宋体"/>
          <w:i/>
          <w:iCs/>
          <w:szCs w:val="24"/>
          <w:lang w:eastAsia="zh-CN"/>
        </w:rPr>
        <w:t>S</w:t>
      </w:r>
      <w:r>
        <w:rPr>
          <w:rFonts w:eastAsia="宋体"/>
          <w:szCs w:val="24"/>
          <w:vertAlign w:val="subscript"/>
          <w:lang w:eastAsia="zh-CN"/>
        </w:rPr>
        <w:t>0</w:t>
      </w:r>
      <w:r>
        <w:rPr>
          <w:rFonts w:eastAsia="宋体"/>
          <w:szCs w:val="24"/>
          <w:lang w:eastAsia="zh-CN"/>
        </w:rPr>
        <w:t xml:space="preserve"> = 1.71 eV, which is consistent with the TDDFT results. The excitation energies of the lowest three excited state for </w:t>
      </w:r>
      <w:r>
        <w:rPr>
          <w:rFonts w:eastAsia="宋体"/>
          <w:b/>
          <w:szCs w:val="24"/>
          <w:lang w:eastAsia="zh-CN"/>
        </w:rPr>
        <w:t>BP</w:t>
      </w:r>
      <w:r>
        <w:rPr>
          <w:rFonts w:eastAsia="宋体"/>
          <w:b/>
          <w:bCs/>
          <w:szCs w:val="24"/>
          <w:vertAlign w:val="superscript"/>
          <w:lang w:eastAsia="zh-CN"/>
        </w:rPr>
        <w:t>+</w:t>
      </w:r>
      <w:r>
        <w:rPr>
          <w:rFonts w:eastAsia="宋体"/>
          <w:szCs w:val="24"/>
          <w:lang w:eastAsia="zh-CN"/>
        </w:rPr>
        <w:t xml:space="preserve"> are calculated to be </w:t>
      </w:r>
      <w:r>
        <w:rPr>
          <w:rFonts w:eastAsia="宋体"/>
          <w:i/>
          <w:iCs/>
          <w:szCs w:val="24"/>
          <w:lang w:eastAsia="zh-CN"/>
        </w:rPr>
        <w:t>D</w:t>
      </w:r>
      <w:r>
        <w:rPr>
          <w:rFonts w:eastAsia="宋体"/>
          <w:szCs w:val="24"/>
          <w:vertAlign w:val="subscript"/>
          <w:lang w:eastAsia="zh-CN"/>
        </w:rPr>
        <w:t>1</w:t>
      </w:r>
      <w:r>
        <w:rPr>
          <w:rFonts w:eastAsia="宋体"/>
          <w:szCs w:val="24"/>
          <w:vertAlign w:val="superscript"/>
          <w:lang w:eastAsia="zh-CN"/>
        </w:rPr>
        <w:t>+</w:t>
      </w:r>
      <w:r>
        <w:rPr>
          <w:rFonts w:eastAsia="宋体"/>
          <w:szCs w:val="24"/>
          <w:lang w:eastAsia="zh-CN"/>
        </w:rPr>
        <w:t xml:space="preserve"> </w:t>
      </w:r>
      <w:r>
        <w:rPr>
          <w:rFonts w:eastAsia="宋体"/>
          <w:szCs w:val="24"/>
          <w:lang w:val="de-DE" w:eastAsia="zh-CN"/>
        </w:rPr>
        <w:sym w:font="Symbol" w:char="F02D"/>
      </w:r>
      <w:r>
        <w:rPr>
          <w:rFonts w:eastAsia="宋体"/>
          <w:szCs w:val="24"/>
          <w:lang w:eastAsia="zh-CN"/>
        </w:rPr>
        <w:t xml:space="preserve"> </w:t>
      </w:r>
      <w:r>
        <w:rPr>
          <w:rFonts w:eastAsia="宋体"/>
          <w:i/>
          <w:iCs/>
          <w:szCs w:val="24"/>
          <w:lang w:eastAsia="zh-CN"/>
        </w:rPr>
        <w:t>D</w:t>
      </w:r>
      <w:r>
        <w:rPr>
          <w:rFonts w:eastAsia="宋体"/>
          <w:szCs w:val="24"/>
          <w:vertAlign w:val="subscript"/>
          <w:lang w:eastAsia="zh-CN"/>
        </w:rPr>
        <w:t>0</w:t>
      </w:r>
      <w:r>
        <w:rPr>
          <w:rFonts w:eastAsia="宋体"/>
          <w:szCs w:val="24"/>
          <w:vertAlign w:val="superscript"/>
          <w:lang w:eastAsia="zh-CN"/>
        </w:rPr>
        <w:t>+</w:t>
      </w:r>
      <w:r>
        <w:rPr>
          <w:rFonts w:eastAsia="宋体"/>
          <w:szCs w:val="24"/>
          <w:lang w:eastAsia="zh-CN"/>
        </w:rPr>
        <w:t xml:space="preserve"> = 0.82 eV</w:t>
      </w:r>
      <w:r>
        <w:rPr>
          <w:rFonts w:hint="eastAsia" w:eastAsia="宋体"/>
          <w:szCs w:val="24"/>
          <w:lang w:eastAsia="zh-CN"/>
        </w:rPr>
        <w:t>,</w:t>
      </w:r>
      <w:r>
        <w:rPr>
          <w:rFonts w:eastAsia="宋体"/>
          <w:szCs w:val="24"/>
          <w:lang w:eastAsia="zh-CN"/>
        </w:rPr>
        <w:t xml:space="preserve"> </w:t>
      </w:r>
      <w:r>
        <w:rPr>
          <w:rFonts w:eastAsia="宋体"/>
          <w:i/>
          <w:iCs/>
          <w:szCs w:val="24"/>
          <w:lang w:eastAsia="zh-CN"/>
        </w:rPr>
        <w:t>D</w:t>
      </w:r>
      <w:r>
        <w:rPr>
          <w:rFonts w:eastAsia="宋体"/>
          <w:szCs w:val="24"/>
          <w:vertAlign w:val="subscript"/>
          <w:lang w:eastAsia="zh-CN"/>
        </w:rPr>
        <w:t>2</w:t>
      </w:r>
      <w:r>
        <w:rPr>
          <w:rFonts w:eastAsia="宋体"/>
          <w:szCs w:val="24"/>
          <w:vertAlign w:val="superscript"/>
          <w:lang w:eastAsia="zh-CN"/>
        </w:rPr>
        <w:t>+</w:t>
      </w:r>
      <w:r>
        <w:rPr>
          <w:rFonts w:eastAsia="宋体"/>
          <w:szCs w:val="24"/>
          <w:lang w:eastAsia="zh-CN"/>
        </w:rPr>
        <w:t xml:space="preserve"> </w:t>
      </w:r>
      <w:r>
        <w:rPr>
          <w:rFonts w:eastAsia="宋体"/>
          <w:szCs w:val="24"/>
          <w:lang w:val="de-DE" w:eastAsia="zh-CN"/>
        </w:rPr>
        <w:sym w:font="Symbol" w:char="F02D"/>
      </w:r>
      <w:r>
        <w:rPr>
          <w:rFonts w:eastAsia="宋体"/>
          <w:szCs w:val="24"/>
          <w:lang w:eastAsia="zh-CN"/>
        </w:rPr>
        <w:t xml:space="preserve"> </w:t>
      </w:r>
      <w:r>
        <w:rPr>
          <w:rFonts w:eastAsia="宋体"/>
          <w:i/>
          <w:iCs/>
          <w:szCs w:val="24"/>
          <w:lang w:eastAsia="zh-CN"/>
        </w:rPr>
        <w:t>D</w:t>
      </w:r>
      <w:r>
        <w:rPr>
          <w:rFonts w:eastAsia="宋体"/>
          <w:szCs w:val="24"/>
          <w:vertAlign w:val="subscript"/>
          <w:lang w:eastAsia="zh-CN"/>
        </w:rPr>
        <w:t>0</w:t>
      </w:r>
      <w:r>
        <w:rPr>
          <w:rFonts w:eastAsia="宋体"/>
          <w:szCs w:val="24"/>
          <w:vertAlign w:val="superscript"/>
          <w:lang w:eastAsia="zh-CN"/>
        </w:rPr>
        <w:t>+</w:t>
      </w:r>
      <w:r>
        <w:rPr>
          <w:rFonts w:eastAsia="宋体"/>
          <w:szCs w:val="24"/>
          <w:lang w:eastAsia="zh-CN"/>
        </w:rPr>
        <w:t xml:space="preserve"> = 1.11 eV</w:t>
      </w:r>
      <w:r>
        <w:rPr>
          <w:rFonts w:hint="eastAsia" w:eastAsia="宋体"/>
          <w:szCs w:val="24"/>
          <w:lang w:eastAsia="zh-CN"/>
        </w:rPr>
        <w:t>,</w:t>
      </w:r>
      <w:r>
        <w:rPr>
          <w:rFonts w:eastAsia="宋体"/>
          <w:szCs w:val="24"/>
          <w:lang w:eastAsia="zh-CN"/>
        </w:rPr>
        <w:t xml:space="preserve"> </w:t>
      </w:r>
      <w:r>
        <w:rPr>
          <w:rFonts w:eastAsia="宋体"/>
          <w:i/>
          <w:iCs/>
          <w:szCs w:val="24"/>
          <w:lang w:eastAsia="zh-CN"/>
        </w:rPr>
        <w:t>D</w:t>
      </w:r>
      <w:r>
        <w:rPr>
          <w:rFonts w:eastAsia="宋体"/>
          <w:szCs w:val="24"/>
          <w:vertAlign w:val="subscript"/>
          <w:lang w:eastAsia="zh-CN"/>
        </w:rPr>
        <w:t>3</w:t>
      </w:r>
      <w:r>
        <w:rPr>
          <w:rFonts w:eastAsia="宋体"/>
          <w:szCs w:val="24"/>
          <w:vertAlign w:val="superscript"/>
          <w:lang w:eastAsia="zh-CN"/>
        </w:rPr>
        <w:t>+</w:t>
      </w:r>
      <w:r>
        <w:rPr>
          <w:rFonts w:eastAsia="宋体"/>
          <w:szCs w:val="24"/>
          <w:lang w:eastAsia="zh-CN"/>
        </w:rPr>
        <w:t xml:space="preserve"> </w:t>
      </w:r>
      <w:r>
        <w:rPr>
          <w:rFonts w:eastAsia="宋体"/>
          <w:szCs w:val="24"/>
          <w:lang w:val="de-DE" w:eastAsia="zh-CN"/>
        </w:rPr>
        <w:sym w:font="Symbol" w:char="F02D"/>
      </w:r>
      <w:r>
        <w:rPr>
          <w:rFonts w:eastAsia="宋体"/>
          <w:szCs w:val="24"/>
          <w:lang w:eastAsia="zh-CN"/>
        </w:rPr>
        <w:t xml:space="preserve"> </w:t>
      </w:r>
      <w:r>
        <w:rPr>
          <w:rFonts w:eastAsia="宋体"/>
          <w:i/>
          <w:iCs/>
          <w:szCs w:val="24"/>
          <w:lang w:eastAsia="zh-CN"/>
        </w:rPr>
        <w:t>D</w:t>
      </w:r>
      <w:r>
        <w:rPr>
          <w:rFonts w:eastAsia="宋体"/>
          <w:szCs w:val="24"/>
          <w:vertAlign w:val="subscript"/>
          <w:lang w:eastAsia="zh-CN"/>
        </w:rPr>
        <w:t>0</w:t>
      </w:r>
      <w:r>
        <w:rPr>
          <w:rFonts w:eastAsia="宋体"/>
          <w:szCs w:val="24"/>
          <w:vertAlign w:val="superscript"/>
          <w:lang w:eastAsia="zh-CN"/>
        </w:rPr>
        <w:t>+</w:t>
      </w:r>
      <w:r>
        <w:rPr>
          <w:rFonts w:eastAsia="宋体"/>
          <w:szCs w:val="24"/>
          <w:lang w:eastAsia="zh-CN"/>
        </w:rPr>
        <w:t xml:space="preserve"> = 1.51 eV. While the excitation energies of the lowest two excited state for </w:t>
      </w:r>
      <w:r>
        <w:rPr>
          <w:rFonts w:eastAsia="宋体"/>
          <w:b/>
          <w:szCs w:val="24"/>
          <w:lang w:eastAsia="zh-CN"/>
        </w:rPr>
        <w:t>BP</w:t>
      </w:r>
      <w:r>
        <w:rPr>
          <w:rFonts w:eastAsia="宋体"/>
          <w:b/>
          <w:bCs/>
          <w:szCs w:val="24"/>
          <w:vertAlign w:val="superscript"/>
          <w:lang w:eastAsia="zh-CN"/>
        </w:rPr>
        <w:t>2+</w:t>
      </w:r>
      <w:r>
        <w:rPr>
          <w:rFonts w:eastAsia="宋体"/>
          <w:szCs w:val="24"/>
          <w:lang w:eastAsia="zh-CN"/>
        </w:rPr>
        <w:t xml:space="preserve"> are </w:t>
      </w:r>
      <w:r>
        <w:rPr>
          <w:rFonts w:eastAsia="宋体"/>
          <w:i/>
          <w:iCs/>
          <w:szCs w:val="24"/>
          <w:lang w:eastAsia="zh-CN"/>
        </w:rPr>
        <w:t>T</w:t>
      </w:r>
      <w:r>
        <w:rPr>
          <w:rFonts w:eastAsia="宋体"/>
          <w:szCs w:val="24"/>
          <w:vertAlign w:val="subscript"/>
          <w:lang w:eastAsia="zh-CN"/>
        </w:rPr>
        <w:t>1</w:t>
      </w:r>
      <w:r>
        <w:rPr>
          <w:rFonts w:eastAsia="宋体"/>
          <w:szCs w:val="24"/>
          <w:vertAlign w:val="superscript"/>
          <w:lang w:eastAsia="zh-CN"/>
        </w:rPr>
        <w:t>2+</w:t>
      </w:r>
      <w:r>
        <w:rPr>
          <w:rFonts w:eastAsia="宋体"/>
          <w:szCs w:val="24"/>
          <w:lang w:eastAsia="zh-CN"/>
        </w:rPr>
        <w:t xml:space="preserve"> </w:t>
      </w:r>
      <w:r>
        <w:rPr>
          <w:rFonts w:eastAsia="宋体"/>
          <w:szCs w:val="24"/>
          <w:lang w:val="de-DE" w:eastAsia="zh-CN"/>
        </w:rPr>
        <w:sym w:font="Symbol" w:char="F02D"/>
      </w:r>
      <w:r>
        <w:rPr>
          <w:rFonts w:eastAsia="宋体"/>
          <w:szCs w:val="24"/>
          <w:lang w:eastAsia="zh-CN"/>
        </w:rPr>
        <w:t xml:space="preserve"> </w:t>
      </w:r>
      <w:r>
        <w:rPr>
          <w:rFonts w:eastAsia="宋体"/>
          <w:i/>
          <w:iCs/>
          <w:szCs w:val="24"/>
          <w:lang w:eastAsia="zh-CN"/>
        </w:rPr>
        <w:t>S</w:t>
      </w:r>
      <w:r>
        <w:rPr>
          <w:rFonts w:eastAsia="宋体"/>
          <w:szCs w:val="24"/>
          <w:vertAlign w:val="subscript"/>
          <w:lang w:eastAsia="zh-CN"/>
        </w:rPr>
        <w:t>0</w:t>
      </w:r>
      <w:r>
        <w:rPr>
          <w:rFonts w:eastAsia="宋体"/>
          <w:szCs w:val="24"/>
          <w:vertAlign w:val="superscript"/>
          <w:lang w:eastAsia="zh-CN"/>
        </w:rPr>
        <w:t>2+</w:t>
      </w:r>
      <w:r>
        <w:rPr>
          <w:rFonts w:eastAsia="宋体"/>
          <w:szCs w:val="24"/>
          <w:lang w:eastAsia="zh-CN"/>
        </w:rPr>
        <w:t xml:space="preserve"> = 0.11 eV</w:t>
      </w:r>
      <w:r>
        <w:rPr>
          <w:rFonts w:hint="eastAsia" w:eastAsia="宋体"/>
          <w:szCs w:val="24"/>
          <w:lang w:eastAsia="zh-CN"/>
        </w:rPr>
        <w:t>,</w:t>
      </w:r>
      <w:r>
        <w:rPr>
          <w:rFonts w:eastAsia="宋体"/>
          <w:szCs w:val="24"/>
          <w:lang w:eastAsia="zh-CN"/>
        </w:rPr>
        <w:t xml:space="preserve"> </w:t>
      </w:r>
      <w:r>
        <w:rPr>
          <w:rFonts w:eastAsia="宋体"/>
          <w:i/>
          <w:iCs/>
          <w:szCs w:val="24"/>
          <w:lang w:eastAsia="zh-CN"/>
        </w:rPr>
        <w:t>S</w:t>
      </w:r>
      <w:r>
        <w:rPr>
          <w:rFonts w:eastAsia="宋体"/>
          <w:szCs w:val="24"/>
          <w:vertAlign w:val="subscript"/>
          <w:lang w:eastAsia="zh-CN"/>
        </w:rPr>
        <w:t>1</w:t>
      </w:r>
      <w:r>
        <w:rPr>
          <w:rFonts w:eastAsia="宋体"/>
          <w:szCs w:val="24"/>
          <w:vertAlign w:val="superscript"/>
          <w:lang w:eastAsia="zh-CN"/>
        </w:rPr>
        <w:t>2+</w:t>
      </w:r>
      <w:r>
        <w:rPr>
          <w:rFonts w:eastAsia="宋体"/>
          <w:szCs w:val="24"/>
          <w:lang w:eastAsia="zh-CN"/>
        </w:rPr>
        <w:t xml:space="preserve"> </w:t>
      </w:r>
      <w:r>
        <w:rPr>
          <w:rFonts w:eastAsia="宋体"/>
          <w:szCs w:val="24"/>
          <w:lang w:val="de-DE" w:eastAsia="zh-CN"/>
        </w:rPr>
        <w:sym w:font="Symbol" w:char="F02D"/>
      </w:r>
      <w:r>
        <w:rPr>
          <w:rFonts w:eastAsia="宋体"/>
          <w:szCs w:val="24"/>
          <w:lang w:eastAsia="zh-CN"/>
        </w:rPr>
        <w:t xml:space="preserve"> </w:t>
      </w:r>
      <w:r>
        <w:rPr>
          <w:rFonts w:eastAsia="宋体"/>
          <w:i/>
          <w:iCs/>
          <w:szCs w:val="24"/>
          <w:lang w:eastAsia="zh-CN"/>
        </w:rPr>
        <w:t>S</w:t>
      </w:r>
      <w:r>
        <w:rPr>
          <w:rFonts w:eastAsia="宋体"/>
          <w:szCs w:val="24"/>
          <w:vertAlign w:val="subscript"/>
          <w:lang w:eastAsia="zh-CN"/>
        </w:rPr>
        <w:t>0</w:t>
      </w:r>
      <w:r>
        <w:rPr>
          <w:rFonts w:eastAsia="宋体"/>
          <w:szCs w:val="24"/>
          <w:vertAlign w:val="superscript"/>
          <w:lang w:eastAsia="zh-CN"/>
        </w:rPr>
        <w:t>2+</w:t>
      </w:r>
      <w:r>
        <w:rPr>
          <w:rFonts w:eastAsia="宋体"/>
          <w:szCs w:val="24"/>
          <w:lang w:eastAsia="zh-CN"/>
        </w:rPr>
        <w:t xml:space="preserve"> = 0.92 eV. </w:t>
      </w:r>
    </w:p>
    <w:p w14:paraId="203AAAB2">
      <w:pPr>
        <w:jc w:val="both"/>
        <w:rPr>
          <w:rFonts w:eastAsia="宋体"/>
          <w:sz w:val="21"/>
          <w:szCs w:val="21"/>
          <w:lang w:eastAsia="zh-CN"/>
        </w:rPr>
      </w:pPr>
    </w:p>
    <w:p w14:paraId="05B32058">
      <w:pPr>
        <w:jc w:val="both"/>
        <w:rPr>
          <w:rFonts w:eastAsia="宋体"/>
          <w:szCs w:val="24"/>
          <w:lang w:eastAsia="zh-CN"/>
        </w:rPr>
      </w:pPr>
      <w:r>
        <w:rPr>
          <w:rFonts w:eastAsia="宋体"/>
          <w:b/>
          <w:bCs/>
          <w:szCs w:val="24"/>
          <w:lang w:eastAsia="zh-CN"/>
        </w:rPr>
        <w:t>Table S</w:t>
      </w:r>
      <w:r>
        <w:rPr>
          <w:rFonts w:hint="eastAsia" w:eastAsia="宋体"/>
          <w:b/>
          <w:bCs/>
          <w:szCs w:val="24"/>
          <w:lang w:eastAsia="zh-CN"/>
        </w:rPr>
        <w:t xml:space="preserve">1 </w:t>
      </w:r>
      <w:r>
        <w:rPr>
          <w:rFonts w:eastAsia="宋体"/>
          <w:b/>
          <w:bCs/>
          <w:szCs w:val="24"/>
          <w:lang w:eastAsia="zh-CN"/>
        </w:rPr>
        <w:t>Calculated energy variations relative to D</w:t>
      </w:r>
      <w:r>
        <w:rPr>
          <w:rFonts w:eastAsia="宋体"/>
          <w:b/>
          <w:bCs/>
          <w:szCs w:val="24"/>
          <w:vertAlign w:val="subscript"/>
          <w:lang w:eastAsia="zh-CN"/>
        </w:rPr>
        <w:t>0</w:t>
      </w:r>
      <w:r>
        <w:rPr>
          <w:rFonts w:eastAsia="宋体"/>
          <w:b/>
          <w:bCs/>
          <w:szCs w:val="24"/>
          <w:vertAlign w:val="superscript"/>
          <w:lang w:eastAsia="zh-CN"/>
        </w:rPr>
        <w:t>+</w:t>
      </w:r>
      <w:r>
        <w:rPr>
          <w:rFonts w:eastAsia="宋体"/>
          <w:b/>
          <w:bCs/>
          <w:szCs w:val="24"/>
          <w:lang w:eastAsia="zh-CN"/>
        </w:rPr>
        <w:t xml:space="preserve"> due to molecule geometries.</w:t>
      </w:r>
      <w:r>
        <w:rPr>
          <w:rFonts w:eastAsia="宋体"/>
          <w:szCs w:val="24"/>
          <w:lang w:eastAsia="zh-CN"/>
        </w:rPr>
        <w:t xml:space="preserve"> The </w:t>
      </w:r>
      <w:r>
        <w:rPr>
          <w:rFonts w:eastAsia="宋体"/>
          <w:b/>
          <w:szCs w:val="24"/>
          <w:lang w:eastAsia="zh-CN"/>
        </w:rPr>
        <w:t>BP</w:t>
      </w:r>
      <w:r>
        <w:rPr>
          <w:rFonts w:eastAsia="宋体"/>
          <w:szCs w:val="24"/>
          <w:lang w:eastAsia="zh-CN"/>
        </w:rPr>
        <w:t xml:space="preserve"> molecule geometries are optimized under different external electric fields (E = 0.8 V and 0 V).</w:t>
      </w:r>
    </w:p>
    <w:tbl>
      <w:tblPr>
        <w:tblStyle w:val="88"/>
        <w:tblW w:w="8166" w:type="dxa"/>
        <w:jc w:val="center"/>
        <w:tblLayout w:type="fixed"/>
        <w:tblCellMar>
          <w:top w:w="0" w:type="dxa"/>
          <w:left w:w="108" w:type="dxa"/>
          <w:bottom w:w="0" w:type="dxa"/>
          <w:right w:w="108" w:type="dxa"/>
        </w:tblCellMar>
      </w:tblPr>
      <w:tblGrid>
        <w:gridCol w:w="1361"/>
        <w:gridCol w:w="1361"/>
        <w:gridCol w:w="1361"/>
        <w:gridCol w:w="1361"/>
        <w:gridCol w:w="1361"/>
        <w:gridCol w:w="1361"/>
      </w:tblGrid>
      <w:tr w14:paraId="65B89FF2">
        <w:tblPrEx>
          <w:tblCellMar>
            <w:top w:w="0" w:type="dxa"/>
            <w:left w:w="108" w:type="dxa"/>
            <w:bottom w:w="0" w:type="dxa"/>
            <w:right w:w="108" w:type="dxa"/>
          </w:tblCellMar>
        </w:tblPrEx>
        <w:trPr>
          <w:trHeight w:val="367" w:hRule="atLeast"/>
          <w:jc w:val="center"/>
        </w:trPr>
        <w:tc>
          <w:tcPr>
            <w:tcW w:w="1361" w:type="dxa"/>
            <w:tcBorders>
              <w:top w:val="single" w:color="auto" w:sz="8" w:space="0"/>
              <w:left w:val="nil"/>
              <w:bottom w:val="single" w:color="auto" w:sz="8" w:space="0"/>
              <w:right w:val="nil"/>
            </w:tcBorders>
            <w:shd w:val="clear" w:color="auto" w:fill="auto"/>
            <w:noWrap/>
            <w:vAlign w:val="center"/>
          </w:tcPr>
          <w:p w14:paraId="43EC93DB">
            <w:pPr>
              <w:spacing w:line="360" w:lineRule="auto"/>
              <w:jc w:val="center"/>
              <w:rPr>
                <w:rFonts w:eastAsia="宋体"/>
                <w:sz w:val="21"/>
                <w:szCs w:val="21"/>
                <w:lang w:eastAsia="zh-CN"/>
              </w:rPr>
            </w:pPr>
            <w:r>
              <w:rPr>
                <w:rFonts w:eastAsia="宋体"/>
                <w:i/>
                <w:iCs/>
                <w:sz w:val="21"/>
                <w:szCs w:val="21"/>
                <w:lang w:eastAsia="zh-CN"/>
              </w:rPr>
              <w:t>D</w:t>
            </w:r>
            <w:r>
              <w:rPr>
                <w:rFonts w:eastAsia="宋体"/>
                <w:sz w:val="21"/>
                <w:szCs w:val="21"/>
                <w:vertAlign w:val="subscript"/>
                <w:lang w:eastAsia="zh-CN"/>
              </w:rPr>
              <w:t>0</w:t>
            </w:r>
            <w:r>
              <w:rPr>
                <w:rFonts w:eastAsia="宋体"/>
                <w:sz w:val="21"/>
                <w:szCs w:val="21"/>
                <w:vertAlign w:val="superscript"/>
                <w:lang w:eastAsia="zh-CN"/>
              </w:rPr>
              <w:t>+</w:t>
            </w:r>
          </w:p>
        </w:tc>
        <w:tc>
          <w:tcPr>
            <w:tcW w:w="1361" w:type="dxa"/>
            <w:tcBorders>
              <w:top w:val="single" w:color="auto" w:sz="8" w:space="0"/>
              <w:left w:val="nil"/>
              <w:bottom w:val="single" w:color="auto" w:sz="8" w:space="0"/>
              <w:right w:val="nil"/>
            </w:tcBorders>
            <w:shd w:val="clear" w:color="auto" w:fill="auto"/>
            <w:noWrap/>
            <w:vAlign w:val="center"/>
          </w:tcPr>
          <w:p w14:paraId="65F101C3">
            <w:pPr>
              <w:spacing w:line="360" w:lineRule="auto"/>
              <w:jc w:val="center"/>
              <w:rPr>
                <w:rFonts w:eastAsia="宋体"/>
                <w:sz w:val="21"/>
                <w:szCs w:val="21"/>
                <w:lang w:eastAsia="zh-CN"/>
              </w:rPr>
            </w:pPr>
            <w:r>
              <w:rPr>
                <w:rFonts w:eastAsia="宋体"/>
                <w:i/>
                <w:iCs/>
                <w:sz w:val="21"/>
                <w:szCs w:val="21"/>
                <w:lang w:eastAsia="zh-CN"/>
              </w:rPr>
              <w:t>S</w:t>
            </w:r>
            <w:r>
              <w:rPr>
                <w:rFonts w:eastAsia="宋体"/>
                <w:sz w:val="21"/>
                <w:szCs w:val="21"/>
                <w:vertAlign w:val="subscript"/>
                <w:lang w:eastAsia="zh-CN"/>
              </w:rPr>
              <w:t>0</w:t>
            </w:r>
          </w:p>
        </w:tc>
        <w:tc>
          <w:tcPr>
            <w:tcW w:w="1361" w:type="dxa"/>
            <w:tcBorders>
              <w:top w:val="single" w:color="auto" w:sz="8" w:space="0"/>
              <w:left w:val="nil"/>
              <w:bottom w:val="single" w:color="auto" w:sz="8" w:space="0"/>
              <w:right w:val="nil"/>
            </w:tcBorders>
            <w:shd w:val="clear" w:color="auto" w:fill="auto"/>
            <w:noWrap/>
            <w:vAlign w:val="center"/>
          </w:tcPr>
          <w:p w14:paraId="69DD816F">
            <w:pPr>
              <w:spacing w:line="360" w:lineRule="auto"/>
              <w:jc w:val="center"/>
              <w:rPr>
                <w:rFonts w:eastAsia="宋体"/>
                <w:sz w:val="21"/>
                <w:szCs w:val="21"/>
                <w:lang w:eastAsia="zh-CN"/>
              </w:rPr>
            </w:pPr>
            <w:r>
              <w:rPr>
                <w:rFonts w:eastAsia="宋体"/>
                <w:i/>
                <w:iCs/>
                <w:sz w:val="21"/>
                <w:szCs w:val="21"/>
                <w:lang w:eastAsia="zh-CN"/>
              </w:rPr>
              <w:t>D</w:t>
            </w:r>
            <w:r>
              <w:rPr>
                <w:rFonts w:eastAsia="宋体"/>
                <w:sz w:val="21"/>
                <w:szCs w:val="21"/>
                <w:vertAlign w:val="subscript"/>
                <w:lang w:eastAsia="zh-CN"/>
              </w:rPr>
              <w:t>1</w:t>
            </w:r>
            <w:r>
              <w:rPr>
                <w:rFonts w:eastAsia="宋体"/>
                <w:sz w:val="21"/>
                <w:szCs w:val="21"/>
                <w:vertAlign w:val="superscript"/>
                <w:lang w:eastAsia="zh-CN"/>
              </w:rPr>
              <w:t>+</w:t>
            </w:r>
          </w:p>
        </w:tc>
        <w:tc>
          <w:tcPr>
            <w:tcW w:w="1361" w:type="dxa"/>
            <w:tcBorders>
              <w:top w:val="single" w:color="auto" w:sz="8" w:space="0"/>
              <w:left w:val="nil"/>
              <w:bottom w:val="single" w:color="auto" w:sz="8" w:space="0"/>
              <w:right w:val="nil"/>
            </w:tcBorders>
            <w:shd w:val="clear" w:color="auto" w:fill="auto"/>
            <w:noWrap/>
            <w:vAlign w:val="center"/>
          </w:tcPr>
          <w:p w14:paraId="71BB793B">
            <w:pPr>
              <w:spacing w:line="360" w:lineRule="auto"/>
              <w:jc w:val="center"/>
              <w:rPr>
                <w:rFonts w:eastAsia="宋体"/>
                <w:sz w:val="21"/>
                <w:szCs w:val="21"/>
                <w:lang w:eastAsia="zh-CN"/>
              </w:rPr>
            </w:pPr>
            <w:r>
              <w:rPr>
                <w:rFonts w:eastAsia="宋体"/>
                <w:i/>
                <w:iCs/>
                <w:sz w:val="21"/>
                <w:szCs w:val="21"/>
                <w:lang w:eastAsia="zh-CN"/>
              </w:rPr>
              <w:t>D</w:t>
            </w:r>
            <w:r>
              <w:rPr>
                <w:rFonts w:eastAsia="宋体"/>
                <w:sz w:val="21"/>
                <w:szCs w:val="21"/>
                <w:vertAlign w:val="subscript"/>
                <w:lang w:eastAsia="zh-CN"/>
              </w:rPr>
              <w:t>2</w:t>
            </w:r>
            <w:r>
              <w:rPr>
                <w:rFonts w:eastAsia="宋体"/>
                <w:sz w:val="21"/>
                <w:szCs w:val="21"/>
                <w:vertAlign w:val="superscript"/>
                <w:lang w:eastAsia="zh-CN"/>
              </w:rPr>
              <w:t>+</w:t>
            </w:r>
          </w:p>
        </w:tc>
        <w:tc>
          <w:tcPr>
            <w:tcW w:w="1361" w:type="dxa"/>
            <w:tcBorders>
              <w:top w:val="single" w:color="auto" w:sz="8" w:space="0"/>
              <w:left w:val="nil"/>
              <w:bottom w:val="single" w:color="auto" w:sz="8" w:space="0"/>
              <w:right w:val="nil"/>
            </w:tcBorders>
            <w:vAlign w:val="center"/>
          </w:tcPr>
          <w:p w14:paraId="4026BA94">
            <w:pPr>
              <w:spacing w:line="360" w:lineRule="auto"/>
              <w:jc w:val="center"/>
              <w:rPr>
                <w:rFonts w:eastAsia="宋体"/>
                <w:sz w:val="21"/>
                <w:szCs w:val="21"/>
                <w:lang w:eastAsia="zh-CN"/>
              </w:rPr>
            </w:pPr>
            <w:r>
              <w:rPr>
                <w:rFonts w:hint="eastAsia" w:eastAsia="宋体"/>
                <w:i/>
                <w:iCs/>
                <w:sz w:val="21"/>
                <w:szCs w:val="21"/>
                <w:lang w:eastAsia="zh-CN"/>
              </w:rPr>
              <w:t>S</w:t>
            </w:r>
            <w:r>
              <w:rPr>
                <w:rFonts w:eastAsia="宋体"/>
                <w:sz w:val="21"/>
                <w:szCs w:val="21"/>
                <w:vertAlign w:val="subscript"/>
                <w:lang w:eastAsia="zh-CN"/>
              </w:rPr>
              <w:t>0</w:t>
            </w:r>
            <w:r>
              <w:rPr>
                <w:rFonts w:eastAsia="宋体"/>
                <w:sz w:val="21"/>
                <w:szCs w:val="21"/>
                <w:vertAlign w:val="superscript"/>
                <w:lang w:eastAsia="zh-CN"/>
              </w:rPr>
              <w:t>2+</w:t>
            </w:r>
          </w:p>
        </w:tc>
        <w:tc>
          <w:tcPr>
            <w:tcW w:w="1361" w:type="dxa"/>
            <w:tcBorders>
              <w:top w:val="single" w:color="auto" w:sz="8" w:space="0"/>
              <w:left w:val="nil"/>
              <w:bottom w:val="single" w:color="auto" w:sz="8" w:space="0"/>
              <w:right w:val="nil"/>
            </w:tcBorders>
            <w:vAlign w:val="center"/>
          </w:tcPr>
          <w:p w14:paraId="28D09A35">
            <w:pPr>
              <w:spacing w:line="360" w:lineRule="auto"/>
              <w:jc w:val="center"/>
              <w:rPr>
                <w:rFonts w:eastAsia="宋体"/>
                <w:sz w:val="21"/>
                <w:szCs w:val="21"/>
                <w:lang w:eastAsia="zh-CN"/>
              </w:rPr>
            </w:pPr>
            <w:r>
              <w:rPr>
                <w:rFonts w:hint="eastAsia" w:eastAsia="宋体"/>
                <w:i/>
                <w:iCs/>
                <w:sz w:val="21"/>
                <w:szCs w:val="21"/>
                <w:lang w:eastAsia="zh-CN"/>
              </w:rPr>
              <w:t>T</w:t>
            </w:r>
            <w:r>
              <w:rPr>
                <w:rFonts w:eastAsia="宋体"/>
                <w:sz w:val="21"/>
                <w:szCs w:val="21"/>
                <w:vertAlign w:val="subscript"/>
                <w:lang w:eastAsia="zh-CN"/>
              </w:rPr>
              <w:t>1</w:t>
            </w:r>
            <w:r>
              <w:rPr>
                <w:rFonts w:eastAsia="宋体"/>
                <w:sz w:val="21"/>
                <w:szCs w:val="21"/>
                <w:vertAlign w:val="superscript"/>
                <w:lang w:eastAsia="zh-CN"/>
              </w:rPr>
              <w:t>2+</w:t>
            </w:r>
          </w:p>
        </w:tc>
      </w:tr>
      <w:tr w14:paraId="09A0554B">
        <w:tblPrEx>
          <w:tblCellMar>
            <w:top w:w="0" w:type="dxa"/>
            <w:left w:w="108" w:type="dxa"/>
            <w:bottom w:w="0" w:type="dxa"/>
            <w:right w:w="108" w:type="dxa"/>
          </w:tblCellMar>
        </w:tblPrEx>
        <w:trPr>
          <w:trHeight w:val="367" w:hRule="atLeast"/>
          <w:jc w:val="center"/>
        </w:trPr>
        <w:tc>
          <w:tcPr>
            <w:tcW w:w="1361" w:type="dxa"/>
            <w:tcBorders>
              <w:top w:val="single" w:color="auto" w:sz="8" w:space="0"/>
              <w:left w:val="nil"/>
              <w:bottom w:val="single" w:color="auto" w:sz="8" w:space="0"/>
              <w:right w:val="nil"/>
            </w:tcBorders>
            <w:shd w:val="clear" w:color="auto" w:fill="auto"/>
            <w:noWrap/>
            <w:vAlign w:val="center"/>
          </w:tcPr>
          <w:p w14:paraId="76DCE5B2">
            <w:pPr>
              <w:spacing w:line="360" w:lineRule="auto"/>
              <w:jc w:val="center"/>
              <w:rPr>
                <w:rFonts w:eastAsia="宋体"/>
                <w:sz w:val="21"/>
                <w:szCs w:val="21"/>
                <w:lang w:eastAsia="zh-CN"/>
              </w:rPr>
            </w:pPr>
            <w:r>
              <w:rPr>
                <w:rFonts w:eastAsia="宋体"/>
                <w:sz w:val="21"/>
                <w:szCs w:val="21"/>
                <w:lang w:eastAsia="zh-CN"/>
              </w:rPr>
              <w:t>0 eV</w:t>
            </w:r>
          </w:p>
        </w:tc>
        <w:tc>
          <w:tcPr>
            <w:tcW w:w="1361" w:type="dxa"/>
            <w:tcBorders>
              <w:top w:val="single" w:color="auto" w:sz="8" w:space="0"/>
              <w:left w:val="nil"/>
              <w:bottom w:val="single" w:color="auto" w:sz="8" w:space="0"/>
              <w:right w:val="nil"/>
            </w:tcBorders>
            <w:shd w:val="clear" w:color="auto" w:fill="auto"/>
            <w:noWrap/>
            <w:vAlign w:val="center"/>
          </w:tcPr>
          <w:p w14:paraId="1364D541">
            <w:pPr>
              <w:spacing w:line="360" w:lineRule="auto"/>
              <w:jc w:val="center"/>
              <w:rPr>
                <w:rFonts w:eastAsia="宋体"/>
                <w:sz w:val="21"/>
                <w:szCs w:val="21"/>
                <w:lang w:eastAsia="zh-CN"/>
              </w:rPr>
            </w:pPr>
            <w:r>
              <w:rPr>
                <w:rFonts w:hint="eastAsia" w:eastAsia="宋体"/>
                <w:sz w:val="21"/>
                <w:szCs w:val="21"/>
                <w:lang w:eastAsia="zh-CN"/>
              </w:rPr>
              <w:t>-</w:t>
            </w:r>
            <w:r>
              <w:rPr>
                <w:rFonts w:eastAsia="宋体"/>
                <w:sz w:val="21"/>
                <w:szCs w:val="21"/>
                <w:lang w:eastAsia="zh-CN"/>
              </w:rPr>
              <w:t>0.07 eV</w:t>
            </w:r>
          </w:p>
        </w:tc>
        <w:tc>
          <w:tcPr>
            <w:tcW w:w="1361" w:type="dxa"/>
            <w:tcBorders>
              <w:top w:val="single" w:color="auto" w:sz="8" w:space="0"/>
              <w:left w:val="nil"/>
              <w:bottom w:val="single" w:color="auto" w:sz="8" w:space="0"/>
              <w:right w:val="nil"/>
            </w:tcBorders>
            <w:shd w:val="clear" w:color="auto" w:fill="auto"/>
            <w:noWrap/>
            <w:vAlign w:val="center"/>
          </w:tcPr>
          <w:p w14:paraId="1E55CE32">
            <w:pPr>
              <w:spacing w:line="360" w:lineRule="auto"/>
              <w:jc w:val="center"/>
              <w:rPr>
                <w:rFonts w:eastAsia="宋体"/>
                <w:sz w:val="21"/>
                <w:szCs w:val="21"/>
                <w:lang w:eastAsia="zh-CN"/>
              </w:rPr>
            </w:pPr>
            <w:r>
              <w:rPr>
                <w:rFonts w:eastAsia="宋体"/>
                <w:sz w:val="21"/>
                <w:szCs w:val="21"/>
                <w:lang w:eastAsia="zh-CN"/>
              </w:rPr>
              <w:t>+0.02 eV</w:t>
            </w:r>
          </w:p>
        </w:tc>
        <w:tc>
          <w:tcPr>
            <w:tcW w:w="1361" w:type="dxa"/>
            <w:tcBorders>
              <w:top w:val="single" w:color="auto" w:sz="8" w:space="0"/>
              <w:left w:val="nil"/>
              <w:bottom w:val="single" w:color="auto" w:sz="8" w:space="0"/>
              <w:right w:val="nil"/>
            </w:tcBorders>
            <w:shd w:val="clear" w:color="auto" w:fill="auto"/>
            <w:noWrap/>
            <w:vAlign w:val="center"/>
          </w:tcPr>
          <w:p w14:paraId="5CD414C0">
            <w:pPr>
              <w:spacing w:line="360" w:lineRule="auto"/>
              <w:jc w:val="center"/>
              <w:rPr>
                <w:rFonts w:eastAsia="宋体"/>
                <w:sz w:val="21"/>
                <w:szCs w:val="21"/>
                <w:lang w:eastAsia="zh-CN"/>
              </w:rPr>
            </w:pPr>
            <w:r>
              <w:rPr>
                <w:rFonts w:eastAsia="宋体"/>
                <w:sz w:val="21"/>
                <w:szCs w:val="21"/>
                <w:lang w:eastAsia="zh-CN"/>
              </w:rPr>
              <w:t>+0.02 eV</w:t>
            </w:r>
          </w:p>
        </w:tc>
        <w:tc>
          <w:tcPr>
            <w:tcW w:w="1361" w:type="dxa"/>
            <w:tcBorders>
              <w:top w:val="single" w:color="auto" w:sz="8" w:space="0"/>
              <w:left w:val="nil"/>
              <w:bottom w:val="single" w:color="auto" w:sz="8" w:space="0"/>
              <w:right w:val="nil"/>
            </w:tcBorders>
            <w:vAlign w:val="center"/>
          </w:tcPr>
          <w:p w14:paraId="4F2CF99E">
            <w:pPr>
              <w:spacing w:line="360" w:lineRule="auto"/>
              <w:jc w:val="center"/>
              <w:rPr>
                <w:rFonts w:eastAsia="宋体"/>
                <w:sz w:val="21"/>
                <w:szCs w:val="21"/>
                <w:lang w:eastAsia="zh-CN"/>
              </w:rPr>
            </w:pPr>
            <w:r>
              <w:rPr>
                <w:rFonts w:hint="eastAsia" w:eastAsia="宋体"/>
                <w:sz w:val="21"/>
                <w:szCs w:val="21"/>
                <w:lang w:eastAsia="zh-CN"/>
              </w:rPr>
              <w:t>0</w:t>
            </w:r>
            <w:r>
              <w:rPr>
                <w:rFonts w:eastAsia="宋体"/>
                <w:sz w:val="21"/>
                <w:szCs w:val="21"/>
                <w:lang w:eastAsia="zh-CN"/>
              </w:rPr>
              <w:t xml:space="preserve"> eV</w:t>
            </w:r>
          </w:p>
        </w:tc>
        <w:tc>
          <w:tcPr>
            <w:tcW w:w="1361" w:type="dxa"/>
            <w:tcBorders>
              <w:top w:val="single" w:color="auto" w:sz="8" w:space="0"/>
              <w:left w:val="nil"/>
              <w:bottom w:val="single" w:color="auto" w:sz="8" w:space="0"/>
              <w:right w:val="nil"/>
            </w:tcBorders>
            <w:vAlign w:val="center"/>
          </w:tcPr>
          <w:p w14:paraId="0B710382">
            <w:pPr>
              <w:spacing w:line="360" w:lineRule="auto"/>
              <w:jc w:val="center"/>
              <w:rPr>
                <w:rFonts w:eastAsia="宋体"/>
                <w:sz w:val="21"/>
                <w:szCs w:val="21"/>
                <w:lang w:eastAsia="zh-CN"/>
              </w:rPr>
            </w:pPr>
            <w:r>
              <w:rPr>
                <w:rFonts w:eastAsia="宋体"/>
                <w:sz w:val="21"/>
                <w:szCs w:val="21"/>
                <w:lang w:eastAsia="zh-CN"/>
              </w:rPr>
              <w:t>+</w:t>
            </w:r>
            <w:r>
              <w:rPr>
                <w:rFonts w:hint="eastAsia" w:eastAsia="宋体"/>
                <w:sz w:val="21"/>
                <w:szCs w:val="21"/>
                <w:lang w:eastAsia="zh-CN"/>
              </w:rPr>
              <w:t>0</w:t>
            </w:r>
            <w:r>
              <w:rPr>
                <w:rFonts w:eastAsia="宋体"/>
                <w:sz w:val="21"/>
                <w:szCs w:val="21"/>
                <w:lang w:eastAsia="zh-CN"/>
              </w:rPr>
              <w:t>.01 eV</w:t>
            </w:r>
          </w:p>
        </w:tc>
      </w:tr>
    </w:tbl>
    <w:p w14:paraId="66F4C129">
      <w:pPr>
        <w:spacing w:line="360" w:lineRule="auto"/>
        <w:jc w:val="both"/>
        <w:rPr>
          <w:rFonts w:eastAsia="宋体"/>
          <w:sz w:val="21"/>
          <w:szCs w:val="21"/>
          <w:lang w:eastAsia="zh-CN"/>
        </w:rPr>
      </w:pPr>
    </w:p>
    <w:p w14:paraId="56A33475">
      <w:pPr>
        <w:jc w:val="both"/>
        <w:rPr>
          <w:rFonts w:eastAsia="宋体"/>
          <w:b/>
          <w:bCs/>
          <w:szCs w:val="24"/>
          <w:lang w:eastAsia="zh-CN"/>
        </w:rPr>
      </w:pPr>
      <w:r>
        <w:rPr>
          <w:rFonts w:eastAsia="宋体"/>
          <w:b/>
          <w:bCs/>
          <w:szCs w:val="24"/>
          <w:lang w:eastAsia="zh-CN"/>
        </w:rPr>
        <w:t>Table S</w:t>
      </w:r>
      <w:r>
        <w:rPr>
          <w:rFonts w:hint="eastAsia" w:eastAsia="宋体"/>
          <w:b/>
          <w:bCs/>
          <w:szCs w:val="24"/>
          <w:lang w:eastAsia="zh-CN"/>
        </w:rPr>
        <w:t xml:space="preserve">2 </w:t>
      </w:r>
      <w:r>
        <w:rPr>
          <w:rFonts w:eastAsia="宋体"/>
          <w:b/>
          <w:bCs/>
          <w:szCs w:val="24"/>
          <w:lang w:eastAsia="zh-CN"/>
        </w:rPr>
        <w:t>Calculated dipole moments of N, N</w:t>
      </w:r>
      <w:r>
        <w:rPr>
          <w:rFonts w:eastAsia="宋体"/>
          <w:szCs w:val="24"/>
          <w:lang w:val="de-DE" w:eastAsia="zh-CN"/>
        </w:rPr>
        <w:sym w:font="Symbol" w:char="F02D"/>
      </w:r>
      <w:r>
        <w:rPr>
          <w:rFonts w:eastAsia="宋体"/>
          <w:b/>
          <w:bCs/>
          <w:szCs w:val="24"/>
          <w:lang w:eastAsia="zh-CN"/>
        </w:rPr>
        <w:t>1 and N</w:t>
      </w:r>
      <w:r>
        <w:rPr>
          <w:rFonts w:eastAsia="宋体"/>
          <w:szCs w:val="24"/>
          <w:lang w:val="de-DE" w:eastAsia="zh-CN"/>
        </w:rPr>
        <w:sym w:font="Symbol" w:char="F02D"/>
      </w:r>
      <w:r>
        <w:rPr>
          <w:rFonts w:eastAsia="宋体"/>
          <w:b/>
          <w:bCs/>
          <w:szCs w:val="24"/>
          <w:lang w:eastAsia="zh-CN"/>
        </w:rPr>
        <w:t xml:space="preserve">2 states. </w:t>
      </w:r>
      <w:r>
        <w:rPr>
          <w:rFonts w:eastAsia="宋体"/>
          <w:szCs w:val="24"/>
          <w:lang w:eastAsia="zh-CN"/>
        </w:rPr>
        <w:t xml:space="preserve">The </w:t>
      </w:r>
      <w:r>
        <w:rPr>
          <w:rFonts w:eastAsia="宋体"/>
          <w:b/>
          <w:szCs w:val="24"/>
          <w:lang w:eastAsia="zh-CN"/>
        </w:rPr>
        <w:t>BP</w:t>
      </w:r>
      <w:r>
        <w:rPr>
          <w:rFonts w:eastAsia="宋体"/>
          <w:szCs w:val="24"/>
          <w:lang w:eastAsia="zh-CN"/>
        </w:rPr>
        <w:t xml:space="preserve"> molecule geometries are optimized under different external electric fields (E = 0.8 V and 0 V).</w:t>
      </w:r>
    </w:p>
    <w:tbl>
      <w:tblPr>
        <w:tblStyle w:val="88"/>
        <w:tblW w:w="8505" w:type="dxa"/>
        <w:jc w:val="center"/>
        <w:tblLayout w:type="fixed"/>
        <w:tblCellMar>
          <w:top w:w="0" w:type="dxa"/>
          <w:left w:w="108" w:type="dxa"/>
          <w:bottom w:w="0" w:type="dxa"/>
          <w:right w:w="108" w:type="dxa"/>
        </w:tblCellMar>
      </w:tblPr>
      <w:tblGrid>
        <w:gridCol w:w="1701"/>
        <w:gridCol w:w="1701"/>
        <w:gridCol w:w="1701"/>
        <w:gridCol w:w="1701"/>
        <w:gridCol w:w="1701"/>
      </w:tblGrid>
      <w:tr w14:paraId="1CADDAFA">
        <w:tblPrEx>
          <w:tblCellMar>
            <w:top w:w="0" w:type="dxa"/>
            <w:left w:w="108" w:type="dxa"/>
            <w:bottom w:w="0" w:type="dxa"/>
            <w:right w:w="108" w:type="dxa"/>
          </w:tblCellMar>
        </w:tblPrEx>
        <w:trPr>
          <w:trHeight w:val="367" w:hRule="atLeast"/>
          <w:jc w:val="center"/>
        </w:trPr>
        <w:tc>
          <w:tcPr>
            <w:tcW w:w="1701" w:type="dxa"/>
            <w:tcBorders>
              <w:top w:val="single" w:color="auto" w:sz="8" w:space="0"/>
              <w:left w:val="nil"/>
              <w:bottom w:val="single" w:color="auto" w:sz="8" w:space="0"/>
              <w:right w:val="nil"/>
            </w:tcBorders>
            <w:shd w:val="clear" w:color="auto" w:fill="auto"/>
            <w:noWrap/>
            <w:vAlign w:val="center"/>
          </w:tcPr>
          <w:p w14:paraId="4E20624A">
            <w:pPr>
              <w:spacing w:line="360" w:lineRule="auto"/>
              <w:jc w:val="center"/>
              <w:rPr>
                <w:rFonts w:eastAsia="宋体"/>
                <w:sz w:val="21"/>
                <w:szCs w:val="21"/>
                <w:lang w:eastAsia="zh-CN"/>
              </w:rPr>
            </w:pPr>
            <w:r>
              <w:rPr>
                <w:rFonts w:eastAsia="宋体"/>
                <w:sz w:val="21"/>
                <w:szCs w:val="21"/>
                <w:lang w:eastAsia="zh-CN"/>
              </w:rPr>
              <w:t>E</w:t>
            </w:r>
          </w:p>
        </w:tc>
        <w:tc>
          <w:tcPr>
            <w:tcW w:w="1701" w:type="dxa"/>
            <w:tcBorders>
              <w:top w:val="single" w:color="auto" w:sz="8" w:space="0"/>
              <w:left w:val="nil"/>
              <w:bottom w:val="single" w:color="auto" w:sz="8" w:space="0"/>
              <w:right w:val="nil"/>
            </w:tcBorders>
            <w:shd w:val="clear" w:color="auto" w:fill="auto"/>
            <w:noWrap/>
            <w:vAlign w:val="center"/>
          </w:tcPr>
          <w:p w14:paraId="615B092F">
            <w:pPr>
              <w:spacing w:line="360" w:lineRule="auto"/>
              <w:jc w:val="center"/>
              <w:rPr>
                <w:rFonts w:eastAsia="宋体"/>
                <w:sz w:val="21"/>
                <w:szCs w:val="21"/>
                <w:lang w:eastAsia="zh-CN"/>
              </w:rPr>
            </w:pPr>
            <w:r>
              <w:rPr>
                <w:rFonts w:hint="eastAsia" w:eastAsia="宋体"/>
                <w:sz w:val="21"/>
                <w:szCs w:val="21"/>
                <w:lang w:eastAsia="zh-CN"/>
              </w:rPr>
              <w:t>N state</w:t>
            </w:r>
            <w:r>
              <w:rPr>
                <w:rFonts w:eastAsia="宋体"/>
                <w:sz w:val="21"/>
                <w:szCs w:val="21"/>
                <w:lang w:eastAsia="zh-CN"/>
              </w:rPr>
              <w:t xml:space="preserve"> </w:t>
            </w:r>
            <w:r>
              <w:rPr>
                <w:rFonts w:hint="eastAsia" w:eastAsia="宋体"/>
                <w:sz w:val="21"/>
                <w:szCs w:val="21"/>
                <w:lang w:eastAsia="zh-CN"/>
              </w:rPr>
              <w:t>(</w:t>
            </w:r>
            <w:r>
              <w:rPr>
                <w:rFonts w:hint="eastAsia" w:eastAsia="宋体"/>
                <w:i/>
                <w:iCs/>
                <w:sz w:val="21"/>
                <w:szCs w:val="21"/>
                <w:lang w:eastAsia="zh-CN"/>
              </w:rPr>
              <w:t>S</w:t>
            </w:r>
            <w:r>
              <w:rPr>
                <w:rFonts w:hint="eastAsia" w:eastAsia="宋体"/>
                <w:sz w:val="21"/>
                <w:szCs w:val="21"/>
                <w:vertAlign w:val="subscript"/>
                <w:lang w:eastAsia="zh-CN"/>
              </w:rPr>
              <w:t>0</w:t>
            </w:r>
            <w:r>
              <w:rPr>
                <w:rFonts w:hint="eastAsia" w:eastAsia="宋体"/>
                <w:sz w:val="21"/>
                <w:szCs w:val="21"/>
                <w:lang w:eastAsia="zh-CN"/>
              </w:rPr>
              <w:t>)</w:t>
            </w:r>
          </w:p>
        </w:tc>
        <w:tc>
          <w:tcPr>
            <w:tcW w:w="1701" w:type="dxa"/>
            <w:tcBorders>
              <w:top w:val="single" w:color="auto" w:sz="8" w:space="0"/>
              <w:left w:val="nil"/>
              <w:bottom w:val="single" w:color="auto" w:sz="8" w:space="0"/>
              <w:right w:val="nil"/>
            </w:tcBorders>
            <w:shd w:val="clear" w:color="auto" w:fill="auto"/>
            <w:noWrap/>
            <w:vAlign w:val="center"/>
          </w:tcPr>
          <w:p w14:paraId="4454F12D">
            <w:pPr>
              <w:spacing w:line="360" w:lineRule="auto"/>
              <w:jc w:val="center"/>
              <w:rPr>
                <w:rFonts w:eastAsia="宋体"/>
                <w:sz w:val="21"/>
                <w:szCs w:val="21"/>
                <w:lang w:eastAsia="zh-CN"/>
              </w:rPr>
            </w:pPr>
            <w:r>
              <w:rPr>
                <w:rFonts w:hint="eastAsia" w:eastAsia="宋体"/>
                <w:sz w:val="21"/>
                <w:szCs w:val="21"/>
                <w:lang w:eastAsia="zh-CN"/>
              </w:rPr>
              <w:t>N</w:t>
            </w:r>
            <w:r>
              <w:rPr>
                <w:rFonts w:eastAsia="宋体"/>
                <w:sz w:val="21"/>
                <w:szCs w:val="21"/>
                <w:lang w:val="de-DE" w:eastAsia="zh-CN"/>
              </w:rPr>
              <w:sym w:font="Symbol" w:char="F02D"/>
            </w:r>
            <w:r>
              <w:rPr>
                <w:rFonts w:hint="eastAsia" w:eastAsia="宋体"/>
                <w:sz w:val="21"/>
                <w:szCs w:val="21"/>
                <w:lang w:eastAsia="zh-CN"/>
              </w:rPr>
              <w:t>1 state</w:t>
            </w:r>
            <w:r>
              <w:rPr>
                <w:rFonts w:eastAsia="宋体"/>
                <w:sz w:val="21"/>
                <w:szCs w:val="21"/>
                <w:lang w:eastAsia="zh-CN"/>
              </w:rPr>
              <w:t xml:space="preserve"> </w:t>
            </w:r>
            <w:r>
              <w:rPr>
                <w:rFonts w:hint="eastAsia" w:eastAsia="宋体"/>
                <w:sz w:val="21"/>
                <w:szCs w:val="21"/>
                <w:lang w:eastAsia="zh-CN"/>
              </w:rPr>
              <w:t>(</w:t>
            </w:r>
            <w:r>
              <w:rPr>
                <w:rFonts w:hint="eastAsia" w:eastAsia="宋体"/>
                <w:i/>
                <w:iCs/>
                <w:sz w:val="21"/>
                <w:szCs w:val="21"/>
                <w:lang w:eastAsia="zh-CN"/>
              </w:rPr>
              <w:t>D</w:t>
            </w:r>
            <w:r>
              <w:rPr>
                <w:rFonts w:hint="eastAsia" w:eastAsia="宋体"/>
                <w:sz w:val="21"/>
                <w:szCs w:val="21"/>
                <w:vertAlign w:val="subscript"/>
                <w:lang w:eastAsia="zh-CN"/>
              </w:rPr>
              <w:t>0</w:t>
            </w:r>
            <w:r>
              <w:rPr>
                <w:rFonts w:hint="eastAsia" w:eastAsia="宋体"/>
                <w:sz w:val="21"/>
                <w:szCs w:val="21"/>
                <w:vertAlign w:val="superscript"/>
                <w:lang w:eastAsia="zh-CN"/>
              </w:rPr>
              <w:t>+</w:t>
            </w:r>
            <w:r>
              <w:rPr>
                <w:rFonts w:hint="eastAsia" w:eastAsia="宋体"/>
                <w:sz w:val="21"/>
                <w:szCs w:val="21"/>
                <w:lang w:eastAsia="zh-CN"/>
              </w:rPr>
              <w:t>)</w:t>
            </w:r>
          </w:p>
        </w:tc>
        <w:tc>
          <w:tcPr>
            <w:tcW w:w="1701" w:type="dxa"/>
            <w:tcBorders>
              <w:top w:val="single" w:color="auto" w:sz="8" w:space="0"/>
              <w:left w:val="nil"/>
              <w:bottom w:val="single" w:color="auto" w:sz="8" w:space="0"/>
              <w:right w:val="nil"/>
            </w:tcBorders>
            <w:shd w:val="clear" w:color="auto" w:fill="auto"/>
            <w:noWrap/>
            <w:vAlign w:val="center"/>
          </w:tcPr>
          <w:p w14:paraId="07156075">
            <w:pPr>
              <w:spacing w:line="360" w:lineRule="auto"/>
              <w:jc w:val="center"/>
              <w:rPr>
                <w:rFonts w:eastAsia="宋体"/>
                <w:sz w:val="21"/>
                <w:szCs w:val="21"/>
                <w:lang w:eastAsia="zh-CN"/>
              </w:rPr>
            </w:pPr>
            <w:r>
              <w:rPr>
                <w:rFonts w:hint="eastAsia" w:eastAsia="宋体"/>
                <w:sz w:val="21"/>
                <w:szCs w:val="21"/>
                <w:lang w:eastAsia="zh-CN"/>
              </w:rPr>
              <w:t>N</w:t>
            </w:r>
            <w:r>
              <w:rPr>
                <w:rFonts w:eastAsia="宋体"/>
                <w:sz w:val="21"/>
                <w:szCs w:val="21"/>
                <w:lang w:val="de-DE" w:eastAsia="zh-CN"/>
              </w:rPr>
              <w:sym w:font="Symbol" w:char="F02D"/>
            </w:r>
            <w:r>
              <w:rPr>
                <w:rFonts w:hint="eastAsia" w:eastAsia="宋体"/>
                <w:sz w:val="21"/>
                <w:szCs w:val="21"/>
                <w:lang w:eastAsia="zh-CN"/>
              </w:rPr>
              <w:t>2 state</w:t>
            </w:r>
            <w:r>
              <w:rPr>
                <w:rFonts w:eastAsia="宋体"/>
                <w:sz w:val="21"/>
                <w:szCs w:val="21"/>
                <w:lang w:eastAsia="zh-CN"/>
              </w:rPr>
              <w:t xml:space="preserve"> </w:t>
            </w:r>
            <w:r>
              <w:rPr>
                <w:rFonts w:hint="eastAsia" w:eastAsia="宋体"/>
                <w:sz w:val="21"/>
                <w:szCs w:val="21"/>
                <w:lang w:eastAsia="zh-CN"/>
              </w:rPr>
              <w:t>(</w:t>
            </w:r>
            <w:r>
              <w:rPr>
                <w:rFonts w:hint="eastAsia" w:eastAsia="宋体"/>
                <w:i/>
                <w:iCs/>
                <w:sz w:val="21"/>
                <w:szCs w:val="21"/>
                <w:lang w:eastAsia="zh-CN"/>
              </w:rPr>
              <w:t>S</w:t>
            </w:r>
            <w:r>
              <w:rPr>
                <w:rFonts w:hint="eastAsia" w:eastAsia="宋体"/>
                <w:sz w:val="21"/>
                <w:szCs w:val="21"/>
                <w:vertAlign w:val="subscript"/>
                <w:lang w:eastAsia="zh-CN"/>
              </w:rPr>
              <w:t>0</w:t>
            </w:r>
            <w:r>
              <w:rPr>
                <w:rFonts w:hint="eastAsia" w:eastAsia="宋体"/>
                <w:sz w:val="21"/>
                <w:szCs w:val="21"/>
                <w:vertAlign w:val="superscript"/>
                <w:lang w:eastAsia="zh-CN"/>
              </w:rPr>
              <w:t>2+</w:t>
            </w:r>
            <w:r>
              <w:rPr>
                <w:rFonts w:hint="eastAsia" w:eastAsia="宋体"/>
                <w:sz w:val="21"/>
                <w:szCs w:val="21"/>
                <w:lang w:eastAsia="zh-CN"/>
              </w:rPr>
              <w:t>)</w:t>
            </w:r>
          </w:p>
        </w:tc>
        <w:tc>
          <w:tcPr>
            <w:tcW w:w="1701" w:type="dxa"/>
            <w:tcBorders>
              <w:top w:val="single" w:color="auto" w:sz="8" w:space="0"/>
              <w:left w:val="nil"/>
              <w:bottom w:val="single" w:color="auto" w:sz="8" w:space="0"/>
              <w:right w:val="nil"/>
            </w:tcBorders>
            <w:vAlign w:val="center"/>
          </w:tcPr>
          <w:p w14:paraId="67A4145B">
            <w:pPr>
              <w:spacing w:line="360" w:lineRule="auto"/>
              <w:jc w:val="center"/>
              <w:rPr>
                <w:rFonts w:eastAsia="宋体"/>
                <w:sz w:val="21"/>
                <w:szCs w:val="21"/>
                <w:lang w:eastAsia="zh-CN"/>
              </w:rPr>
            </w:pPr>
            <w:r>
              <w:rPr>
                <w:rFonts w:hint="eastAsia" w:eastAsia="宋体"/>
                <w:sz w:val="21"/>
                <w:szCs w:val="21"/>
                <w:lang w:eastAsia="zh-CN"/>
              </w:rPr>
              <w:t>N</w:t>
            </w:r>
            <w:r>
              <w:rPr>
                <w:rFonts w:eastAsia="宋体"/>
                <w:sz w:val="21"/>
                <w:szCs w:val="21"/>
                <w:lang w:val="de-DE" w:eastAsia="zh-CN"/>
              </w:rPr>
              <w:sym w:font="Symbol" w:char="F02D"/>
            </w:r>
            <w:r>
              <w:rPr>
                <w:rFonts w:hint="eastAsia" w:eastAsia="宋体"/>
                <w:sz w:val="21"/>
                <w:szCs w:val="21"/>
                <w:lang w:eastAsia="zh-CN"/>
              </w:rPr>
              <w:t>2 state</w:t>
            </w:r>
            <w:r>
              <w:rPr>
                <w:rFonts w:eastAsia="宋体"/>
                <w:sz w:val="21"/>
                <w:szCs w:val="21"/>
                <w:lang w:eastAsia="zh-CN"/>
              </w:rPr>
              <w:t xml:space="preserve"> </w:t>
            </w:r>
            <w:r>
              <w:rPr>
                <w:rFonts w:hint="eastAsia" w:eastAsia="宋体"/>
                <w:sz w:val="21"/>
                <w:szCs w:val="21"/>
                <w:lang w:eastAsia="zh-CN"/>
              </w:rPr>
              <w:t>(</w:t>
            </w:r>
            <w:r>
              <w:rPr>
                <w:rFonts w:hint="eastAsia" w:eastAsia="宋体"/>
                <w:i/>
                <w:iCs/>
                <w:sz w:val="21"/>
                <w:szCs w:val="21"/>
                <w:lang w:eastAsia="zh-CN"/>
              </w:rPr>
              <w:t>T</w:t>
            </w:r>
            <w:r>
              <w:rPr>
                <w:rFonts w:hint="eastAsia" w:eastAsia="宋体"/>
                <w:sz w:val="21"/>
                <w:szCs w:val="21"/>
                <w:vertAlign w:val="subscript"/>
                <w:lang w:eastAsia="zh-CN"/>
              </w:rPr>
              <w:t>1</w:t>
            </w:r>
            <w:r>
              <w:rPr>
                <w:rFonts w:hint="eastAsia" w:eastAsia="宋体"/>
                <w:sz w:val="21"/>
                <w:szCs w:val="21"/>
                <w:vertAlign w:val="superscript"/>
                <w:lang w:eastAsia="zh-CN"/>
              </w:rPr>
              <w:t>2+</w:t>
            </w:r>
            <w:r>
              <w:rPr>
                <w:rFonts w:hint="eastAsia" w:eastAsia="宋体"/>
                <w:sz w:val="21"/>
                <w:szCs w:val="21"/>
                <w:lang w:eastAsia="zh-CN"/>
              </w:rPr>
              <w:t>)</w:t>
            </w:r>
          </w:p>
        </w:tc>
      </w:tr>
      <w:tr w14:paraId="7538F474">
        <w:tblPrEx>
          <w:tblCellMar>
            <w:top w:w="0" w:type="dxa"/>
            <w:left w:w="108" w:type="dxa"/>
            <w:bottom w:w="0" w:type="dxa"/>
            <w:right w:w="108" w:type="dxa"/>
          </w:tblCellMar>
        </w:tblPrEx>
        <w:trPr>
          <w:trHeight w:val="48" w:hRule="atLeast"/>
          <w:jc w:val="center"/>
        </w:trPr>
        <w:tc>
          <w:tcPr>
            <w:tcW w:w="1701" w:type="dxa"/>
            <w:tcBorders>
              <w:top w:val="single" w:color="auto" w:sz="8" w:space="0"/>
              <w:left w:val="nil"/>
              <w:bottom w:val="nil"/>
              <w:right w:val="nil"/>
            </w:tcBorders>
            <w:shd w:val="clear" w:color="auto" w:fill="auto"/>
            <w:noWrap/>
            <w:vAlign w:val="center"/>
          </w:tcPr>
          <w:p w14:paraId="54B65C38">
            <w:pPr>
              <w:spacing w:line="360" w:lineRule="auto"/>
              <w:jc w:val="center"/>
              <w:rPr>
                <w:rFonts w:eastAsia="宋体"/>
                <w:sz w:val="21"/>
                <w:szCs w:val="21"/>
                <w:lang w:eastAsia="zh-CN"/>
              </w:rPr>
            </w:pPr>
            <w:r>
              <w:rPr>
                <w:rFonts w:hint="eastAsia" w:eastAsia="宋体"/>
                <w:sz w:val="21"/>
                <w:szCs w:val="21"/>
                <w:lang w:eastAsia="zh-CN"/>
              </w:rPr>
              <w:t>0.8 V</w:t>
            </w:r>
          </w:p>
        </w:tc>
        <w:tc>
          <w:tcPr>
            <w:tcW w:w="1701" w:type="dxa"/>
            <w:tcBorders>
              <w:top w:val="single" w:color="auto" w:sz="8" w:space="0"/>
              <w:left w:val="nil"/>
              <w:bottom w:val="nil"/>
              <w:right w:val="nil"/>
            </w:tcBorders>
            <w:shd w:val="clear" w:color="auto" w:fill="auto"/>
            <w:noWrap/>
            <w:vAlign w:val="center"/>
          </w:tcPr>
          <w:p w14:paraId="72FCC168">
            <w:pPr>
              <w:spacing w:line="360" w:lineRule="auto"/>
              <w:jc w:val="center"/>
              <w:rPr>
                <w:rFonts w:eastAsia="宋体"/>
                <w:sz w:val="21"/>
                <w:szCs w:val="21"/>
                <w:lang w:eastAsia="zh-CN"/>
              </w:rPr>
            </w:pPr>
            <w:r>
              <w:rPr>
                <w:rFonts w:hint="eastAsia" w:eastAsia="宋体"/>
                <w:sz w:val="21"/>
                <w:szCs w:val="21"/>
                <w:lang w:eastAsia="zh-CN"/>
              </w:rPr>
              <w:t>-5.12 Debye</w:t>
            </w:r>
          </w:p>
        </w:tc>
        <w:tc>
          <w:tcPr>
            <w:tcW w:w="1701" w:type="dxa"/>
            <w:tcBorders>
              <w:top w:val="single" w:color="auto" w:sz="8" w:space="0"/>
              <w:left w:val="nil"/>
              <w:bottom w:val="nil"/>
              <w:right w:val="nil"/>
            </w:tcBorders>
            <w:shd w:val="clear" w:color="auto" w:fill="auto"/>
            <w:noWrap/>
            <w:vAlign w:val="center"/>
          </w:tcPr>
          <w:p w14:paraId="6594B6A7">
            <w:pPr>
              <w:spacing w:line="360" w:lineRule="auto"/>
              <w:jc w:val="center"/>
              <w:rPr>
                <w:rFonts w:eastAsia="宋体"/>
                <w:sz w:val="21"/>
                <w:szCs w:val="21"/>
                <w:lang w:eastAsia="zh-CN"/>
              </w:rPr>
            </w:pPr>
            <w:r>
              <w:rPr>
                <w:rFonts w:hint="eastAsia" w:eastAsia="宋体"/>
                <w:sz w:val="21"/>
                <w:szCs w:val="21"/>
                <w:lang w:eastAsia="zh-CN"/>
              </w:rPr>
              <w:t>-14.37 Debye</w:t>
            </w:r>
          </w:p>
        </w:tc>
        <w:tc>
          <w:tcPr>
            <w:tcW w:w="1701" w:type="dxa"/>
            <w:tcBorders>
              <w:top w:val="single" w:color="auto" w:sz="8" w:space="0"/>
              <w:left w:val="nil"/>
              <w:bottom w:val="nil"/>
              <w:right w:val="nil"/>
            </w:tcBorders>
            <w:shd w:val="clear" w:color="auto" w:fill="auto"/>
            <w:noWrap/>
            <w:vAlign w:val="center"/>
          </w:tcPr>
          <w:p w14:paraId="153018E2">
            <w:pPr>
              <w:spacing w:line="360" w:lineRule="auto"/>
              <w:jc w:val="center"/>
              <w:rPr>
                <w:rFonts w:eastAsia="宋体"/>
                <w:sz w:val="21"/>
                <w:szCs w:val="21"/>
                <w:lang w:eastAsia="zh-CN"/>
              </w:rPr>
            </w:pPr>
            <w:r>
              <w:rPr>
                <w:rFonts w:hint="eastAsia" w:eastAsia="宋体"/>
                <w:sz w:val="21"/>
                <w:szCs w:val="21"/>
                <w:lang w:eastAsia="zh-CN"/>
              </w:rPr>
              <w:t>-14.20 Debye</w:t>
            </w:r>
          </w:p>
        </w:tc>
        <w:tc>
          <w:tcPr>
            <w:tcW w:w="1701" w:type="dxa"/>
            <w:tcBorders>
              <w:top w:val="single" w:color="auto" w:sz="8" w:space="0"/>
              <w:left w:val="nil"/>
              <w:bottom w:val="nil"/>
              <w:right w:val="nil"/>
            </w:tcBorders>
            <w:vAlign w:val="center"/>
          </w:tcPr>
          <w:p w14:paraId="7137655F">
            <w:pPr>
              <w:spacing w:line="360" w:lineRule="auto"/>
              <w:jc w:val="center"/>
              <w:rPr>
                <w:rFonts w:eastAsia="宋体"/>
                <w:sz w:val="21"/>
                <w:szCs w:val="21"/>
                <w:lang w:eastAsia="zh-CN"/>
              </w:rPr>
            </w:pPr>
            <w:r>
              <w:rPr>
                <w:rFonts w:hint="eastAsia" w:eastAsia="宋体"/>
                <w:sz w:val="21"/>
                <w:szCs w:val="21"/>
                <w:lang w:eastAsia="zh-CN"/>
              </w:rPr>
              <w:t>-</w:t>
            </w:r>
            <w:r>
              <w:rPr>
                <w:rFonts w:eastAsia="宋体"/>
                <w:sz w:val="21"/>
                <w:szCs w:val="21"/>
                <w:lang w:eastAsia="zh-CN"/>
              </w:rPr>
              <w:t>11.64</w:t>
            </w:r>
            <w:r>
              <w:rPr>
                <w:rFonts w:hint="eastAsia" w:eastAsia="宋体"/>
                <w:sz w:val="21"/>
                <w:szCs w:val="21"/>
                <w:lang w:eastAsia="zh-CN"/>
              </w:rPr>
              <w:t xml:space="preserve"> Debye</w:t>
            </w:r>
          </w:p>
        </w:tc>
      </w:tr>
      <w:tr w14:paraId="47EC974B">
        <w:tblPrEx>
          <w:tblCellMar>
            <w:top w:w="0" w:type="dxa"/>
            <w:left w:w="108" w:type="dxa"/>
            <w:bottom w:w="0" w:type="dxa"/>
            <w:right w:w="108" w:type="dxa"/>
          </w:tblCellMar>
        </w:tblPrEx>
        <w:trPr>
          <w:trHeight w:val="367" w:hRule="atLeast"/>
          <w:jc w:val="center"/>
        </w:trPr>
        <w:tc>
          <w:tcPr>
            <w:tcW w:w="1701" w:type="dxa"/>
            <w:tcBorders>
              <w:top w:val="nil"/>
              <w:left w:val="nil"/>
              <w:bottom w:val="single" w:color="auto" w:sz="8" w:space="0"/>
              <w:right w:val="nil"/>
            </w:tcBorders>
            <w:shd w:val="clear" w:color="auto" w:fill="auto"/>
            <w:noWrap/>
            <w:vAlign w:val="center"/>
          </w:tcPr>
          <w:p w14:paraId="25070B97">
            <w:pPr>
              <w:spacing w:line="360" w:lineRule="auto"/>
              <w:jc w:val="center"/>
              <w:rPr>
                <w:rFonts w:eastAsia="宋体"/>
                <w:sz w:val="21"/>
                <w:szCs w:val="21"/>
                <w:lang w:eastAsia="zh-CN"/>
              </w:rPr>
            </w:pPr>
            <w:r>
              <w:rPr>
                <w:rFonts w:hint="eastAsia" w:eastAsia="宋体"/>
                <w:sz w:val="21"/>
                <w:szCs w:val="21"/>
                <w:lang w:eastAsia="zh-CN"/>
              </w:rPr>
              <w:t>0 V</w:t>
            </w:r>
          </w:p>
        </w:tc>
        <w:tc>
          <w:tcPr>
            <w:tcW w:w="1701" w:type="dxa"/>
            <w:tcBorders>
              <w:top w:val="nil"/>
              <w:left w:val="nil"/>
              <w:bottom w:val="single" w:color="auto" w:sz="8" w:space="0"/>
              <w:right w:val="nil"/>
            </w:tcBorders>
            <w:shd w:val="clear" w:color="auto" w:fill="auto"/>
            <w:noWrap/>
            <w:vAlign w:val="center"/>
          </w:tcPr>
          <w:p w14:paraId="1A5466AA">
            <w:pPr>
              <w:spacing w:line="360" w:lineRule="auto"/>
              <w:jc w:val="center"/>
              <w:rPr>
                <w:rFonts w:eastAsia="宋体"/>
                <w:sz w:val="21"/>
                <w:szCs w:val="21"/>
                <w:lang w:eastAsia="zh-CN"/>
              </w:rPr>
            </w:pPr>
            <w:r>
              <w:rPr>
                <w:rFonts w:hint="eastAsia" w:eastAsia="宋体"/>
                <w:sz w:val="21"/>
                <w:szCs w:val="21"/>
                <w:lang w:eastAsia="zh-CN"/>
              </w:rPr>
              <w:t>0 Debye</w:t>
            </w:r>
          </w:p>
        </w:tc>
        <w:tc>
          <w:tcPr>
            <w:tcW w:w="1701" w:type="dxa"/>
            <w:tcBorders>
              <w:top w:val="nil"/>
              <w:left w:val="nil"/>
              <w:bottom w:val="single" w:color="auto" w:sz="8" w:space="0"/>
              <w:right w:val="nil"/>
            </w:tcBorders>
            <w:shd w:val="clear" w:color="auto" w:fill="auto"/>
            <w:noWrap/>
            <w:vAlign w:val="center"/>
          </w:tcPr>
          <w:p w14:paraId="32F35430">
            <w:pPr>
              <w:spacing w:line="360" w:lineRule="auto"/>
              <w:jc w:val="center"/>
              <w:rPr>
                <w:rFonts w:eastAsia="宋体"/>
                <w:sz w:val="21"/>
                <w:szCs w:val="21"/>
                <w:lang w:eastAsia="zh-CN"/>
              </w:rPr>
            </w:pPr>
            <w:r>
              <w:rPr>
                <w:rFonts w:hint="eastAsia" w:eastAsia="宋体"/>
                <w:sz w:val="21"/>
                <w:szCs w:val="21"/>
                <w:lang w:eastAsia="zh-CN"/>
              </w:rPr>
              <w:t>0 Debye</w:t>
            </w:r>
          </w:p>
        </w:tc>
        <w:tc>
          <w:tcPr>
            <w:tcW w:w="1701" w:type="dxa"/>
            <w:tcBorders>
              <w:top w:val="nil"/>
              <w:left w:val="nil"/>
              <w:bottom w:val="single" w:color="auto" w:sz="8" w:space="0"/>
              <w:right w:val="nil"/>
            </w:tcBorders>
            <w:shd w:val="clear" w:color="auto" w:fill="auto"/>
            <w:noWrap/>
            <w:vAlign w:val="center"/>
          </w:tcPr>
          <w:p w14:paraId="3BF17367">
            <w:pPr>
              <w:spacing w:line="360" w:lineRule="auto"/>
              <w:jc w:val="center"/>
              <w:rPr>
                <w:rFonts w:eastAsia="宋体"/>
                <w:sz w:val="21"/>
                <w:szCs w:val="21"/>
                <w:lang w:eastAsia="zh-CN"/>
              </w:rPr>
            </w:pPr>
            <w:r>
              <w:rPr>
                <w:rFonts w:hint="eastAsia" w:eastAsia="宋体"/>
                <w:sz w:val="21"/>
                <w:szCs w:val="21"/>
                <w:lang w:eastAsia="zh-CN"/>
              </w:rPr>
              <w:t>0 Debye</w:t>
            </w:r>
          </w:p>
        </w:tc>
        <w:tc>
          <w:tcPr>
            <w:tcW w:w="1701" w:type="dxa"/>
            <w:tcBorders>
              <w:top w:val="nil"/>
              <w:left w:val="nil"/>
              <w:bottom w:val="single" w:color="auto" w:sz="8" w:space="0"/>
              <w:right w:val="nil"/>
            </w:tcBorders>
            <w:vAlign w:val="center"/>
          </w:tcPr>
          <w:p w14:paraId="38E51893">
            <w:pPr>
              <w:spacing w:line="360" w:lineRule="auto"/>
              <w:jc w:val="center"/>
              <w:rPr>
                <w:rFonts w:eastAsia="宋体"/>
                <w:sz w:val="21"/>
                <w:szCs w:val="21"/>
                <w:lang w:eastAsia="zh-CN"/>
              </w:rPr>
            </w:pPr>
            <w:r>
              <w:rPr>
                <w:rFonts w:hint="eastAsia" w:eastAsia="宋体"/>
                <w:sz w:val="21"/>
                <w:szCs w:val="21"/>
                <w:lang w:eastAsia="zh-CN"/>
              </w:rPr>
              <w:t>0 Debye</w:t>
            </w:r>
          </w:p>
        </w:tc>
      </w:tr>
    </w:tbl>
    <w:p w14:paraId="5C584F7C">
      <w:pPr>
        <w:spacing w:line="360" w:lineRule="auto"/>
        <w:rPr>
          <w:rFonts w:eastAsia="宋体"/>
          <w:sz w:val="21"/>
          <w:szCs w:val="21"/>
          <w:lang w:eastAsia="zh-CN"/>
        </w:rPr>
      </w:pPr>
    </w:p>
    <w:p w14:paraId="4C34BC03">
      <w:pPr>
        <w:spacing w:line="360" w:lineRule="auto"/>
        <w:jc w:val="center"/>
        <w:rPr>
          <w:rFonts w:eastAsia="宋体"/>
          <w:b/>
          <w:sz w:val="21"/>
          <w:szCs w:val="21"/>
          <w:lang w:eastAsia="zh-CN"/>
        </w:rPr>
      </w:pPr>
      <w:r>
        <w:rPr>
          <w:rFonts w:eastAsia="宋体"/>
          <w:b/>
          <w:sz w:val="21"/>
          <w:szCs w:val="21"/>
          <w:lang w:eastAsia="zh-CN"/>
        </w:rPr>
        <w:drawing>
          <wp:inline distT="0" distB="0" distL="0" distR="0">
            <wp:extent cx="3297555" cy="3836670"/>
            <wp:effectExtent l="0" t="0" r="0" b="0"/>
            <wp:docPr id="15160601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60160"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7578" cy="3837250"/>
                    </a:xfrm>
                    <a:prstGeom prst="rect">
                      <a:avLst/>
                    </a:prstGeom>
                    <a:noFill/>
                  </pic:spPr>
                </pic:pic>
              </a:graphicData>
            </a:graphic>
          </wp:inline>
        </w:drawing>
      </w:r>
    </w:p>
    <w:p w14:paraId="42EE37EA">
      <w:pPr>
        <w:jc w:val="both"/>
        <w:rPr>
          <w:rFonts w:eastAsia="宋体"/>
          <w:szCs w:val="21"/>
          <w:lang w:eastAsia="zh-CN"/>
        </w:rPr>
      </w:pPr>
      <w:r>
        <w:rPr>
          <w:rFonts w:eastAsia="宋体"/>
          <w:b/>
          <w:szCs w:val="21"/>
          <w:lang w:eastAsia="zh-CN"/>
        </w:rPr>
        <w:t>Fig. S18 Calculated molecular structure and frontier orbitals of BP molecule</w:t>
      </w:r>
      <w:r>
        <w:rPr>
          <w:rFonts w:eastAsia="宋体"/>
          <w:szCs w:val="21"/>
          <w:lang w:eastAsia="zh-CN"/>
        </w:rPr>
        <w:t xml:space="preserve">. </w:t>
      </w:r>
      <w:r>
        <w:rPr>
          <w:rFonts w:eastAsia="宋体"/>
          <w:b/>
          <w:szCs w:val="21"/>
          <w:lang w:eastAsia="zh-CN"/>
        </w:rPr>
        <w:t>a</w:t>
      </w:r>
      <w:r>
        <w:rPr>
          <w:rFonts w:eastAsia="宋体"/>
          <w:szCs w:val="21"/>
          <w:lang w:eastAsia="zh-CN"/>
        </w:rPr>
        <w:t xml:space="preserve">, Schematic diagram of structural simplification. </w:t>
      </w:r>
      <w:r>
        <w:rPr>
          <w:rFonts w:eastAsia="宋体"/>
          <w:b/>
          <w:szCs w:val="21"/>
          <w:lang w:eastAsia="zh-CN"/>
        </w:rPr>
        <w:t>b</w:t>
      </w:r>
      <w:r>
        <w:rPr>
          <w:rFonts w:eastAsia="宋体"/>
          <w:szCs w:val="21"/>
          <w:lang w:eastAsia="zh-CN"/>
        </w:rPr>
        <w:t xml:space="preserve">, The top view, side view and symmetry of </w:t>
      </w:r>
      <w:r>
        <w:rPr>
          <w:rFonts w:eastAsia="宋体"/>
          <w:b/>
          <w:szCs w:val="21"/>
          <w:lang w:eastAsia="zh-CN"/>
        </w:rPr>
        <w:t>BP</w:t>
      </w:r>
      <w:r>
        <w:rPr>
          <w:rFonts w:eastAsia="宋体"/>
          <w:szCs w:val="21"/>
          <w:lang w:eastAsia="zh-CN"/>
        </w:rPr>
        <w:t xml:space="preserve"> molecule. </w:t>
      </w:r>
      <w:r>
        <w:rPr>
          <w:rFonts w:eastAsia="宋体"/>
          <w:b/>
          <w:szCs w:val="21"/>
          <w:lang w:eastAsia="zh-CN"/>
        </w:rPr>
        <w:t>c</w:t>
      </w:r>
      <w:r>
        <w:rPr>
          <w:rFonts w:eastAsia="宋体"/>
          <w:szCs w:val="21"/>
          <w:lang w:eastAsia="zh-CN"/>
        </w:rPr>
        <w:t xml:space="preserve">, Energy level and molecular frontier orbitals of </w:t>
      </w:r>
      <w:r>
        <w:rPr>
          <w:rFonts w:eastAsia="宋体"/>
          <w:b/>
          <w:szCs w:val="21"/>
          <w:lang w:eastAsia="zh-CN"/>
        </w:rPr>
        <w:t>BP</w:t>
      </w:r>
      <w:r>
        <w:rPr>
          <w:rFonts w:eastAsia="宋体"/>
          <w:szCs w:val="21"/>
          <w:lang w:eastAsia="zh-CN"/>
        </w:rPr>
        <w:t xml:space="preserve"> molecular frontier orbitals.</w:t>
      </w:r>
    </w:p>
    <w:p w14:paraId="2CC2C9DD">
      <w:pPr>
        <w:widowControl w:val="0"/>
        <w:rPr>
          <w:rFonts w:eastAsia="宋体"/>
          <w:b/>
          <w:szCs w:val="21"/>
          <w:lang w:eastAsia="zh-CN"/>
        </w:rPr>
      </w:pPr>
    </w:p>
    <w:p w14:paraId="2FC6E687">
      <w:pPr>
        <w:jc w:val="both"/>
        <w:rPr>
          <w:rFonts w:eastAsia="宋体"/>
          <w:sz w:val="21"/>
          <w:szCs w:val="21"/>
          <w:lang w:eastAsia="zh-CN"/>
        </w:rPr>
      </w:pPr>
      <w:r>
        <w:rPr>
          <w:rFonts w:eastAsia="宋体"/>
          <w:szCs w:val="24"/>
          <w:lang w:eastAsia="zh-CN"/>
        </w:rPr>
        <w:t xml:space="preserve">We plot the energy alignment between electrode and molecular is shown at </w:t>
      </w:r>
      <w:r>
        <w:rPr>
          <w:rFonts w:eastAsia="宋体"/>
          <w:b/>
          <w:szCs w:val="24"/>
          <w:lang w:eastAsia="zh-CN"/>
        </w:rPr>
        <w:t>Fig. S21</w:t>
      </w:r>
      <w:r>
        <w:rPr>
          <w:rFonts w:eastAsia="宋体"/>
          <w:szCs w:val="24"/>
          <w:lang w:eastAsia="zh-CN"/>
        </w:rPr>
        <w:t xml:space="preserve"> in a single-particle picture according to the calculated results. The resonant peaks occur in </w:t>
      </w:r>
      <w:r>
        <w:rPr>
          <w:rFonts w:eastAsia="宋体"/>
          <w:b/>
          <w:szCs w:val="24"/>
          <w:lang w:eastAsia="zh-CN"/>
        </w:rPr>
        <w:t>Fig.4</w:t>
      </w:r>
      <w:r>
        <w:rPr>
          <w:rFonts w:eastAsia="宋体"/>
          <w:szCs w:val="24"/>
          <w:lang w:eastAsia="zh-CN"/>
        </w:rPr>
        <w:t xml:space="preserve"> </w:t>
      </w:r>
      <w:r>
        <w:rPr>
          <w:rFonts w:eastAsia="等线"/>
          <w:kern w:val="2"/>
          <w:szCs w:val="24"/>
          <w:lang w:eastAsia="zh-CN"/>
        </w:rPr>
        <w:t>corresponds</w:t>
      </w:r>
      <w:r>
        <w:rPr>
          <w:rFonts w:eastAsia="宋体"/>
          <w:szCs w:val="24"/>
          <w:lang w:eastAsia="zh-CN"/>
        </w:rPr>
        <w:t xml:space="preserve"> to the transition from </w:t>
      </w:r>
      <w:r>
        <w:rPr>
          <w:rFonts w:hint="eastAsia" w:eastAsia="宋体"/>
          <w:i/>
          <w:iCs/>
          <w:szCs w:val="24"/>
          <w:lang w:eastAsia="zh-CN"/>
        </w:rPr>
        <w:t>T</w:t>
      </w:r>
      <w:r>
        <w:rPr>
          <w:rFonts w:hint="eastAsia" w:eastAsia="宋体"/>
          <w:szCs w:val="24"/>
          <w:vertAlign w:val="subscript"/>
          <w:lang w:eastAsia="zh-CN"/>
        </w:rPr>
        <w:t>1</w:t>
      </w:r>
      <w:r>
        <w:rPr>
          <w:rFonts w:hint="eastAsia" w:eastAsia="宋体"/>
          <w:szCs w:val="24"/>
          <w:vertAlign w:val="superscript"/>
          <w:lang w:eastAsia="zh-CN"/>
        </w:rPr>
        <w:t>2+</w:t>
      </w:r>
      <w:r>
        <w:rPr>
          <w:rFonts w:eastAsia="宋体"/>
          <w:szCs w:val="24"/>
          <w:vertAlign w:val="superscript"/>
          <w:lang w:eastAsia="zh-CN"/>
        </w:rPr>
        <w:t xml:space="preserve"> </w:t>
      </w:r>
      <w:r>
        <w:rPr>
          <w:rFonts w:eastAsia="宋体"/>
          <w:szCs w:val="24"/>
          <w:lang w:eastAsia="zh-CN"/>
        </w:rPr>
        <w:t xml:space="preserve">and </w:t>
      </w:r>
      <w:r>
        <w:rPr>
          <w:rFonts w:hint="eastAsia" w:eastAsia="宋体"/>
          <w:i/>
          <w:iCs/>
          <w:szCs w:val="24"/>
          <w:lang w:eastAsia="zh-CN"/>
        </w:rPr>
        <w:t>S</w:t>
      </w:r>
      <w:r>
        <w:rPr>
          <w:rFonts w:hint="eastAsia" w:eastAsia="宋体"/>
          <w:szCs w:val="24"/>
          <w:vertAlign w:val="subscript"/>
          <w:lang w:eastAsia="zh-CN"/>
        </w:rPr>
        <w:t>0</w:t>
      </w:r>
      <w:r>
        <w:rPr>
          <w:rFonts w:hint="eastAsia" w:eastAsia="宋体"/>
          <w:szCs w:val="24"/>
          <w:vertAlign w:val="superscript"/>
          <w:lang w:eastAsia="zh-CN"/>
        </w:rPr>
        <w:t>2+</w:t>
      </w:r>
      <w:r>
        <w:rPr>
          <w:rFonts w:eastAsia="宋体"/>
          <w:szCs w:val="24"/>
          <w:vertAlign w:val="superscript"/>
          <w:lang w:eastAsia="zh-CN"/>
        </w:rPr>
        <w:t xml:space="preserve"> </w:t>
      </w:r>
      <w:r>
        <w:rPr>
          <w:rFonts w:eastAsia="宋体"/>
          <w:szCs w:val="24"/>
          <w:lang w:eastAsia="zh-CN"/>
        </w:rPr>
        <w:t xml:space="preserve">to </w:t>
      </w:r>
      <w:r>
        <w:rPr>
          <w:rFonts w:eastAsia="宋体"/>
          <w:i/>
          <w:iCs/>
          <w:szCs w:val="24"/>
          <w:lang w:eastAsia="zh-CN"/>
        </w:rPr>
        <w:t>D</w:t>
      </w:r>
      <w:r>
        <w:rPr>
          <w:rFonts w:eastAsia="宋体"/>
          <w:szCs w:val="24"/>
          <w:vertAlign w:val="subscript"/>
          <w:lang w:eastAsia="zh-CN"/>
        </w:rPr>
        <w:t>n</w:t>
      </w:r>
      <w:r>
        <w:rPr>
          <w:rFonts w:eastAsia="宋体"/>
          <w:szCs w:val="24"/>
          <w:vertAlign w:val="superscript"/>
          <w:lang w:eastAsia="zh-CN"/>
        </w:rPr>
        <w:t>+</w:t>
      </w:r>
      <w:r>
        <w:rPr>
          <w:rFonts w:eastAsia="宋体"/>
          <w:szCs w:val="24"/>
          <w:lang w:eastAsia="zh-CN"/>
        </w:rPr>
        <w:t xml:space="preserve"> in a many-body picture.</w:t>
      </w:r>
    </w:p>
    <w:p w14:paraId="73820C16">
      <w:pPr>
        <w:jc w:val="both"/>
        <w:rPr>
          <w:rFonts w:eastAsia="宋体"/>
          <w:sz w:val="21"/>
          <w:szCs w:val="21"/>
          <w:lang w:eastAsia="zh-CN"/>
        </w:rPr>
      </w:pPr>
    </w:p>
    <w:p w14:paraId="771EB091">
      <w:pPr>
        <w:widowControl w:val="0"/>
        <w:jc w:val="center"/>
        <w:rPr>
          <w:rFonts w:eastAsia="等线"/>
          <w:kern w:val="2"/>
          <w:szCs w:val="24"/>
          <w:lang w:eastAsia="zh-CN"/>
        </w:rPr>
      </w:pPr>
      <w:r>
        <w:rPr>
          <w:rFonts w:eastAsia="等线"/>
          <w:kern w:val="2"/>
          <w:szCs w:val="24"/>
          <w:lang w:eastAsia="zh-CN"/>
        </w:rPr>
        <w:drawing>
          <wp:inline distT="0" distB="0" distL="0" distR="0">
            <wp:extent cx="4159250" cy="205740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3294" cy="2074533"/>
                    </a:xfrm>
                    <a:prstGeom prst="rect">
                      <a:avLst/>
                    </a:prstGeom>
                  </pic:spPr>
                </pic:pic>
              </a:graphicData>
            </a:graphic>
          </wp:inline>
        </w:drawing>
      </w:r>
    </w:p>
    <w:p w14:paraId="6F68A876">
      <w:pPr>
        <w:widowControl w:val="0"/>
        <w:jc w:val="center"/>
        <w:rPr>
          <w:rFonts w:eastAsia="宋体"/>
          <w:b/>
          <w:szCs w:val="21"/>
          <w:lang w:eastAsia="zh-CN"/>
        </w:rPr>
      </w:pPr>
      <w:r>
        <w:rPr>
          <w:rFonts w:eastAsia="宋体"/>
          <w:b/>
          <w:szCs w:val="21"/>
          <w:lang w:eastAsia="zh-CN"/>
        </w:rPr>
        <w:t xml:space="preserve">Fig. S19 </w:t>
      </w:r>
      <w:r>
        <w:rPr>
          <w:rFonts w:hint="eastAsia" w:eastAsia="宋体"/>
          <w:b/>
          <w:szCs w:val="21"/>
          <w:lang w:eastAsia="zh-CN"/>
        </w:rPr>
        <w:t>Illustra</w:t>
      </w:r>
      <w:r>
        <w:rPr>
          <w:rFonts w:eastAsia="宋体"/>
          <w:b/>
          <w:szCs w:val="21"/>
          <w:lang w:eastAsia="zh-CN"/>
        </w:rPr>
        <w:t>tion of single-particle picture and many-body pictures of the resonance peaks in Fig.4</w:t>
      </w:r>
    </w:p>
    <w:p w14:paraId="4727CC83">
      <w:pPr>
        <w:widowControl w:val="0"/>
        <w:rPr>
          <w:rFonts w:eastAsia="等线"/>
          <w:kern w:val="2"/>
          <w:szCs w:val="24"/>
          <w:lang w:eastAsia="zh-CN"/>
        </w:rPr>
      </w:pPr>
    </w:p>
    <w:p w14:paraId="773481F9">
      <w:pPr>
        <w:jc w:val="both"/>
      </w:pPr>
      <w:r>
        <w:t>To exclude the contribution of structural relaxation-induced changes in the energy level structure, we optimized the molecular junction configurations for different charged states. For isolated molecules, the structures showed negligible variation across charged states, necessitating investigation of electrode-coupled configurations. We employed hydrogen-saturated graphene fragments as electrodes and optimized the molecular junction using the B3LYP-D3(BJ) functional with the 6-31G(d) basis set. The initial electrode separation was set to ~10.9 Å (C···C distance, matching the spacing between two pyrene groups in the molecule). During optimization, we fixed the electrodes while allowing the molecule to relax without constraints, simultaneously applying a 1 V/nm electric field along the electrode axis.</w:t>
      </w:r>
    </w:p>
    <w:p w14:paraId="15AA82ED">
      <w:pPr>
        <w:jc w:val="both"/>
      </w:pPr>
    </w:p>
    <w:p w14:paraId="3AAC5CB4">
      <w:pPr>
        <w:widowControl w:val="0"/>
        <w:jc w:val="both"/>
      </w:pPr>
      <w:r>
        <w:t xml:space="preserve">As shown in </w:t>
      </w:r>
      <w:r>
        <w:rPr>
          <w:b/>
        </w:rPr>
        <w:t>Fig. S20</w:t>
      </w:r>
      <w:r>
        <w:t xml:space="preserve">, electrostatic interactions between oxygen atoms and hydrogen atoms on the graphene electrodes induced rotation of the central benzene ring in the molecule, with distinct dihedral angles observed for different charged states. Additionally, charged states exhibited varying stacking offsets relative to graphene, particularly pronounced for </w:t>
      </w:r>
      <w:r>
        <w:rPr>
          <w:rFonts w:eastAsia="等线"/>
          <w:bCs/>
          <w:i/>
          <w:iCs/>
          <w:kern w:val="2"/>
          <w:szCs w:val="24"/>
          <w:lang w:eastAsia="zh-CN"/>
        </w:rPr>
        <w:t>T</w:t>
      </w:r>
      <w:r>
        <w:rPr>
          <w:rFonts w:eastAsia="等线"/>
          <w:bCs/>
          <w:kern w:val="2"/>
          <w:szCs w:val="24"/>
          <w:vertAlign w:val="subscript"/>
          <w:lang w:eastAsia="zh-CN"/>
        </w:rPr>
        <w:t>1</w:t>
      </w:r>
      <w:r>
        <w:rPr>
          <w:rFonts w:eastAsia="等线"/>
          <w:bCs/>
          <w:kern w:val="2"/>
          <w:szCs w:val="24"/>
          <w:vertAlign w:val="superscript"/>
          <w:lang w:eastAsia="zh-CN"/>
        </w:rPr>
        <w:t>2+</w:t>
      </w:r>
      <w:r>
        <w:t>. Using these optimized structures, we calculated single-electron energy level changes before and after structural relaxation within the same electronic state. The structural modifications were found to induce negligible energy level and state energy shifts (</w:t>
      </w:r>
      <w:r>
        <w:rPr>
          <w:b/>
        </w:rPr>
        <w:t>Fig. S21 and Table S3</w:t>
      </w:r>
      <w:r>
        <w:t>, mostly &lt;0.</w:t>
      </w:r>
      <w:r>
        <w:rPr>
          <w:lang w:eastAsia="zh-CN"/>
        </w:rPr>
        <w:t>1</w:t>
      </w:r>
      <w:r>
        <w:t xml:space="preserve"> eV), thereby confirming that configurational relaxation of the molecular junction contributes negligibly to the electronic energy levels. </w:t>
      </w:r>
    </w:p>
    <w:p w14:paraId="584E098D">
      <w:pPr>
        <w:jc w:val="both"/>
      </w:pPr>
    </w:p>
    <w:p w14:paraId="2A42FB1B">
      <w:pPr>
        <w:jc w:val="center"/>
      </w:pPr>
      <w:r>
        <w:rPr>
          <w:rFonts w:hint="eastAsia"/>
        </w:rPr>
        <w:drawing>
          <wp:inline distT="0" distB="0" distL="114300" distR="114300">
            <wp:extent cx="5099050" cy="2774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33592" cy="2793792"/>
                    </a:xfrm>
                    <a:prstGeom prst="rect">
                      <a:avLst/>
                    </a:prstGeom>
                  </pic:spPr>
                </pic:pic>
              </a:graphicData>
            </a:graphic>
          </wp:inline>
        </w:drawing>
      </w:r>
    </w:p>
    <w:p w14:paraId="2E688CA7">
      <w:pPr>
        <w:jc w:val="center"/>
        <w:rPr>
          <w:b/>
        </w:rPr>
      </w:pPr>
      <w:r>
        <w:rPr>
          <w:rFonts w:hint="eastAsia"/>
          <w:b/>
          <w:lang w:eastAsia="zh-CN"/>
        </w:rPr>
        <w:t>Fig</w:t>
      </w:r>
      <w:r>
        <w:rPr>
          <w:b/>
          <w:lang w:eastAsia="zh-CN"/>
        </w:rPr>
        <w:t>.</w:t>
      </w:r>
      <w:r>
        <w:rPr>
          <w:rFonts w:hint="eastAsia"/>
          <w:b/>
          <w:lang w:eastAsia="zh-CN"/>
        </w:rPr>
        <w:t xml:space="preserve"> </w:t>
      </w:r>
      <w:r>
        <w:rPr>
          <w:b/>
          <w:lang w:eastAsia="zh-CN"/>
        </w:rPr>
        <w:t>S20</w:t>
      </w:r>
      <w:r>
        <w:rPr>
          <w:rFonts w:hint="eastAsia"/>
          <w:b/>
          <w:lang w:eastAsia="zh-CN"/>
        </w:rPr>
        <w:t>. Optimized structures of molecular junctions for different charged states.</w:t>
      </w:r>
    </w:p>
    <w:p w14:paraId="0B1B390E">
      <w:pPr>
        <w:jc w:val="center"/>
      </w:pPr>
    </w:p>
    <w:p w14:paraId="48B40D33">
      <w:pPr>
        <w:jc w:val="center"/>
      </w:pPr>
      <w:r>
        <w:drawing>
          <wp:inline distT="0" distB="0" distL="0" distR="0">
            <wp:extent cx="5676900" cy="27940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r="6930"/>
                    <a:stretch>
                      <a:fillRect/>
                    </a:stretch>
                  </pic:blipFill>
                  <pic:spPr>
                    <a:xfrm>
                      <a:off x="0" y="0"/>
                      <a:ext cx="5718607" cy="2815137"/>
                    </a:xfrm>
                    <a:prstGeom prst="rect">
                      <a:avLst/>
                    </a:prstGeom>
                    <a:noFill/>
                    <a:ln>
                      <a:noFill/>
                    </a:ln>
                  </pic:spPr>
                </pic:pic>
              </a:graphicData>
            </a:graphic>
          </wp:inline>
        </w:drawing>
      </w:r>
    </w:p>
    <w:p w14:paraId="709AF033">
      <w:pPr>
        <w:jc w:val="center"/>
        <w:rPr>
          <w:b/>
          <w:lang w:eastAsia="zh-CN"/>
        </w:rPr>
      </w:pPr>
    </w:p>
    <w:p w14:paraId="248E03CC">
      <w:pPr>
        <w:jc w:val="center"/>
        <w:rPr>
          <w:b/>
        </w:rPr>
      </w:pPr>
      <w:r>
        <w:rPr>
          <w:rFonts w:hint="eastAsia"/>
          <w:b/>
          <w:lang w:eastAsia="zh-CN"/>
        </w:rPr>
        <w:t>Fig</w:t>
      </w:r>
      <w:r>
        <w:rPr>
          <w:b/>
          <w:lang w:eastAsia="zh-CN"/>
        </w:rPr>
        <w:t>.</w:t>
      </w:r>
      <w:r>
        <w:rPr>
          <w:rFonts w:hint="eastAsia"/>
          <w:b/>
          <w:lang w:eastAsia="zh-CN"/>
        </w:rPr>
        <w:t xml:space="preserve"> </w:t>
      </w:r>
      <w:r>
        <w:rPr>
          <w:b/>
          <w:lang w:eastAsia="zh-CN"/>
        </w:rPr>
        <w:t>S21</w:t>
      </w:r>
      <w:r>
        <w:rPr>
          <w:rFonts w:hint="eastAsia"/>
          <w:b/>
          <w:lang w:eastAsia="zh-CN"/>
        </w:rPr>
        <w:t xml:space="preserve">. </w:t>
      </w:r>
      <w:r>
        <w:rPr>
          <w:b/>
          <w:lang w:eastAsia="zh-CN"/>
        </w:rPr>
        <w:t>Energy level</w:t>
      </w:r>
      <w:r>
        <w:rPr>
          <w:rFonts w:hint="eastAsia"/>
          <w:b/>
          <w:lang w:eastAsia="zh-CN"/>
        </w:rPr>
        <w:t xml:space="preserve"> </w:t>
      </w:r>
      <w:r>
        <w:rPr>
          <w:b/>
          <w:lang w:eastAsia="zh-CN"/>
        </w:rPr>
        <w:t xml:space="preserve">of single molecule in </w:t>
      </w:r>
      <w:r>
        <w:rPr>
          <w:rFonts w:hint="eastAsia"/>
          <w:b/>
          <w:lang w:eastAsia="zh-CN"/>
        </w:rPr>
        <w:t>molecular junctions for different charged states</w:t>
      </w:r>
      <w:r>
        <w:rPr>
          <w:b/>
          <w:lang w:eastAsia="zh-CN"/>
        </w:rPr>
        <w:t xml:space="preserve"> and structure</w:t>
      </w:r>
      <w:r>
        <w:rPr>
          <w:rFonts w:hint="eastAsia"/>
          <w:b/>
          <w:lang w:eastAsia="zh-CN"/>
        </w:rPr>
        <w:t>.</w:t>
      </w:r>
    </w:p>
    <w:p w14:paraId="6941A02A">
      <w:pPr>
        <w:jc w:val="center"/>
        <w:rPr>
          <w:b/>
        </w:rPr>
      </w:pPr>
    </w:p>
    <w:p w14:paraId="4CF2FD84">
      <w:pPr>
        <w:widowControl w:val="0"/>
        <w:jc w:val="both"/>
        <w:rPr>
          <w:rFonts w:eastAsia="等线"/>
          <w:kern w:val="2"/>
          <w:szCs w:val="24"/>
          <w:lang w:eastAsia="zh-CN"/>
        </w:rPr>
      </w:pPr>
    </w:p>
    <w:p w14:paraId="00946AC2">
      <w:pPr>
        <w:spacing w:line="360" w:lineRule="auto"/>
        <w:jc w:val="both"/>
        <w:rPr>
          <w:rFonts w:eastAsia="宋体"/>
          <w:szCs w:val="24"/>
          <w:lang w:eastAsia="zh-CN"/>
        </w:rPr>
      </w:pPr>
      <w:r>
        <w:rPr>
          <w:rFonts w:eastAsia="宋体"/>
          <w:b/>
          <w:bCs/>
          <w:szCs w:val="24"/>
          <w:lang w:eastAsia="zh-CN"/>
        </w:rPr>
        <w:t>Table S3</w:t>
      </w:r>
      <w:r>
        <w:rPr>
          <w:rFonts w:hint="eastAsia" w:eastAsia="宋体"/>
          <w:b/>
          <w:bCs/>
          <w:szCs w:val="24"/>
          <w:lang w:eastAsia="zh-CN"/>
        </w:rPr>
        <w:t xml:space="preserve"> </w:t>
      </w:r>
      <w:r>
        <w:rPr>
          <w:rFonts w:eastAsia="宋体"/>
          <w:b/>
          <w:bCs/>
          <w:szCs w:val="24"/>
          <w:lang w:eastAsia="zh-CN"/>
        </w:rPr>
        <w:t>Calculated energy variations due to molecule geometries.</w:t>
      </w:r>
      <w:r>
        <w:rPr>
          <w:rFonts w:eastAsia="宋体"/>
          <w:szCs w:val="24"/>
          <w:lang w:eastAsia="zh-CN"/>
        </w:rPr>
        <w:t xml:space="preserve"> </w:t>
      </w:r>
    </w:p>
    <w:tbl>
      <w:tblPr>
        <w:tblStyle w:val="88"/>
        <w:tblW w:w="9072" w:type="dxa"/>
        <w:tblInd w:w="0" w:type="dxa"/>
        <w:tblLayout w:type="fixed"/>
        <w:tblCellMar>
          <w:top w:w="0" w:type="dxa"/>
          <w:left w:w="108" w:type="dxa"/>
          <w:bottom w:w="0" w:type="dxa"/>
          <w:right w:w="108" w:type="dxa"/>
        </w:tblCellMar>
      </w:tblPr>
      <w:tblGrid>
        <w:gridCol w:w="2268"/>
        <w:gridCol w:w="2268"/>
        <w:gridCol w:w="2268"/>
        <w:gridCol w:w="2268"/>
      </w:tblGrid>
      <w:tr w14:paraId="234F237B">
        <w:tblPrEx>
          <w:tblCellMar>
            <w:top w:w="0" w:type="dxa"/>
            <w:left w:w="108" w:type="dxa"/>
            <w:bottom w:w="0" w:type="dxa"/>
            <w:right w:w="108" w:type="dxa"/>
          </w:tblCellMar>
        </w:tblPrEx>
        <w:trPr>
          <w:trHeight w:val="367" w:hRule="atLeast"/>
        </w:trPr>
        <w:tc>
          <w:tcPr>
            <w:tcW w:w="2268" w:type="dxa"/>
            <w:tcBorders>
              <w:top w:val="single" w:color="auto" w:sz="8" w:space="0"/>
              <w:left w:val="nil"/>
              <w:bottom w:val="single" w:color="auto" w:sz="8" w:space="0"/>
              <w:right w:val="nil"/>
            </w:tcBorders>
            <w:shd w:val="clear" w:color="auto" w:fill="auto"/>
            <w:noWrap/>
            <w:vAlign w:val="center"/>
          </w:tcPr>
          <w:p w14:paraId="391AD2AA">
            <w:pPr>
              <w:spacing w:line="360" w:lineRule="auto"/>
              <w:jc w:val="center"/>
              <w:rPr>
                <w:rFonts w:eastAsia="宋体"/>
                <w:sz w:val="21"/>
                <w:szCs w:val="21"/>
                <w:lang w:eastAsia="zh-CN"/>
              </w:rPr>
            </w:pPr>
            <w:r>
              <w:rPr>
                <w:rFonts w:ascii="Symbol" w:hAnsi="Symbol" w:eastAsia="宋体"/>
                <w:i/>
                <w:iCs/>
                <w:sz w:val="21"/>
                <w:szCs w:val="21"/>
                <w:lang w:eastAsia="zh-CN"/>
              </w:rPr>
              <w:t></w:t>
            </w:r>
            <w:r>
              <w:rPr>
                <w:rFonts w:eastAsia="宋体"/>
                <w:i/>
                <w:iCs/>
                <w:sz w:val="21"/>
                <w:szCs w:val="21"/>
                <w:lang w:eastAsia="zh-CN"/>
              </w:rPr>
              <w:t>E</w:t>
            </w:r>
            <w:r>
              <w:rPr>
                <w:rFonts w:eastAsia="宋体"/>
                <w:iCs/>
                <w:sz w:val="21"/>
                <w:szCs w:val="21"/>
                <w:vertAlign w:val="subscript"/>
                <w:lang w:eastAsia="zh-CN"/>
              </w:rPr>
              <w:t>E</w:t>
            </w:r>
            <w:r>
              <w:rPr>
                <w:rFonts w:ascii="Symbol" w:hAnsi="Symbol" w:eastAsia="宋体"/>
                <w:i/>
                <w:iCs/>
                <w:sz w:val="21"/>
                <w:szCs w:val="21"/>
                <w:lang w:eastAsia="zh-CN"/>
              </w:rPr>
              <w:t></w:t>
            </w:r>
            <w:r>
              <w:rPr>
                <w:rFonts w:ascii="Symbol" w:hAnsi="Symbol" w:eastAsia="宋体"/>
                <w:i/>
                <w:iCs/>
                <w:sz w:val="21"/>
                <w:szCs w:val="21"/>
                <w:lang w:eastAsia="zh-CN"/>
              </w:rPr>
              <w:sym w:font="Symbol" w:char="F02D"/>
            </w:r>
            <w:r>
              <w:rPr>
                <w:rFonts w:ascii="Symbol" w:hAnsi="Symbol" w:eastAsia="宋体"/>
                <w:i/>
                <w:iCs/>
                <w:sz w:val="21"/>
                <w:szCs w:val="21"/>
                <w:lang w:eastAsia="zh-CN"/>
              </w:rPr>
              <w:t></w:t>
            </w:r>
            <w:r>
              <w:rPr>
                <w:rFonts w:eastAsia="宋体"/>
                <w:i/>
                <w:iCs/>
                <w:sz w:val="21"/>
                <w:szCs w:val="21"/>
                <w:lang w:eastAsia="zh-CN"/>
              </w:rPr>
              <w:t>E</w:t>
            </w:r>
            <w:r>
              <w:rPr>
                <w:rFonts w:eastAsia="宋体"/>
                <w:iCs/>
                <w:sz w:val="21"/>
                <w:szCs w:val="21"/>
                <w:vertAlign w:val="subscript"/>
                <w:lang w:eastAsia="zh-CN"/>
              </w:rPr>
              <w:t>D</w:t>
            </w:r>
          </w:p>
        </w:tc>
        <w:tc>
          <w:tcPr>
            <w:tcW w:w="2268" w:type="dxa"/>
            <w:tcBorders>
              <w:top w:val="single" w:color="auto" w:sz="8" w:space="0"/>
              <w:left w:val="nil"/>
              <w:bottom w:val="single" w:color="auto" w:sz="8" w:space="0"/>
              <w:right w:val="nil"/>
            </w:tcBorders>
            <w:shd w:val="clear" w:color="auto" w:fill="auto"/>
            <w:noWrap/>
            <w:vAlign w:val="center"/>
          </w:tcPr>
          <w:p w14:paraId="55109820">
            <w:pPr>
              <w:spacing w:line="360" w:lineRule="auto"/>
              <w:jc w:val="center"/>
              <w:rPr>
                <w:rFonts w:eastAsia="宋体"/>
                <w:sz w:val="21"/>
                <w:szCs w:val="21"/>
                <w:lang w:eastAsia="zh-CN"/>
              </w:rPr>
            </w:pPr>
            <w:r>
              <w:rPr>
                <w:rFonts w:ascii="Symbol" w:hAnsi="Symbol" w:eastAsia="宋体"/>
                <w:i/>
                <w:iCs/>
                <w:sz w:val="21"/>
                <w:szCs w:val="21"/>
                <w:lang w:eastAsia="zh-CN"/>
              </w:rPr>
              <w:t></w:t>
            </w:r>
            <w:r>
              <w:rPr>
                <w:rFonts w:eastAsia="宋体"/>
                <w:i/>
                <w:iCs/>
                <w:sz w:val="21"/>
                <w:szCs w:val="21"/>
                <w:lang w:eastAsia="zh-CN"/>
              </w:rPr>
              <w:t>E</w:t>
            </w:r>
            <w:r>
              <w:rPr>
                <w:rFonts w:eastAsia="宋体"/>
                <w:iCs/>
                <w:sz w:val="21"/>
                <w:szCs w:val="21"/>
                <w:vertAlign w:val="subscript"/>
                <w:lang w:eastAsia="zh-CN"/>
              </w:rPr>
              <w:t>G</w:t>
            </w:r>
            <w:r>
              <w:rPr>
                <w:rFonts w:ascii="Symbol" w:hAnsi="Symbol" w:eastAsia="宋体"/>
                <w:i/>
                <w:iCs/>
                <w:sz w:val="21"/>
                <w:szCs w:val="21"/>
                <w:lang w:eastAsia="zh-CN"/>
              </w:rPr>
              <w:t></w:t>
            </w:r>
            <w:r>
              <w:rPr>
                <w:rFonts w:ascii="Symbol" w:hAnsi="Symbol" w:eastAsia="宋体"/>
                <w:i/>
                <w:iCs/>
                <w:sz w:val="21"/>
                <w:szCs w:val="21"/>
                <w:lang w:eastAsia="zh-CN"/>
              </w:rPr>
              <w:sym w:font="Symbol" w:char="F02D"/>
            </w:r>
            <w:r>
              <w:rPr>
                <w:rFonts w:ascii="Symbol" w:hAnsi="Symbol" w:eastAsia="宋体"/>
                <w:i/>
                <w:iCs/>
                <w:sz w:val="21"/>
                <w:szCs w:val="21"/>
                <w:lang w:eastAsia="zh-CN"/>
              </w:rPr>
              <w:t></w:t>
            </w:r>
            <w:r>
              <w:rPr>
                <w:rFonts w:eastAsia="宋体"/>
                <w:i/>
                <w:iCs/>
                <w:sz w:val="21"/>
                <w:szCs w:val="21"/>
                <w:lang w:eastAsia="zh-CN"/>
              </w:rPr>
              <w:t>E</w:t>
            </w:r>
            <w:r>
              <w:rPr>
                <w:rFonts w:eastAsia="宋体"/>
                <w:iCs/>
                <w:sz w:val="21"/>
                <w:szCs w:val="21"/>
                <w:vertAlign w:val="subscript"/>
                <w:lang w:eastAsia="zh-CN"/>
              </w:rPr>
              <w:t>F</w:t>
            </w:r>
          </w:p>
        </w:tc>
        <w:tc>
          <w:tcPr>
            <w:tcW w:w="2268" w:type="dxa"/>
            <w:tcBorders>
              <w:top w:val="single" w:color="auto" w:sz="8" w:space="0"/>
              <w:left w:val="nil"/>
              <w:bottom w:val="single" w:color="auto" w:sz="8" w:space="0"/>
              <w:right w:val="nil"/>
            </w:tcBorders>
            <w:shd w:val="clear" w:color="auto" w:fill="auto"/>
            <w:noWrap/>
            <w:vAlign w:val="center"/>
          </w:tcPr>
          <w:p w14:paraId="78A8F1B1">
            <w:pPr>
              <w:spacing w:line="360" w:lineRule="auto"/>
              <w:jc w:val="center"/>
              <w:rPr>
                <w:rFonts w:eastAsia="宋体"/>
                <w:sz w:val="21"/>
                <w:szCs w:val="21"/>
                <w:lang w:eastAsia="zh-CN"/>
              </w:rPr>
            </w:pPr>
            <w:r>
              <w:rPr>
                <w:rFonts w:ascii="Symbol" w:hAnsi="Symbol" w:eastAsia="宋体"/>
                <w:i/>
                <w:iCs/>
                <w:sz w:val="21"/>
                <w:szCs w:val="21"/>
                <w:lang w:eastAsia="zh-CN"/>
              </w:rPr>
              <w:t></w:t>
            </w:r>
            <w:r>
              <w:rPr>
                <w:rFonts w:eastAsia="宋体"/>
                <w:i/>
                <w:iCs/>
                <w:sz w:val="21"/>
                <w:szCs w:val="21"/>
                <w:lang w:eastAsia="zh-CN"/>
              </w:rPr>
              <w:t>E</w:t>
            </w:r>
            <w:r>
              <w:rPr>
                <w:rFonts w:eastAsia="宋体"/>
                <w:iCs/>
                <w:sz w:val="21"/>
                <w:szCs w:val="21"/>
                <w:vertAlign w:val="subscript"/>
                <w:lang w:eastAsia="zh-CN"/>
              </w:rPr>
              <w:t>C</w:t>
            </w:r>
            <w:r>
              <w:rPr>
                <w:rFonts w:ascii="Symbol" w:hAnsi="Symbol" w:eastAsia="宋体"/>
                <w:i/>
                <w:iCs/>
                <w:sz w:val="21"/>
                <w:szCs w:val="21"/>
                <w:lang w:eastAsia="zh-CN"/>
              </w:rPr>
              <w:t></w:t>
            </w:r>
            <w:r>
              <w:rPr>
                <w:rFonts w:ascii="Symbol" w:hAnsi="Symbol" w:eastAsia="宋体"/>
                <w:i/>
                <w:iCs/>
                <w:sz w:val="21"/>
                <w:szCs w:val="21"/>
                <w:lang w:eastAsia="zh-CN"/>
              </w:rPr>
              <w:sym w:font="Symbol" w:char="F02D"/>
            </w:r>
            <w:r>
              <w:rPr>
                <w:rFonts w:ascii="Symbol" w:hAnsi="Symbol" w:eastAsia="宋体"/>
                <w:i/>
                <w:iCs/>
                <w:sz w:val="21"/>
                <w:szCs w:val="21"/>
                <w:lang w:eastAsia="zh-CN"/>
              </w:rPr>
              <w:t></w:t>
            </w:r>
            <w:r>
              <w:rPr>
                <w:rFonts w:eastAsia="宋体"/>
                <w:i/>
                <w:iCs/>
                <w:sz w:val="21"/>
                <w:szCs w:val="21"/>
                <w:lang w:eastAsia="zh-CN"/>
              </w:rPr>
              <w:t>E</w:t>
            </w:r>
            <w:r>
              <w:rPr>
                <w:rFonts w:eastAsia="宋体"/>
                <w:iCs/>
                <w:sz w:val="21"/>
                <w:szCs w:val="21"/>
                <w:vertAlign w:val="subscript"/>
                <w:lang w:eastAsia="zh-CN"/>
              </w:rPr>
              <w:t>A</w:t>
            </w:r>
          </w:p>
        </w:tc>
        <w:tc>
          <w:tcPr>
            <w:tcW w:w="2268" w:type="dxa"/>
            <w:tcBorders>
              <w:top w:val="single" w:color="auto" w:sz="8" w:space="0"/>
              <w:left w:val="nil"/>
              <w:bottom w:val="single" w:color="auto" w:sz="8" w:space="0"/>
              <w:right w:val="nil"/>
            </w:tcBorders>
            <w:shd w:val="clear" w:color="auto" w:fill="auto"/>
            <w:noWrap/>
            <w:vAlign w:val="center"/>
          </w:tcPr>
          <w:p w14:paraId="044D0CFD">
            <w:pPr>
              <w:spacing w:line="360" w:lineRule="auto"/>
              <w:jc w:val="center"/>
              <w:rPr>
                <w:rFonts w:eastAsia="宋体"/>
                <w:sz w:val="21"/>
                <w:szCs w:val="21"/>
                <w:lang w:eastAsia="zh-CN"/>
              </w:rPr>
            </w:pPr>
            <w:r>
              <w:rPr>
                <w:rFonts w:ascii="Symbol" w:hAnsi="Symbol" w:eastAsia="宋体"/>
                <w:i/>
                <w:iCs/>
                <w:sz w:val="21"/>
                <w:szCs w:val="21"/>
                <w:lang w:eastAsia="zh-CN"/>
              </w:rPr>
              <w:t></w:t>
            </w:r>
            <w:r>
              <w:rPr>
                <w:rFonts w:eastAsia="宋体"/>
                <w:i/>
                <w:iCs/>
                <w:sz w:val="21"/>
                <w:szCs w:val="21"/>
                <w:lang w:eastAsia="zh-CN"/>
              </w:rPr>
              <w:t>E</w:t>
            </w:r>
            <w:r>
              <w:rPr>
                <w:rFonts w:eastAsia="宋体"/>
                <w:iCs/>
                <w:sz w:val="21"/>
                <w:szCs w:val="21"/>
                <w:vertAlign w:val="subscript"/>
                <w:lang w:eastAsia="zh-CN"/>
              </w:rPr>
              <w:t>B</w:t>
            </w:r>
            <w:r>
              <w:rPr>
                <w:rFonts w:ascii="Symbol" w:hAnsi="Symbol" w:eastAsia="宋体"/>
                <w:i/>
                <w:iCs/>
                <w:sz w:val="21"/>
                <w:szCs w:val="21"/>
                <w:lang w:eastAsia="zh-CN"/>
              </w:rPr>
              <w:t></w:t>
            </w:r>
            <w:r>
              <w:rPr>
                <w:rFonts w:ascii="Symbol" w:hAnsi="Symbol" w:eastAsia="宋体"/>
                <w:i/>
                <w:iCs/>
                <w:sz w:val="21"/>
                <w:szCs w:val="21"/>
                <w:lang w:eastAsia="zh-CN"/>
              </w:rPr>
              <w:sym w:font="Symbol" w:char="F02D"/>
            </w:r>
            <w:r>
              <w:rPr>
                <w:rFonts w:ascii="Symbol" w:hAnsi="Symbol" w:eastAsia="宋体"/>
                <w:i/>
                <w:iCs/>
                <w:sz w:val="21"/>
                <w:szCs w:val="21"/>
                <w:lang w:eastAsia="zh-CN"/>
              </w:rPr>
              <w:t></w:t>
            </w:r>
            <w:r>
              <w:rPr>
                <w:rFonts w:eastAsia="宋体"/>
                <w:i/>
                <w:iCs/>
                <w:sz w:val="21"/>
                <w:szCs w:val="21"/>
                <w:lang w:eastAsia="zh-CN"/>
              </w:rPr>
              <w:t>E</w:t>
            </w:r>
            <w:r>
              <w:rPr>
                <w:rFonts w:eastAsia="宋体"/>
                <w:iCs/>
                <w:sz w:val="21"/>
                <w:szCs w:val="21"/>
                <w:vertAlign w:val="subscript"/>
                <w:lang w:eastAsia="zh-CN"/>
              </w:rPr>
              <w:t>A</w:t>
            </w:r>
          </w:p>
        </w:tc>
      </w:tr>
      <w:tr w14:paraId="42E87E36">
        <w:tblPrEx>
          <w:tblCellMar>
            <w:top w:w="0" w:type="dxa"/>
            <w:left w:w="108" w:type="dxa"/>
            <w:bottom w:w="0" w:type="dxa"/>
            <w:right w:w="108" w:type="dxa"/>
          </w:tblCellMar>
        </w:tblPrEx>
        <w:trPr>
          <w:trHeight w:val="367" w:hRule="atLeast"/>
        </w:trPr>
        <w:tc>
          <w:tcPr>
            <w:tcW w:w="2268" w:type="dxa"/>
            <w:tcBorders>
              <w:top w:val="single" w:color="auto" w:sz="8" w:space="0"/>
              <w:left w:val="nil"/>
              <w:bottom w:val="single" w:color="auto" w:sz="8" w:space="0"/>
              <w:right w:val="nil"/>
            </w:tcBorders>
            <w:shd w:val="clear" w:color="auto" w:fill="auto"/>
            <w:noWrap/>
            <w:vAlign w:val="center"/>
          </w:tcPr>
          <w:p w14:paraId="2E10F0EA">
            <w:pPr>
              <w:spacing w:line="360" w:lineRule="auto"/>
              <w:jc w:val="center"/>
              <w:rPr>
                <w:rFonts w:eastAsia="宋体"/>
                <w:sz w:val="21"/>
                <w:szCs w:val="21"/>
                <w:lang w:eastAsia="zh-CN"/>
              </w:rPr>
            </w:pPr>
            <w:r>
              <w:rPr>
                <w:rFonts w:eastAsia="宋体"/>
                <w:sz w:val="21"/>
                <w:szCs w:val="21"/>
                <w:lang w:eastAsia="zh-CN"/>
              </w:rPr>
              <w:t>0.0174 eV</w:t>
            </w:r>
          </w:p>
        </w:tc>
        <w:tc>
          <w:tcPr>
            <w:tcW w:w="2268" w:type="dxa"/>
            <w:tcBorders>
              <w:top w:val="single" w:color="auto" w:sz="8" w:space="0"/>
              <w:left w:val="nil"/>
              <w:bottom w:val="single" w:color="auto" w:sz="8" w:space="0"/>
              <w:right w:val="nil"/>
            </w:tcBorders>
            <w:shd w:val="clear" w:color="auto" w:fill="auto"/>
            <w:noWrap/>
            <w:vAlign w:val="center"/>
          </w:tcPr>
          <w:p w14:paraId="5AF70292">
            <w:pPr>
              <w:spacing w:line="360" w:lineRule="auto"/>
              <w:jc w:val="center"/>
              <w:rPr>
                <w:rFonts w:eastAsia="宋体"/>
                <w:sz w:val="21"/>
                <w:szCs w:val="21"/>
                <w:lang w:eastAsia="zh-CN"/>
              </w:rPr>
            </w:pPr>
            <w:r>
              <w:rPr>
                <w:rFonts w:eastAsia="宋体"/>
                <w:sz w:val="21"/>
                <w:szCs w:val="21"/>
                <w:lang w:eastAsia="zh-CN"/>
              </w:rPr>
              <w:t>0.0463 eV</w:t>
            </w:r>
          </w:p>
        </w:tc>
        <w:tc>
          <w:tcPr>
            <w:tcW w:w="2268" w:type="dxa"/>
            <w:tcBorders>
              <w:top w:val="single" w:color="auto" w:sz="8" w:space="0"/>
              <w:left w:val="nil"/>
              <w:bottom w:val="single" w:color="auto" w:sz="8" w:space="0"/>
              <w:right w:val="nil"/>
            </w:tcBorders>
            <w:shd w:val="clear" w:color="auto" w:fill="auto"/>
            <w:noWrap/>
            <w:vAlign w:val="center"/>
          </w:tcPr>
          <w:p w14:paraId="512A7268">
            <w:pPr>
              <w:spacing w:line="360" w:lineRule="auto"/>
              <w:jc w:val="center"/>
              <w:rPr>
                <w:rFonts w:eastAsia="宋体"/>
                <w:sz w:val="21"/>
                <w:szCs w:val="21"/>
                <w:lang w:eastAsia="zh-CN"/>
              </w:rPr>
            </w:pPr>
            <w:r>
              <w:rPr>
                <w:rFonts w:eastAsia="宋体"/>
                <w:sz w:val="21"/>
                <w:szCs w:val="21"/>
                <w:lang w:eastAsia="zh-CN"/>
              </w:rPr>
              <w:t>0.1204 eV</w:t>
            </w:r>
          </w:p>
        </w:tc>
        <w:tc>
          <w:tcPr>
            <w:tcW w:w="2268" w:type="dxa"/>
            <w:tcBorders>
              <w:top w:val="single" w:color="auto" w:sz="8" w:space="0"/>
              <w:left w:val="nil"/>
              <w:bottom w:val="single" w:color="auto" w:sz="8" w:space="0"/>
              <w:right w:val="nil"/>
            </w:tcBorders>
            <w:shd w:val="clear" w:color="auto" w:fill="auto"/>
            <w:noWrap/>
            <w:vAlign w:val="center"/>
          </w:tcPr>
          <w:p w14:paraId="6473D1AD">
            <w:pPr>
              <w:spacing w:line="360" w:lineRule="auto"/>
              <w:jc w:val="center"/>
              <w:rPr>
                <w:rFonts w:eastAsia="宋体"/>
                <w:sz w:val="21"/>
                <w:szCs w:val="21"/>
                <w:lang w:eastAsia="zh-CN"/>
              </w:rPr>
            </w:pPr>
            <w:r>
              <w:rPr>
                <w:rFonts w:eastAsia="宋体"/>
                <w:sz w:val="21"/>
                <w:szCs w:val="21"/>
                <w:lang w:eastAsia="zh-CN"/>
              </w:rPr>
              <w:t>0.0600 eV</w:t>
            </w:r>
          </w:p>
        </w:tc>
      </w:tr>
    </w:tbl>
    <w:p w14:paraId="121F43A7">
      <w:pPr>
        <w:widowControl w:val="0"/>
        <w:jc w:val="both"/>
        <w:rPr>
          <w:rFonts w:eastAsia="等线"/>
          <w:kern w:val="2"/>
          <w:szCs w:val="24"/>
          <w:lang w:eastAsia="zh-CN"/>
        </w:rPr>
      </w:pPr>
    </w:p>
    <w:p w14:paraId="307B22FE">
      <w:pPr>
        <w:spacing w:after="120"/>
        <w:rPr>
          <w:b/>
        </w:rPr>
      </w:pPr>
      <w:r>
        <w:rPr>
          <w:b/>
        </w:rPr>
        <w:t>References:</w:t>
      </w:r>
    </w:p>
    <w:p w14:paraId="545DFD27">
      <w:pPr>
        <w:pStyle w:val="148"/>
        <w:ind w:left="567" w:hanging="567"/>
        <w:jc w:val="both"/>
      </w:pPr>
      <w:r>
        <w:rPr>
          <w:lang w:eastAsia="zh-CN"/>
        </w:rPr>
        <w:fldChar w:fldCharType="begin"/>
      </w:r>
      <w:r>
        <w:rPr>
          <w:lang w:eastAsia="zh-CN"/>
        </w:rPr>
        <w:instrText xml:space="preserve"> ADDIN EN.REFLIST </w:instrText>
      </w:r>
      <w:r>
        <w:rPr>
          <w:lang w:eastAsia="zh-CN"/>
        </w:rPr>
        <w:fldChar w:fldCharType="separate"/>
      </w:r>
      <w:r>
        <w:t>1.</w:t>
      </w:r>
      <w:r>
        <w:tab/>
      </w:r>
      <w:r>
        <w:t xml:space="preserve">Wu W., Sun J., Ji S., Wu W., Zhao J., Guo H. Tuning the emissive triplet excited states of platinum(ii) schiff base complexes with pyrene, and application for luminescent oxygen sensing and triplet–triplet-annihilation based upconversions. </w:t>
      </w:r>
      <w:r>
        <w:rPr>
          <w:i/>
        </w:rPr>
        <w:t xml:space="preserve">Dalton Trans. </w:t>
      </w:r>
      <w:r>
        <w:rPr>
          <w:b/>
        </w:rPr>
        <w:t>40</w:t>
      </w:r>
      <w:r>
        <w:t>, 11550 (2011).</w:t>
      </w:r>
    </w:p>
    <w:p w14:paraId="1BFDCBB8">
      <w:pPr>
        <w:pStyle w:val="148"/>
        <w:ind w:left="567" w:hanging="567"/>
        <w:jc w:val="both"/>
      </w:pPr>
      <w:r>
        <w:t>2.</w:t>
      </w:r>
      <w:r>
        <w:tab/>
      </w:r>
      <w:r>
        <w:t xml:space="preserve">Gopi A., Sajitha M., Haridas R., Varghese L., Yoosaf K. Cooperative and fret-assisted brightness enhancement in oligo(phenylene ethynylene): Quantum dot organic–inorganic nanohybrids. </w:t>
      </w:r>
      <w:r>
        <w:rPr>
          <w:i/>
        </w:rPr>
        <w:t>Chem. Asian J.</w:t>
      </w:r>
      <w:r>
        <w:t xml:space="preserve"> </w:t>
      </w:r>
      <w:r>
        <w:rPr>
          <w:b/>
        </w:rPr>
        <w:t>13</w:t>
      </w:r>
      <w:r>
        <w:t>, 1492 (2018).</w:t>
      </w:r>
    </w:p>
    <w:p w14:paraId="1E709934">
      <w:pPr>
        <w:pStyle w:val="148"/>
        <w:ind w:left="567" w:hanging="567"/>
        <w:jc w:val="both"/>
      </w:pPr>
      <w:r>
        <w:t>3.</w:t>
      </w:r>
      <w:r>
        <w:tab/>
      </w:r>
      <w:r>
        <w:t>Constantinescu C., Diallo A. K., D’Aleo A., Fages F., Rotaru P., Videlot-Ackermann C.</w:t>
      </w:r>
      <w:r>
        <w:rPr>
          <w:i/>
        </w:rPr>
        <w:t>, et al.</w:t>
      </w:r>
      <w:r>
        <w:t xml:space="preserve"> Thermal behaviour and thin film properties of a bis-pyrene compound for organic thin film transistor applications. </w:t>
      </w:r>
      <w:r>
        <w:rPr>
          <w:i/>
        </w:rPr>
        <w:t xml:space="preserve">Synth. Met. </w:t>
      </w:r>
      <w:r>
        <w:rPr>
          <w:b/>
        </w:rPr>
        <w:t>209</w:t>
      </w:r>
      <w:r>
        <w:t>, 29 (2015).</w:t>
      </w:r>
    </w:p>
    <w:p w14:paraId="4F139AC6">
      <w:pPr>
        <w:pStyle w:val="148"/>
        <w:ind w:left="567" w:hanging="567"/>
        <w:jc w:val="both"/>
      </w:pPr>
      <w:r>
        <w:t>4.</w:t>
      </w:r>
      <w:r>
        <w:tab/>
      </w:r>
      <w:r>
        <w:t>Thomas J. O., Limburg B., Sowa J. K., Willick K., Baugh J., Briggs G. A. D.</w:t>
      </w:r>
      <w:r>
        <w:rPr>
          <w:i/>
        </w:rPr>
        <w:t>, et al.</w:t>
      </w:r>
      <w:r>
        <w:t xml:space="preserve"> Understanding resonant charge transport through weakly coupled single-molecule junctions. </w:t>
      </w:r>
      <w:r>
        <w:rPr>
          <w:i/>
        </w:rPr>
        <w:t>Nat. Commun.</w:t>
      </w:r>
      <w:r>
        <w:t xml:space="preserve"> </w:t>
      </w:r>
      <w:r>
        <w:rPr>
          <w:b/>
        </w:rPr>
        <w:t>10</w:t>
      </w:r>
      <w:r>
        <w:t>, 4628 (2019).</w:t>
      </w:r>
    </w:p>
    <w:p w14:paraId="03B309E5">
      <w:pPr>
        <w:pStyle w:val="148"/>
        <w:ind w:left="567" w:hanging="567"/>
        <w:jc w:val="both"/>
      </w:pPr>
      <w:r>
        <w:t>5.</w:t>
      </w:r>
      <w:r>
        <w:tab/>
      </w:r>
      <w:r>
        <w:t>Limburg B., Thomas J. O., Holloway G., Sadeghi H., Sangtarash S., Hou I. C.-Y.</w:t>
      </w:r>
      <w:r>
        <w:rPr>
          <w:i/>
        </w:rPr>
        <w:t>, et al.</w:t>
      </w:r>
      <w:r>
        <w:t xml:space="preserve"> Anchor groups for graphene-porphyrin single-molecule transistors. </w:t>
      </w:r>
      <w:r>
        <w:rPr>
          <w:i/>
        </w:rPr>
        <w:t xml:space="preserve">Adv. Funct. Mater. </w:t>
      </w:r>
      <w:r>
        <w:rPr>
          <w:b/>
        </w:rPr>
        <w:t>28</w:t>
      </w:r>
      <w:r>
        <w:t>, 1803629 (2018).</w:t>
      </w:r>
    </w:p>
    <w:p w14:paraId="6FBB59CF">
      <w:pPr>
        <w:pStyle w:val="148"/>
        <w:ind w:left="567" w:hanging="567"/>
        <w:jc w:val="both"/>
      </w:pPr>
      <w:r>
        <w:t>6.</w:t>
      </w:r>
      <w:r>
        <w:tab/>
      </w:r>
      <w:r>
        <w:t>Peng J., Sokolov S., Hernangómez-Pérez D., Evers F., Gross L., Lupton J. M.</w:t>
      </w:r>
      <w:r>
        <w:rPr>
          <w:i/>
        </w:rPr>
        <w:t>, et al.</w:t>
      </w:r>
      <w:r>
        <w:t xml:space="preserve"> Atomically resolved single-molecule triplet quenching. </w:t>
      </w:r>
      <w:r>
        <w:rPr>
          <w:i/>
        </w:rPr>
        <w:t>Science</w:t>
      </w:r>
      <w:r>
        <w:t xml:space="preserve"> </w:t>
      </w:r>
      <w:r>
        <w:rPr>
          <w:b/>
        </w:rPr>
        <w:t>373</w:t>
      </w:r>
      <w:r>
        <w:t>, 452 (2021).</w:t>
      </w:r>
    </w:p>
    <w:p w14:paraId="11EB0790">
      <w:pPr>
        <w:rPr>
          <w:lang w:eastAsia="zh-CN"/>
        </w:rPr>
      </w:pPr>
      <w:r>
        <w:rPr>
          <w:lang w:eastAsia="zh-CN"/>
        </w:rPr>
        <w:fldChar w:fldCharType="end"/>
      </w:r>
    </w:p>
    <w:sectPr>
      <w:headerReference r:id="rId3" w:type="default"/>
      <w:footerReference r:id="rId4" w:type="default"/>
      <w:pgSz w:w="12240" w:h="15840"/>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HardingText-Regular">
    <w:altName w:val="Cambria"/>
    <w:panose1 w:val="00000000000000000000"/>
    <w:charset w:val="00"/>
    <w:family w:val="roman"/>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8EA3E">
    <w:pPr>
      <w:pStyle w:val="55"/>
      <w:jc w:val="right"/>
    </w:pPr>
    <w:r>
      <w:fldChar w:fldCharType="begin"/>
    </w:r>
    <w:r>
      <w:instrText xml:space="preserve"> PAGE   \* MERGEFORMAT </w:instrText>
    </w:r>
    <w:r>
      <w:fldChar w:fldCharType="separate"/>
    </w:r>
    <w:r>
      <w:t>3</w:t>
    </w:r>
    <w:r>
      <w:fldChar w:fldCharType="end"/>
    </w:r>
  </w:p>
  <w:p w14:paraId="211F3547">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01F95">
    <w:pPr>
      <w:jc w:val="right"/>
      <w:rPr>
        <w:sz w:val="20"/>
      </w:rPr>
    </w:pPr>
  </w:p>
  <w:p w14:paraId="3CD866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NotTrackMoves/>
  <w:doNotTrackFormatting/>
  <w:documentProtection w:enforcement="0"/>
  <w:defaultTabStop w:val="720"/>
  <w:characterSpacingControl w:val="doNotCompress"/>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TQ3NjU3sDAwNLA0MTJV0lEKTi0uzszPAykwqgUAVOPnIiwAAAA="/>
    <w:docVar w:name="EN.Layout" w:val="&lt;ENLayout&gt;&lt;Style&gt;Nature Material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C030F"/>
    <w:rsid w:val="000062CC"/>
    <w:rsid w:val="00015F74"/>
    <w:rsid w:val="00022364"/>
    <w:rsid w:val="00031282"/>
    <w:rsid w:val="00034775"/>
    <w:rsid w:val="00040955"/>
    <w:rsid w:val="0004648E"/>
    <w:rsid w:val="00054136"/>
    <w:rsid w:val="00054838"/>
    <w:rsid w:val="00065EBD"/>
    <w:rsid w:val="00076439"/>
    <w:rsid w:val="00076A1D"/>
    <w:rsid w:val="00083894"/>
    <w:rsid w:val="00083B44"/>
    <w:rsid w:val="000850DC"/>
    <w:rsid w:val="00094C70"/>
    <w:rsid w:val="000A167B"/>
    <w:rsid w:val="000C159E"/>
    <w:rsid w:val="000C2771"/>
    <w:rsid w:val="000D46F4"/>
    <w:rsid w:val="000F0DCE"/>
    <w:rsid w:val="000F6BE3"/>
    <w:rsid w:val="001013EE"/>
    <w:rsid w:val="0011071B"/>
    <w:rsid w:val="00112C5B"/>
    <w:rsid w:val="00114193"/>
    <w:rsid w:val="00115A38"/>
    <w:rsid w:val="0011687B"/>
    <w:rsid w:val="00122106"/>
    <w:rsid w:val="00124F82"/>
    <w:rsid w:val="00134CDC"/>
    <w:rsid w:val="00134F60"/>
    <w:rsid w:val="00151CF9"/>
    <w:rsid w:val="0016337A"/>
    <w:rsid w:val="00164269"/>
    <w:rsid w:val="0016563A"/>
    <w:rsid w:val="001722D4"/>
    <w:rsid w:val="00192081"/>
    <w:rsid w:val="00192535"/>
    <w:rsid w:val="0019424E"/>
    <w:rsid w:val="001A1BDE"/>
    <w:rsid w:val="001A246E"/>
    <w:rsid w:val="001A2C99"/>
    <w:rsid w:val="001B06DB"/>
    <w:rsid w:val="001B5598"/>
    <w:rsid w:val="001E1F1B"/>
    <w:rsid w:val="001E3A02"/>
    <w:rsid w:val="001F0876"/>
    <w:rsid w:val="001F167C"/>
    <w:rsid w:val="001F3973"/>
    <w:rsid w:val="001F5E91"/>
    <w:rsid w:val="001F79CD"/>
    <w:rsid w:val="00201BE9"/>
    <w:rsid w:val="00203482"/>
    <w:rsid w:val="002077B9"/>
    <w:rsid w:val="00213E15"/>
    <w:rsid w:val="002302B7"/>
    <w:rsid w:val="0023533A"/>
    <w:rsid w:val="00243238"/>
    <w:rsid w:val="002557A4"/>
    <w:rsid w:val="00262D72"/>
    <w:rsid w:val="0026723C"/>
    <w:rsid w:val="00276D13"/>
    <w:rsid w:val="00286CBA"/>
    <w:rsid w:val="00293673"/>
    <w:rsid w:val="00293BDF"/>
    <w:rsid w:val="00293D30"/>
    <w:rsid w:val="00294FBB"/>
    <w:rsid w:val="002A1B36"/>
    <w:rsid w:val="002B5804"/>
    <w:rsid w:val="002B7FB8"/>
    <w:rsid w:val="002C002E"/>
    <w:rsid w:val="002C030F"/>
    <w:rsid w:val="00300E95"/>
    <w:rsid w:val="0030707D"/>
    <w:rsid w:val="0030749A"/>
    <w:rsid w:val="003227A1"/>
    <w:rsid w:val="00331D75"/>
    <w:rsid w:val="00334101"/>
    <w:rsid w:val="00334A71"/>
    <w:rsid w:val="00337329"/>
    <w:rsid w:val="00355362"/>
    <w:rsid w:val="00362C08"/>
    <w:rsid w:val="00363E44"/>
    <w:rsid w:val="003657C0"/>
    <w:rsid w:val="0036629D"/>
    <w:rsid w:val="00380D2D"/>
    <w:rsid w:val="00393416"/>
    <w:rsid w:val="00395E86"/>
    <w:rsid w:val="003A2D17"/>
    <w:rsid w:val="003A2FD8"/>
    <w:rsid w:val="003A4748"/>
    <w:rsid w:val="003B3C9D"/>
    <w:rsid w:val="003B40E6"/>
    <w:rsid w:val="003B5F94"/>
    <w:rsid w:val="003C1AB5"/>
    <w:rsid w:val="003E74FB"/>
    <w:rsid w:val="003F27AC"/>
    <w:rsid w:val="003F6E14"/>
    <w:rsid w:val="00402202"/>
    <w:rsid w:val="00402F48"/>
    <w:rsid w:val="00403D2C"/>
    <w:rsid w:val="00405336"/>
    <w:rsid w:val="0042248B"/>
    <w:rsid w:val="004251DA"/>
    <w:rsid w:val="00427753"/>
    <w:rsid w:val="0043251F"/>
    <w:rsid w:val="00451100"/>
    <w:rsid w:val="00454FDE"/>
    <w:rsid w:val="004571D5"/>
    <w:rsid w:val="004611E4"/>
    <w:rsid w:val="00461D81"/>
    <w:rsid w:val="0046356B"/>
    <w:rsid w:val="00465A92"/>
    <w:rsid w:val="00471C13"/>
    <w:rsid w:val="00477182"/>
    <w:rsid w:val="004779CB"/>
    <w:rsid w:val="0048356F"/>
    <w:rsid w:val="00491E47"/>
    <w:rsid w:val="004A040C"/>
    <w:rsid w:val="004B5403"/>
    <w:rsid w:val="004D38A3"/>
    <w:rsid w:val="004D50CE"/>
    <w:rsid w:val="004E42D8"/>
    <w:rsid w:val="004E7BA2"/>
    <w:rsid w:val="004F29BA"/>
    <w:rsid w:val="004F5EA7"/>
    <w:rsid w:val="004F7EDF"/>
    <w:rsid w:val="005001AC"/>
    <w:rsid w:val="00510012"/>
    <w:rsid w:val="00525289"/>
    <w:rsid w:val="00525931"/>
    <w:rsid w:val="00527D71"/>
    <w:rsid w:val="00530159"/>
    <w:rsid w:val="00531A2C"/>
    <w:rsid w:val="00535FF8"/>
    <w:rsid w:val="00547AE8"/>
    <w:rsid w:val="005520A8"/>
    <w:rsid w:val="005607DD"/>
    <w:rsid w:val="00570051"/>
    <w:rsid w:val="005902AD"/>
    <w:rsid w:val="005A558C"/>
    <w:rsid w:val="005A7D9D"/>
    <w:rsid w:val="005B1B3E"/>
    <w:rsid w:val="005B2EC6"/>
    <w:rsid w:val="005C1377"/>
    <w:rsid w:val="005E28F8"/>
    <w:rsid w:val="005E43AA"/>
    <w:rsid w:val="005E6513"/>
    <w:rsid w:val="00600F0D"/>
    <w:rsid w:val="0060462C"/>
    <w:rsid w:val="00606F6D"/>
    <w:rsid w:val="00610C63"/>
    <w:rsid w:val="006133AA"/>
    <w:rsid w:val="006218FA"/>
    <w:rsid w:val="006251C3"/>
    <w:rsid w:val="00630499"/>
    <w:rsid w:val="006357F6"/>
    <w:rsid w:val="00640ED8"/>
    <w:rsid w:val="00651114"/>
    <w:rsid w:val="00653B6F"/>
    <w:rsid w:val="00664560"/>
    <w:rsid w:val="00667270"/>
    <w:rsid w:val="00670299"/>
    <w:rsid w:val="00680F9D"/>
    <w:rsid w:val="00681535"/>
    <w:rsid w:val="006862AD"/>
    <w:rsid w:val="00691768"/>
    <w:rsid w:val="00691985"/>
    <w:rsid w:val="006A1B64"/>
    <w:rsid w:val="006A4AE1"/>
    <w:rsid w:val="006B024D"/>
    <w:rsid w:val="006B268C"/>
    <w:rsid w:val="006D06C0"/>
    <w:rsid w:val="006D0C9A"/>
    <w:rsid w:val="006D5988"/>
    <w:rsid w:val="006E0468"/>
    <w:rsid w:val="006F4292"/>
    <w:rsid w:val="00707B1C"/>
    <w:rsid w:val="007108F5"/>
    <w:rsid w:val="00711E1C"/>
    <w:rsid w:val="00713E5B"/>
    <w:rsid w:val="00730092"/>
    <w:rsid w:val="007402FC"/>
    <w:rsid w:val="007411A1"/>
    <w:rsid w:val="00756EEA"/>
    <w:rsid w:val="00762F13"/>
    <w:rsid w:val="007667B7"/>
    <w:rsid w:val="007745B1"/>
    <w:rsid w:val="0078473B"/>
    <w:rsid w:val="00784E98"/>
    <w:rsid w:val="00793072"/>
    <w:rsid w:val="007970BF"/>
    <w:rsid w:val="007C5F1F"/>
    <w:rsid w:val="007F1BDD"/>
    <w:rsid w:val="007F33C1"/>
    <w:rsid w:val="008030FC"/>
    <w:rsid w:val="008035A7"/>
    <w:rsid w:val="00807D35"/>
    <w:rsid w:val="00813D10"/>
    <w:rsid w:val="008218C4"/>
    <w:rsid w:val="008340EF"/>
    <w:rsid w:val="0083457E"/>
    <w:rsid w:val="00854087"/>
    <w:rsid w:val="00857914"/>
    <w:rsid w:val="00867A98"/>
    <w:rsid w:val="00867AED"/>
    <w:rsid w:val="00870867"/>
    <w:rsid w:val="008739D0"/>
    <w:rsid w:val="00874BE3"/>
    <w:rsid w:val="00881F5A"/>
    <w:rsid w:val="00885C9B"/>
    <w:rsid w:val="0089372F"/>
    <w:rsid w:val="008948AA"/>
    <w:rsid w:val="008A4F49"/>
    <w:rsid w:val="008D0D35"/>
    <w:rsid w:val="008D1AC8"/>
    <w:rsid w:val="008D5D2A"/>
    <w:rsid w:val="008E68D8"/>
    <w:rsid w:val="00914B63"/>
    <w:rsid w:val="0092651C"/>
    <w:rsid w:val="0092774F"/>
    <w:rsid w:val="00933283"/>
    <w:rsid w:val="009354F3"/>
    <w:rsid w:val="009447DC"/>
    <w:rsid w:val="00944F42"/>
    <w:rsid w:val="009453C6"/>
    <w:rsid w:val="00961BA5"/>
    <w:rsid w:val="009734AD"/>
    <w:rsid w:val="009743A9"/>
    <w:rsid w:val="009A21F1"/>
    <w:rsid w:val="009A5287"/>
    <w:rsid w:val="009B2AC5"/>
    <w:rsid w:val="009B7984"/>
    <w:rsid w:val="009C58CE"/>
    <w:rsid w:val="009D1368"/>
    <w:rsid w:val="009D1D61"/>
    <w:rsid w:val="009F40EA"/>
    <w:rsid w:val="009F4BED"/>
    <w:rsid w:val="009F7D93"/>
    <w:rsid w:val="00A3403B"/>
    <w:rsid w:val="00A51A12"/>
    <w:rsid w:val="00A52D87"/>
    <w:rsid w:val="00A627D4"/>
    <w:rsid w:val="00A63F1F"/>
    <w:rsid w:val="00A74DA2"/>
    <w:rsid w:val="00A82C6D"/>
    <w:rsid w:val="00A974E7"/>
    <w:rsid w:val="00AA733C"/>
    <w:rsid w:val="00AB399E"/>
    <w:rsid w:val="00AC59D0"/>
    <w:rsid w:val="00AD16B1"/>
    <w:rsid w:val="00AD499C"/>
    <w:rsid w:val="00AE2380"/>
    <w:rsid w:val="00AE3C13"/>
    <w:rsid w:val="00AF331A"/>
    <w:rsid w:val="00AF5B98"/>
    <w:rsid w:val="00B0071D"/>
    <w:rsid w:val="00B119AA"/>
    <w:rsid w:val="00B17DB7"/>
    <w:rsid w:val="00B2577D"/>
    <w:rsid w:val="00B257BE"/>
    <w:rsid w:val="00B27BA9"/>
    <w:rsid w:val="00B3186E"/>
    <w:rsid w:val="00B35463"/>
    <w:rsid w:val="00B35DAC"/>
    <w:rsid w:val="00B36869"/>
    <w:rsid w:val="00B43B31"/>
    <w:rsid w:val="00B4400D"/>
    <w:rsid w:val="00B441E1"/>
    <w:rsid w:val="00B47CFA"/>
    <w:rsid w:val="00B47D82"/>
    <w:rsid w:val="00B57F00"/>
    <w:rsid w:val="00B630A2"/>
    <w:rsid w:val="00B64C00"/>
    <w:rsid w:val="00B72A3E"/>
    <w:rsid w:val="00B75183"/>
    <w:rsid w:val="00B77B2A"/>
    <w:rsid w:val="00B77DC9"/>
    <w:rsid w:val="00B82C22"/>
    <w:rsid w:val="00B93DBA"/>
    <w:rsid w:val="00B9440A"/>
    <w:rsid w:val="00B9697D"/>
    <w:rsid w:val="00BB2D2A"/>
    <w:rsid w:val="00BC33DA"/>
    <w:rsid w:val="00BC3E04"/>
    <w:rsid w:val="00BD58CF"/>
    <w:rsid w:val="00BE73B4"/>
    <w:rsid w:val="00BF0C92"/>
    <w:rsid w:val="00C044B6"/>
    <w:rsid w:val="00C04CC1"/>
    <w:rsid w:val="00C14A82"/>
    <w:rsid w:val="00C21F93"/>
    <w:rsid w:val="00C2354C"/>
    <w:rsid w:val="00C4096C"/>
    <w:rsid w:val="00C50C6D"/>
    <w:rsid w:val="00C600D9"/>
    <w:rsid w:val="00C63E81"/>
    <w:rsid w:val="00C74B40"/>
    <w:rsid w:val="00C92B22"/>
    <w:rsid w:val="00C970DE"/>
    <w:rsid w:val="00CB0B66"/>
    <w:rsid w:val="00CC1384"/>
    <w:rsid w:val="00CC6C0D"/>
    <w:rsid w:val="00CD3720"/>
    <w:rsid w:val="00CD3F8C"/>
    <w:rsid w:val="00CF1848"/>
    <w:rsid w:val="00CF5C2F"/>
    <w:rsid w:val="00D039FD"/>
    <w:rsid w:val="00D04BCF"/>
    <w:rsid w:val="00D074CF"/>
    <w:rsid w:val="00D10B8D"/>
    <w:rsid w:val="00D143D9"/>
    <w:rsid w:val="00D1544C"/>
    <w:rsid w:val="00D20FE1"/>
    <w:rsid w:val="00D22817"/>
    <w:rsid w:val="00D32950"/>
    <w:rsid w:val="00D34F17"/>
    <w:rsid w:val="00D4498D"/>
    <w:rsid w:val="00D46920"/>
    <w:rsid w:val="00D52E7A"/>
    <w:rsid w:val="00D5511B"/>
    <w:rsid w:val="00D55CAB"/>
    <w:rsid w:val="00D6046D"/>
    <w:rsid w:val="00D71ABF"/>
    <w:rsid w:val="00D766F1"/>
    <w:rsid w:val="00DA7151"/>
    <w:rsid w:val="00DD07DA"/>
    <w:rsid w:val="00DD1BAB"/>
    <w:rsid w:val="00DE5B3B"/>
    <w:rsid w:val="00E070C2"/>
    <w:rsid w:val="00E07A80"/>
    <w:rsid w:val="00E146A7"/>
    <w:rsid w:val="00E15BE7"/>
    <w:rsid w:val="00E257C8"/>
    <w:rsid w:val="00E41512"/>
    <w:rsid w:val="00E41D25"/>
    <w:rsid w:val="00E44A9F"/>
    <w:rsid w:val="00E4519A"/>
    <w:rsid w:val="00E84FF1"/>
    <w:rsid w:val="00E853D5"/>
    <w:rsid w:val="00E867E4"/>
    <w:rsid w:val="00E97215"/>
    <w:rsid w:val="00E9773B"/>
    <w:rsid w:val="00EA1CBE"/>
    <w:rsid w:val="00EA6F42"/>
    <w:rsid w:val="00EB27F9"/>
    <w:rsid w:val="00EC13A3"/>
    <w:rsid w:val="00EC6C64"/>
    <w:rsid w:val="00EC6E9D"/>
    <w:rsid w:val="00EC7C85"/>
    <w:rsid w:val="00ED5C70"/>
    <w:rsid w:val="00ED6D9E"/>
    <w:rsid w:val="00EF7C36"/>
    <w:rsid w:val="00F01D7B"/>
    <w:rsid w:val="00F0732B"/>
    <w:rsid w:val="00F125EE"/>
    <w:rsid w:val="00F12E98"/>
    <w:rsid w:val="00F15867"/>
    <w:rsid w:val="00F22029"/>
    <w:rsid w:val="00F24CCE"/>
    <w:rsid w:val="00F254A6"/>
    <w:rsid w:val="00F3011A"/>
    <w:rsid w:val="00F35C02"/>
    <w:rsid w:val="00F4427B"/>
    <w:rsid w:val="00F515FB"/>
    <w:rsid w:val="00F630EA"/>
    <w:rsid w:val="00F63504"/>
    <w:rsid w:val="00F673DC"/>
    <w:rsid w:val="00F67B87"/>
    <w:rsid w:val="00F7007E"/>
    <w:rsid w:val="00F73193"/>
    <w:rsid w:val="00F74F95"/>
    <w:rsid w:val="00F7682D"/>
    <w:rsid w:val="00F80705"/>
    <w:rsid w:val="00F84BD9"/>
    <w:rsid w:val="00FA1481"/>
    <w:rsid w:val="00FA30CC"/>
    <w:rsid w:val="00FC057C"/>
    <w:rsid w:val="00FD57FC"/>
    <w:rsid w:val="00FF04E3"/>
    <w:rsid w:val="2AD80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nhideWhenUsed="0" w:uiPriority="0"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uiPriority="0" w:name="footnote reference"/>
    <w:lsdException w:qFormat="1" w:uiPriority="0" w:name="annotation reference"/>
    <w:lsdException w:uiPriority="0" w:name="line number"/>
    <w:lsdException w:qFormat="1" w:unhideWhenUsed="0" w:uiPriority="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name="Hyperlink"/>
    <w:lsdException w:qFormat="1" w:uiPriority="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lang w:val="en-US" w:eastAsia="en-US" w:bidi="ar-SA"/>
    </w:rPr>
  </w:style>
  <w:style w:type="paragraph" w:styleId="3">
    <w:name w:val="heading 1"/>
    <w:basedOn w:val="1"/>
    <w:next w:val="1"/>
    <w:link w:val="94"/>
    <w:semiHidden/>
    <w:qFormat/>
    <w:uiPriority w:val="0"/>
    <w:pPr>
      <w:keepNext/>
      <w:spacing w:before="240" w:after="60"/>
      <w:outlineLvl w:val="0"/>
    </w:pPr>
    <w:rPr>
      <w:b/>
      <w:bCs/>
      <w:kern w:val="32"/>
      <w:szCs w:val="24"/>
    </w:rPr>
  </w:style>
  <w:style w:type="paragraph" w:styleId="4">
    <w:name w:val="heading 2"/>
    <w:basedOn w:val="1"/>
    <w:next w:val="1"/>
    <w:link w:val="95"/>
    <w:semiHidden/>
    <w:qFormat/>
    <w:uiPriority w:val="0"/>
    <w:pPr>
      <w:keepNext/>
      <w:spacing w:before="240" w:after="60"/>
      <w:outlineLvl w:val="1"/>
    </w:pPr>
    <w:rPr>
      <w:rFonts w:ascii="Cambria" w:hAnsi="Cambria"/>
      <w:b/>
      <w:bCs/>
      <w:i/>
      <w:iCs/>
      <w:sz w:val="28"/>
      <w:szCs w:val="28"/>
    </w:rPr>
  </w:style>
  <w:style w:type="paragraph" w:styleId="5">
    <w:name w:val="heading 3"/>
    <w:basedOn w:val="1"/>
    <w:next w:val="1"/>
    <w:semiHidden/>
    <w:qFormat/>
    <w:uiPriority w:val="0"/>
    <w:pPr>
      <w:keepNext/>
      <w:spacing w:line="480" w:lineRule="auto"/>
      <w:outlineLvl w:val="2"/>
    </w:pPr>
    <w:rPr>
      <w:rFonts w:ascii="Times" w:hAnsi="Times" w:eastAsia="Times"/>
      <w:b/>
    </w:rPr>
  </w:style>
  <w:style w:type="paragraph" w:styleId="6">
    <w:name w:val="heading 4"/>
    <w:basedOn w:val="1"/>
    <w:next w:val="1"/>
    <w:semiHidden/>
    <w:qFormat/>
    <w:uiPriority w:val="0"/>
    <w:pPr>
      <w:keepNext/>
      <w:spacing w:line="480" w:lineRule="auto"/>
      <w:outlineLvl w:val="3"/>
    </w:pPr>
    <w:rPr>
      <w:rFonts w:ascii="Times" w:hAnsi="Times"/>
      <w:b/>
      <w:color w:val="0000FF"/>
      <w:sz w:val="44"/>
    </w:rPr>
  </w:style>
  <w:style w:type="paragraph" w:styleId="7">
    <w:name w:val="heading 5"/>
    <w:basedOn w:val="1"/>
    <w:next w:val="1"/>
    <w:link w:val="96"/>
    <w:semiHidden/>
    <w:qFormat/>
    <w:uiPriority w:val="0"/>
    <w:pPr>
      <w:spacing w:before="240" w:after="60"/>
      <w:outlineLvl w:val="4"/>
    </w:pPr>
    <w:rPr>
      <w:rFonts w:ascii="Calibri" w:hAnsi="Calibri"/>
      <w:b/>
      <w:bCs/>
      <w:i/>
      <w:iCs/>
      <w:sz w:val="26"/>
      <w:szCs w:val="26"/>
    </w:rPr>
  </w:style>
  <w:style w:type="paragraph" w:styleId="8">
    <w:name w:val="heading 6"/>
    <w:basedOn w:val="1"/>
    <w:next w:val="1"/>
    <w:link w:val="97"/>
    <w:semiHidden/>
    <w:qFormat/>
    <w:uiPriority w:val="0"/>
    <w:pPr>
      <w:spacing w:before="240" w:after="60"/>
      <w:outlineLvl w:val="5"/>
    </w:pPr>
    <w:rPr>
      <w:rFonts w:ascii="Calibri" w:hAnsi="Calibri"/>
      <w:b/>
      <w:bCs/>
      <w:sz w:val="22"/>
      <w:szCs w:val="22"/>
    </w:rPr>
  </w:style>
  <w:style w:type="paragraph" w:styleId="9">
    <w:name w:val="heading 7"/>
    <w:basedOn w:val="1"/>
    <w:next w:val="1"/>
    <w:link w:val="98"/>
    <w:semiHidden/>
    <w:qFormat/>
    <w:uiPriority w:val="0"/>
    <w:pPr>
      <w:spacing w:before="240" w:after="60"/>
      <w:outlineLvl w:val="6"/>
    </w:pPr>
    <w:rPr>
      <w:rFonts w:ascii="Calibri" w:hAnsi="Calibri"/>
      <w:szCs w:val="24"/>
    </w:rPr>
  </w:style>
  <w:style w:type="paragraph" w:styleId="10">
    <w:name w:val="heading 8"/>
    <w:basedOn w:val="1"/>
    <w:next w:val="1"/>
    <w:link w:val="99"/>
    <w:semiHidden/>
    <w:qFormat/>
    <w:uiPriority w:val="0"/>
    <w:pPr>
      <w:spacing w:before="240" w:after="60"/>
      <w:outlineLvl w:val="7"/>
    </w:pPr>
    <w:rPr>
      <w:rFonts w:ascii="Calibri" w:hAnsi="Calibri"/>
      <w:i/>
      <w:iCs/>
      <w:szCs w:val="24"/>
    </w:rPr>
  </w:style>
  <w:style w:type="paragraph" w:styleId="11">
    <w:name w:val="heading 9"/>
    <w:basedOn w:val="1"/>
    <w:next w:val="1"/>
    <w:link w:val="100"/>
    <w:semiHidden/>
    <w:qFormat/>
    <w:uiPriority w:val="0"/>
    <w:pPr>
      <w:spacing w:before="240" w:after="60"/>
      <w:outlineLvl w:val="8"/>
    </w:pPr>
    <w:rPr>
      <w:rFonts w:ascii="Cambria" w:hAnsi="Cambria"/>
      <w:sz w:val="22"/>
      <w:szCs w:val="22"/>
    </w:rPr>
  </w:style>
  <w:style w:type="character" w:default="1" w:styleId="89">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0"/>
    <w:semiHidden/>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eastAsiaTheme="minorEastAsia"/>
      <w:lang w:val="en-US" w:eastAsia="en-US" w:bidi="ar-SA"/>
    </w:rPr>
  </w:style>
  <w:style w:type="paragraph" w:styleId="12">
    <w:name w:val="List 3"/>
    <w:basedOn w:val="1"/>
    <w:semiHidden/>
    <w:qFormat/>
    <w:uiPriority w:val="0"/>
    <w:pPr>
      <w:ind w:left="1080" w:hanging="360"/>
      <w:contextualSpacing/>
    </w:pPr>
  </w:style>
  <w:style w:type="paragraph" w:styleId="13">
    <w:name w:val="toc 7"/>
    <w:basedOn w:val="1"/>
    <w:next w:val="1"/>
    <w:autoRedefine/>
    <w:semiHidden/>
    <w:qFormat/>
    <w:uiPriority w:val="0"/>
    <w:pPr>
      <w:ind w:left="1440"/>
    </w:pPr>
  </w:style>
  <w:style w:type="paragraph" w:styleId="14">
    <w:name w:val="List Number 2"/>
    <w:basedOn w:val="1"/>
    <w:semiHidden/>
    <w:qFormat/>
    <w:uiPriority w:val="0"/>
    <w:pPr>
      <w:numPr>
        <w:ilvl w:val="0"/>
        <w:numId w:val="1"/>
      </w:numPr>
      <w:contextualSpacing/>
    </w:pPr>
  </w:style>
  <w:style w:type="paragraph" w:styleId="15">
    <w:name w:val="table of authorities"/>
    <w:basedOn w:val="1"/>
    <w:next w:val="1"/>
    <w:semiHidden/>
    <w:qFormat/>
    <w:uiPriority w:val="0"/>
    <w:pPr>
      <w:ind w:left="240" w:hanging="240"/>
    </w:pPr>
  </w:style>
  <w:style w:type="paragraph" w:styleId="16">
    <w:name w:val="Note Heading"/>
    <w:basedOn w:val="1"/>
    <w:next w:val="1"/>
    <w:link w:val="133"/>
    <w:semiHidden/>
    <w:qFormat/>
    <w:uiPriority w:val="0"/>
  </w:style>
  <w:style w:type="paragraph" w:styleId="17">
    <w:name w:val="List Bullet 4"/>
    <w:basedOn w:val="1"/>
    <w:semiHidden/>
    <w:qFormat/>
    <w:uiPriority w:val="0"/>
    <w:pPr>
      <w:numPr>
        <w:ilvl w:val="0"/>
        <w:numId w:val="2"/>
      </w:numPr>
      <w:contextualSpacing/>
    </w:pPr>
  </w:style>
  <w:style w:type="paragraph" w:styleId="18">
    <w:name w:val="index 8"/>
    <w:basedOn w:val="1"/>
    <w:next w:val="1"/>
    <w:autoRedefine/>
    <w:semiHidden/>
    <w:qFormat/>
    <w:uiPriority w:val="0"/>
    <w:pPr>
      <w:ind w:left="1920" w:hanging="240"/>
    </w:pPr>
  </w:style>
  <w:style w:type="paragraph" w:styleId="19">
    <w:name w:val="E-mail Signature"/>
    <w:basedOn w:val="1"/>
    <w:link w:val="120"/>
    <w:semiHidden/>
    <w:qFormat/>
    <w:uiPriority w:val="0"/>
  </w:style>
  <w:style w:type="paragraph" w:styleId="20">
    <w:name w:val="List Number"/>
    <w:basedOn w:val="1"/>
    <w:semiHidden/>
    <w:qFormat/>
    <w:uiPriority w:val="0"/>
    <w:pPr>
      <w:numPr>
        <w:ilvl w:val="0"/>
        <w:numId w:val="3"/>
      </w:numPr>
      <w:contextualSpacing/>
    </w:pPr>
  </w:style>
  <w:style w:type="paragraph" w:styleId="21">
    <w:name w:val="Normal Indent"/>
    <w:basedOn w:val="1"/>
    <w:semiHidden/>
    <w:qFormat/>
    <w:uiPriority w:val="0"/>
    <w:pPr>
      <w:ind w:left="720"/>
    </w:pPr>
  </w:style>
  <w:style w:type="paragraph" w:styleId="22">
    <w:name w:val="caption"/>
    <w:basedOn w:val="1"/>
    <w:next w:val="1"/>
    <w:semiHidden/>
    <w:qFormat/>
    <w:uiPriority w:val="0"/>
    <w:rPr>
      <w:b/>
      <w:bCs/>
      <w:sz w:val="20"/>
    </w:rPr>
  </w:style>
  <w:style w:type="paragraph" w:styleId="23">
    <w:name w:val="index 5"/>
    <w:basedOn w:val="1"/>
    <w:next w:val="1"/>
    <w:autoRedefine/>
    <w:semiHidden/>
    <w:qFormat/>
    <w:uiPriority w:val="0"/>
    <w:pPr>
      <w:ind w:left="1200" w:hanging="240"/>
    </w:pPr>
  </w:style>
  <w:style w:type="paragraph" w:styleId="24">
    <w:name w:val="List Bullet"/>
    <w:basedOn w:val="1"/>
    <w:semiHidden/>
    <w:qFormat/>
    <w:uiPriority w:val="0"/>
    <w:pPr>
      <w:numPr>
        <w:ilvl w:val="0"/>
        <w:numId w:val="4"/>
      </w:numPr>
      <w:contextualSpacing/>
    </w:pPr>
  </w:style>
  <w:style w:type="paragraph" w:styleId="25">
    <w:name w:val="envelope address"/>
    <w:basedOn w:val="1"/>
    <w:semiHidden/>
    <w:qFormat/>
    <w:uiPriority w:val="0"/>
    <w:pPr>
      <w:framePr w:w="7920" w:h="1980" w:hRule="exact" w:hSpace="180" w:wrap="auto" w:vAnchor="margin" w:hAnchor="page" w:xAlign="center" w:yAlign="bottom"/>
      <w:ind w:left="2880"/>
    </w:pPr>
    <w:rPr>
      <w:rFonts w:ascii="Cambria" w:hAnsi="Cambria"/>
      <w:szCs w:val="24"/>
    </w:rPr>
  </w:style>
  <w:style w:type="paragraph" w:styleId="26">
    <w:name w:val="Document Map"/>
    <w:basedOn w:val="1"/>
    <w:link w:val="119"/>
    <w:semiHidden/>
    <w:qFormat/>
    <w:uiPriority w:val="0"/>
    <w:rPr>
      <w:rFonts w:ascii="Tahoma" w:hAnsi="Tahoma" w:cs="Tahoma"/>
      <w:sz w:val="16"/>
      <w:szCs w:val="16"/>
    </w:rPr>
  </w:style>
  <w:style w:type="paragraph" w:styleId="27">
    <w:name w:val="toa heading"/>
    <w:basedOn w:val="1"/>
    <w:next w:val="1"/>
    <w:semiHidden/>
    <w:qFormat/>
    <w:uiPriority w:val="0"/>
    <w:pPr>
      <w:spacing w:before="120"/>
    </w:pPr>
    <w:rPr>
      <w:rFonts w:ascii="Cambria" w:hAnsi="Cambria"/>
      <w:b/>
      <w:bCs/>
      <w:szCs w:val="24"/>
    </w:rPr>
  </w:style>
  <w:style w:type="paragraph" w:styleId="28">
    <w:name w:val="annotation text"/>
    <w:basedOn w:val="1"/>
    <w:link w:val="116"/>
    <w:semiHidden/>
    <w:qFormat/>
    <w:uiPriority w:val="0"/>
    <w:rPr>
      <w:sz w:val="20"/>
    </w:rPr>
  </w:style>
  <w:style w:type="paragraph" w:styleId="29">
    <w:name w:val="index 6"/>
    <w:basedOn w:val="1"/>
    <w:next w:val="1"/>
    <w:autoRedefine/>
    <w:semiHidden/>
    <w:qFormat/>
    <w:uiPriority w:val="0"/>
    <w:pPr>
      <w:ind w:left="1440" w:hanging="240"/>
    </w:pPr>
  </w:style>
  <w:style w:type="paragraph" w:styleId="30">
    <w:name w:val="Salutation"/>
    <w:basedOn w:val="1"/>
    <w:next w:val="1"/>
    <w:link w:val="137"/>
    <w:semiHidden/>
    <w:qFormat/>
    <w:uiPriority w:val="0"/>
  </w:style>
  <w:style w:type="paragraph" w:styleId="31">
    <w:name w:val="Body Text 3"/>
    <w:basedOn w:val="1"/>
    <w:link w:val="109"/>
    <w:semiHidden/>
    <w:qFormat/>
    <w:uiPriority w:val="0"/>
    <w:pPr>
      <w:spacing w:after="120"/>
    </w:pPr>
    <w:rPr>
      <w:sz w:val="16"/>
      <w:szCs w:val="16"/>
    </w:rPr>
  </w:style>
  <w:style w:type="paragraph" w:styleId="32">
    <w:name w:val="Closing"/>
    <w:basedOn w:val="1"/>
    <w:link w:val="115"/>
    <w:semiHidden/>
    <w:qFormat/>
    <w:uiPriority w:val="0"/>
    <w:pPr>
      <w:ind w:left="4320"/>
    </w:pPr>
  </w:style>
  <w:style w:type="paragraph" w:styleId="33">
    <w:name w:val="List Bullet 3"/>
    <w:basedOn w:val="1"/>
    <w:semiHidden/>
    <w:qFormat/>
    <w:uiPriority w:val="0"/>
    <w:pPr>
      <w:numPr>
        <w:ilvl w:val="0"/>
        <w:numId w:val="5"/>
      </w:numPr>
      <w:contextualSpacing/>
    </w:pPr>
  </w:style>
  <w:style w:type="paragraph" w:styleId="34">
    <w:name w:val="Body Text"/>
    <w:basedOn w:val="1"/>
    <w:link w:val="107"/>
    <w:semiHidden/>
    <w:qFormat/>
    <w:uiPriority w:val="0"/>
    <w:pPr>
      <w:spacing w:after="120"/>
    </w:pPr>
  </w:style>
  <w:style w:type="paragraph" w:styleId="35">
    <w:name w:val="Body Text Indent"/>
    <w:basedOn w:val="1"/>
    <w:link w:val="111"/>
    <w:semiHidden/>
    <w:qFormat/>
    <w:uiPriority w:val="0"/>
    <w:pPr>
      <w:spacing w:after="120"/>
      <w:ind w:left="360"/>
    </w:pPr>
  </w:style>
  <w:style w:type="paragraph" w:styleId="36">
    <w:name w:val="List Number 3"/>
    <w:basedOn w:val="1"/>
    <w:semiHidden/>
    <w:qFormat/>
    <w:uiPriority w:val="0"/>
    <w:pPr>
      <w:numPr>
        <w:ilvl w:val="0"/>
        <w:numId w:val="6"/>
      </w:numPr>
      <w:contextualSpacing/>
    </w:pPr>
  </w:style>
  <w:style w:type="paragraph" w:styleId="37">
    <w:name w:val="List 2"/>
    <w:basedOn w:val="1"/>
    <w:semiHidden/>
    <w:qFormat/>
    <w:uiPriority w:val="0"/>
    <w:pPr>
      <w:ind w:left="720" w:hanging="360"/>
      <w:contextualSpacing/>
    </w:pPr>
  </w:style>
  <w:style w:type="paragraph" w:styleId="38">
    <w:name w:val="List Continue"/>
    <w:basedOn w:val="1"/>
    <w:semiHidden/>
    <w:qFormat/>
    <w:uiPriority w:val="0"/>
    <w:pPr>
      <w:spacing w:after="120"/>
      <w:ind w:left="360"/>
      <w:contextualSpacing/>
    </w:pPr>
  </w:style>
  <w:style w:type="paragraph" w:styleId="39">
    <w:name w:val="Block Text"/>
    <w:basedOn w:val="1"/>
    <w:semiHidden/>
    <w:qFormat/>
    <w:uiPriority w:val="0"/>
    <w:pPr>
      <w:spacing w:after="120"/>
      <w:ind w:left="1440" w:right="1440"/>
    </w:pPr>
  </w:style>
  <w:style w:type="paragraph" w:styleId="40">
    <w:name w:val="List Bullet 2"/>
    <w:basedOn w:val="1"/>
    <w:semiHidden/>
    <w:qFormat/>
    <w:uiPriority w:val="0"/>
    <w:pPr>
      <w:numPr>
        <w:ilvl w:val="0"/>
        <w:numId w:val="7"/>
      </w:numPr>
      <w:contextualSpacing/>
    </w:pPr>
  </w:style>
  <w:style w:type="paragraph" w:styleId="41">
    <w:name w:val="HTML Address"/>
    <w:basedOn w:val="1"/>
    <w:link w:val="125"/>
    <w:semiHidden/>
    <w:qFormat/>
    <w:uiPriority w:val="0"/>
    <w:rPr>
      <w:i/>
      <w:iCs/>
    </w:rPr>
  </w:style>
  <w:style w:type="paragraph" w:styleId="42">
    <w:name w:val="index 4"/>
    <w:basedOn w:val="1"/>
    <w:next w:val="1"/>
    <w:autoRedefine/>
    <w:semiHidden/>
    <w:qFormat/>
    <w:uiPriority w:val="0"/>
    <w:pPr>
      <w:ind w:left="960" w:hanging="240"/>
    </w:pPr>
  </w:style>
  <w:style w:type="paragraph" w:styleId="43">
    <w:name w:val="toc 5"/>
    <w:basedOn w:val="1"/>
    <w:next w:val="1"/>
    <w:autoRedefine/>
    <w:semiHidden/>
    <w:qFormat/>
    <w:uiPriority w:val="0"/>
    <w:pPr>
      <w:ind w:left="960"/>
    </w:pPr>
  </w:style>
  <w:style w:type="paragraph" w:styleId="44">
    <w:name w:val="toc 3"/>
    <w:basedOn w:val="1"/>
    <w:next w:val="1"/>
    <w:autoRedefine/>
    <w:semiHidden/>
    <w:qFormat/>
    <w:uiPriority w:val="0"/>
    <w:pPr>
      <w:ind w:left="480"/>
    </w:pPr>
  </w:style>
  <w:style w:type="paragraph" w:styleId="45">
    <w:name w:val="Plain Text"/>
    <w:basedOn w:val="1"/>
    <w:link w:val="134"/>
    <w:semiHidden/>
    <w:qFormat/>
    <w:uiPriority w:val="0"/>
    <w:rPr>
      <w:rFonts w:ascii="Courier New" w:hAnsi="Courier New" w:cs="Courier New"/>
      <w:sz w:val="20"/>
    </w:rPr>
  </w:style>
  <w:style w:type="paragraph" w:styleId="46">
    <w:name w:val="List Bullet 5"/>
    <w:basedOn w:val="1"/>
    <w:semiHidden/>
    <w:qFormat/>
    <w:uiPriority w:val="0"/>
    <w:pPr>
      <w:numPr>
        <w:ilvl w:val="0"/>
        <w:numId w:val="8"/>
      </w:numPr>
      <w:contextualSpacing/>
    </w:pPr>
  </w:style>
  <w:style w:type="paragraph" w:styleId="47">
    <w:name w:val="List Number 4"/>
    <w:basedOn w:val="1"/>
    <w:semiHidden/>
    <w:qFormat/>
    <w:uiPriority w:val="0"/>
    <w:pPr>
      <w:numPr>
        <w:ilvl w:val="0"/>
        <w:numId w:val="9"/>
      </w:numPr>
      <w:contextualSpacing/>
    </w:pPr>
  </w:style>
  <w:style w:type="paragraph" w:styleId="48">
    <w:name w:val="toc 8"/>
    <w:basedOn w:val="1"/>
    <w:next w:val="1"/>
    <w:autoRedefine/>
    <w:semiHidden/>
    <w:qFormat/>
    <w:uiPriority w:val="0"/>
    <w:pPr>
      <w:ind w:left="1680"/>
    </w:pPr>
  </w:style>
  <w:style w:type="paragraph" w:styleId="49">
    <w:name w:val="index 3"/>
    <w:basedOn w:val="1"/>
    <w:next w:val="1"/>
    <w:autoRedefine/>
    <w:semiHidden/>
    <w:qFormat/>
    <w:uiPriority w:val="0"/>
    <w:pPr>
      <w:ind w:left="720" w:hanging="240"/>
    </w:pPr>
  </w:style>
  <w:style w:type="paragraph" w:styleId="50">
    <w:name w:val="Date"/>
    <w:basedOn w:val="1"/>
    <w:next w:val="1"/>
    <w:link w:val="118"/>
    <w:semiHidden/>
    <w:qFormat/>
    <w:uiPriority w:val="0"/>
  </w:style>
  <w:style w:type="paragraph" w:styleId="51">
    <w:name w:val="Body Text Indent 2"/>
    <w:basedOn w:val="1"/>
    <w:link w:val="113"/>
    <w:semiHidden/>
    <w:qFormat/>
    <w:uiPriority w:val="0"/>
    <w:pPr>
      <w:spacing w:after="120" w:line="480" w:lineRule="auto"/>
      <w:ind w:left="360"/>
    </w:pPr>
  </w:style>
  <w:style w:type="paragraph" w:styleId="52">
    <w:name w:val="endnote text"/>
    <w:basedOn w:val="1"/>
    <w:link w:val="121"/>
    <w:semiHidden/>
    <w:qFormat/>
    <w:uiPriority w:val="0"/>
    <w:rPr>
      <w:sz w:val="20"/>
    </w:rPr>
  </w:style>
  <w:style w:type="paragraph" w:styleId="53">
    <w:name w:val="List Continue 5"/>
    <w:basedOn w:val="1"/>
    <w:semiHidden/>
    <w:qFormat/>
    <w:uiPriority w:val="0"/>
    <w:pPr>
      <w:spacing w:after="120"/>
      <w:ind w:left="1800"/>
      <w:contextualSpacing/>
    </w:pPr>
  </w:style>
  <w:style w:type="paragraph" w:styleId="54">
    <w:name w:val="Balloon Text"/>
    <w:basedOn w:val="1"/>
    <w:link w:val="105"/>
    <w:semiHidden/>
    <w:qFormat/>
    <w:uiPriority w:val="0"/>
    <w:rPr>
      <w:rFonts w:ascii="Tahoma" w:hAnsi="Tahoma" w:cs="Tahoma"/>
      <w:sz w:val="16"/>
      <w:szCs w:val="16"/>
    </w:rPr>
  </w:style>
  <w:style w:type="paragraph" w:styleId="55">
    <w:name w:val="footer"/>
    <w:basedOn w:val="1"/>
    <w:link w:val="122"/>
    <w:semiHidden/>
    <w:qFormat/>
    <w:uiPriority w:val="0"/>
    <w:pPr>
      <w:tabs>
        <w:tab w:val="center" w:pos="4680"/>
        <w:tab w:val="right" w:pos="9360"/>
      </w:tabs>
    </w:pPr>
  </w:style>
  <w:style w:type="paragraph" w:styleId="56">
    <w:name w:val="envelope return"/>
    <w:basedOn w:val="1"/>
    <w:semiHidden/>
    <w:qFormat/>
    <w:uiPriority w:val="0"/>
    <w:rPr>
      <w:rFonts w:ascii="Cambria" w:hAnsi="Cambria"/>
      <w:sz w:val="20"/>
    </w:rPr>
  </w:style>
  <w:style w:type="paragraph" w:styleId="57">
    <w:name w:val="header"/>
    <w:basedOn w:val="1"/>
    <w:link w:val="124"/>
    <w:semiHidden/>
    <w:qFormat/>
    <w:uiPriority w:val="0"/>
    <w:pPr>
      <w:tabs>
        <w:tab w:val="center" w:pos="4680"/>
        <w:tab w:val="right" w:pos="9360"/>
      </w:tabs>
    </w:pPr>
  </w:style>
  <w:style w:type="paragraph" w:styleId="58">
    <w:name w:val="Signature"/>
    <w:basedOn w:val="1"/>
    <w:link w:val="138"/>
    <w:semiHidden/>
    <w:qFormat/>
    <w:uiPriority w:val="0"/>
    <w:pPr>
      <w:ind w:left="4320"/>
    </w:pPr>
  </w:style>
  <w:style w:type="paragraph" w:styleId="59">
    <w:name w:val="toc 1"/>
    <w:basedOn w:val="1"/>
    <w:next w:val="1"/>
    <w:autoRedefine/>
    <w:semiHidden/>
    <w:qFormat/>
    <w:uiPriority w:val="0"/>
  </w:style>
  <w:style w:type="paragraph" w:styleId="60">
    <w:name w:val="List Continue 4"/>
    <w:basedOn w:val="1"/>
    <w:semiHidden/>
    <w:qFormat/>
    <w:uiPriority w:val="0"/>
    <w:pPr>
      <w:spacing w:after="120"/>
      <w:ind w:left="1440"/>
      <w:contextualSpacing/>
    </w:pPr>
  </w:style>
  <w:style w:type="paragraph" w:styleId="61">
    <w:name w:val="toc 4"/>
    <w:basedOn w:val="1"/>
    <w:next w:val="1"/>
    <w:autoRedefine/>
    <w:semiHidden/>
    <w:qFormat/>
    <w:uiPriority w:val="0"/>
    <w:pPr>
      <w:ind w:left="720"/>
    </w:pPr>
  </w:style>
  <w:style w:type="paragraph" w:styleId="62">
    <w:name w:val="index heading"/>
    <w:basedOn w:val="1"/>
    <w:next w:val="63"/>
    <w:semiHidden/>
    <w:qFormat/>
    <w:uiPriority w:val="0"/>
    <w:rPr>
      <w:rFonts w:ascii="Cambria" w:hAnsi="Cambria"/>
      <w:b/>
      <w:bCs/>
    </w:rPr>
  </w:style>
  <w:style w:type="paragraph" w:styleId="63">
    <w:name w:val="index 1"/>
    <w:basedOn w:val="1"/>
    <w:next w:val="1"/>
    <w:autoRedefine/>
    <w:semiHidden/>
    <w:qFormat/>
    <w:uiPriority w:val="0"/>
    <w:pPr>
      <w:ind w:left="240" w:hanging="240"/>
    </w:pPr>
  </w:style>
  <w:style w:type="paragraph" w:styleId="64">
    <w:name w:val="Subtitle"/>
    <w:basedOn w:val="1"/>
    <w:next w:val="1"/>
    <w:link w:val="139"/>
    <w:semiHidden/>
    <w:qFormat/>
    <w:uiPriority w:val="0"/>
    <w:pPr>
      <w:spacing w:after="60"/>
      <w:jc w:val="center"/>
      <w:outlineLvl w:val="1"/>
    </w:pPr>
    <w:rPr>
      <w:rFonts w:ascii="Cambria" w:hAnsi="Cambria"/>
      <w:szCs w:val="24"/>
    </w:rPr>
  </w:style>
  <w:style w:type="paragraph" w:styleId="65">
    <w:name w:val="List Number 5"/>
    <w:basedOn w:val="1"/>
    <w:semiHidden/>
    <w:qFormat/>
    <w:uiPriority w:val="0"/>
    <w:pPr>
      <w:numPr>
        <w:ilvl w:val="0"/>
        <w:numId w:val="10"/>
      </w:numPr>
      <w:contextualSpacing/>
    </w:pPr>
  </w:style>
  <w:style w:type="paragraph" w:styleId="66">
    <w:name w:val="List"/>
    <w:basedOn w:val="1"/>
    <w:semiHidden/>
    <w:qFormat/>
    <w:uiPriority w:val="0"/>
    <w:pPr>
      <w:ind w:left="360" w:hanging="360"/>
      <w:contextualSpacing/>
    </w:pPr>
  </w:style>
  <w:style w:type="paragraph" w:styleId="67">
    <w:name w:val="footnote text"/>
    <w:basedOn w:val="1"/>
    <w:link w:val="123"/>
    <w:semiHidden/>
    <w:qFormat/>
    <w:uiPriority w:val="0"/>
    <w:rPr>
      <w:sz w:val="20"/>
    </w:rPr>
  </w:style>
  <w:style w:type="paragraph" w:styleId="68">
    <w:name w:val="toc 6"/>
    <w:basedOn w:val="1"/>
    <w:next w:val="1"/>
    <w:autoRedefine/>
    <w:semiHidden/>
    <w:qFormat/>
    <w:uiPriority w:val="0"/>
    <w:pPr>
      <w:ind w:left="1200"/>
    </w:pPr>
  </w:style>
  <w:style w:type="paragraph" w:styleId="69">
    <w:name w:val="List 5"/>
    <w:basedOn w:val="1"/>
    <w:semiHidden/>
    <w:qFormat/>
    <w:uiPriority w:val="0"/>
    <w:pPr>
      <w:ind w:left="1800" w:hanging="360"/>
      <w:contextualSpacing/>
    </w:pPr>
  </w:style>
  <w:style w:type="paragraph" w:styleId="70">
    <w:name w:val="Body Text Indent 3"/>
    <w:basedOn w:val="1"/>
    <w:link w:val="114"/>
    <w:semiHidden/>
    <w:qFormat/>
    <w:uiPriority w:val="0"/>
    <w:pPr>
      <w:spacing w:after="120"/>
      <w:ind w:left="360"/>
    </w:pPr>
    <w:rPr>
      <w:sz w:val="16"/>
      <w:szCs w:val="16"/>
    </w:rPr>
  </w:style>
  <w:style w:type="paragraph" w:styleId="71">
    <w:name w:val="index 7"/>
    <w:basedOn w:val="1"/>
    <w:next w:val="1"/>
    <w:autoRedefine/>
    <w:semiHidden/>
    <w:qFormat/>
    <w:uiPriority w:val="0"/>
    <w:pPr>
      <w:ind w:left="1680" w:hanging="240"/>
    </w:pPr>
  </w:style>
  <w:style w:type="paragraph" w:styleId="72">
    <w:name w:val="index 9"/>
    <w:basedOn w:val="1"/>
    <w:next w:val="1"/>
    <w:autoRedefine/>
    <w:semiHidden/>
    <w:qFormat/>
    <w:uiPriority w:val="0"/>
    <w:pPr>
      <w:ind w:left="2160" w:hanging="240"/>
    </w:pPr>
  </w:style>
  <w:style w:type="paragraph" w:styleId="73">
    <w:name w:val="table of figures"/>
    <w:basedOn w:val="1"/>
    <w:next w:val="1"/>
    <w:semiHidden/>
    <w:qFormat/>
    <w:uiPriority w:val="0"/>
  </w:style>
  <w:style w:type="paragraph" w:styleId="74">
    <w:name w:val="toc 2"/>
    <w:basedOn w:val="1"/>
    <w:next w:val="1"/>
    <w:autoRedefine/>
    <w:semiHidden/>
    <w:qFormat/>
    <w:uiPriority w:val="0"/>
    <w:pPr>
      <w:ind w:left="240"/>
    </w:pPr>
  </w:style>
  <w:style w:type="paragraph" w:styleId="75">
    <w:name w:val="toc 9"/>
    <w:basedOn w:val="1"/>
    <w:next w:val="1"/>
    <w:autoRedefine/>
    <w:semiHidden/>
    <w:qFormat/>
    <w:uiPriority w:val="0"/>
    <w:pPr>
      <w:ind w:left="1920"/>
    </w:pPr>
  </w:style>
  <w:style w:type="paragraph" w:styleId="76">
    <w:name w:val="Body Text 2"/>
    <w:basedOn w:val="1"/>
    <w:link w:val="108"/>
    <w:semiHidden/>
    <w:qFormat/>
    <w:uiPriority w:val="0"/>
    <w:pPr>
      <w:spacing w:after="120" w:line="480" w:lineRule="auto"/>
    </w:pPr>
  </w:style>
  <w:style w:type="paragraph" w:styleId="77">
    <w:name w:val="List 4"/>
    <w:basedOn w:val="1"/>
    <w:semiHidden/>
    <w:qFormat/>
    <w:uiPriority w:val="0"/>
    <w:pPr>
      <w:ind w:left="1440" w:hanging="360"/>
      <w:contextualSpacing/>
    </w:pPr>
  </w:style>
  <w:style w:type="paragraph" w:styleId="78">
    <w:name w:val="List Continue 2"/>
    <w:basedOn w:val="1"/>
    <w:semiHidden/>
    <w:qFormat/>
    <w:uiPriority w:val="0"/>
    <w:pPr>
      <w:spacing w:after="120"/>
      <w:ind w:left="720"/>
      <w:contextualSpacing/>
    </w:pPr>
  </w:style>
  <w:style w:type="paragraph" w:styleId="79">
    <w:name w:val="Message Header"/>
    <w:basedOn w:val="1"/>
    <w:link w:val="131"/>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Cs w:val="24"/>
    </w:rPr>
  </w:style>
  <w:style w:type="paragraph" w:styleId="80">
    <w:name w:val="HTML Preformatted"/>
    <w:basedOn w:val="1"/>
    <w:link w:val="126"/>
    <w:semiHidden/>
    <w:qFormat/>
    <w:uiPriority w:val="0"/>
    <w:rPr>
      <w:rFonts w:ascii="Courier New" w:hAnsi="Courier New" w:cs="Courier New"/>
      <w:sz w:val="20"/>
    </w:rPr>
  </w:style>
  <w:style w:type="paragraph" w:styleId="81">
    <w:name w:val="Normal (Web)"/>
    <w:basedOn w:val="1"/>
    <w:semiHidden/>
    <w:qFormat/>
    <w:uiPriority w:val="0"/>
    <w:rPr>
      <w:szCs w:val="24"/>
    </w:rPr>
  </w:style>
  <w:style w:type="paragraph" w:styleId="82">
    <w:name w:val="List Continue 3"/>
    <w:basedOn w:val="1"/>
    <w:semiHidden/>
    <w:qFormat/>
    <w:uiPriority w:val="0"/>
    <w:pPr>
      <w:spacing w:after="120"/>
      <w:ind w:left="1080"/>
      <w:contextualSpacing/>
    </w:pPr>
  </w:style>
  <w:style w:type="paragraph" w:styleId="83">
    <w:name w:val="index 2"/>
    <w:basedOn w:val="1"/>
    <w:next w:val="1"/>
    <w:autoRedefine/>
    <w:semiHidden/>
    <w:qFormat/>
    <w:uiPriority w:val="0"/>
    <w:pPr>
      <w:ind w:left="480" w:hanging="240"/>
    </w:pPr>
  </w:style>
  <w:style w:type="paragraph" w:styleId="84">
    <w:name w:val="Title"/>
    <w:basedOn w:val="1"/>
    <w:next w:val="1"/>
    <w:link w:val="140"/>
    <w:semiHidden/>
    <w:qFormat/>
    <w:uiPriority w:val="0"/>
    <w:pPr>
      <w:spacing w:before="240" w:after="60"/>
      <w:jc w:val="center"/>
      <w:outlineLvl w:val="0"/>
    </w:pPr>
    <w:rPr>
      <w:rFonts w:ascii="Cambria" w:hAnsi="Cambria"/>
      <w:b/>
      <w:bCs/>
      <w:kern w:val="28"/>
      <w:sz w:val="32"/>
      <w:szCs w:val="32"/>
    </w:rPr>
  </w:style>
  <w:style w:type="paragraph" w:styleId="85">
    <w:name w:val="annotation subject"/>
    <w:basedOn w:val="28"/>
    <w:next w:val="28"/>
    <w:link w:val="117"/>
    <w:semiHidden/>
    <w:qFormat/>
    <w:uiPriority w:val="0"/>
    <w:rPr>
      <w:b/>
      <w:bCs/>
    </w:rPr>
  </w:style>
  <w:style w:type="paragraph" w:styleId="86">
    <w:name w:val="Body Text First Indent"/>
    <w:basedOn w:val="34"/>
    <w:link w:val="110"/>
    <w:semiHidden/>
    <w:qFormat/>
    <w:uiPriority w:val="0"/>
    <w:pPr>
      <w:ind w:firstLine="210"/>
    </w:pPr>
  </w:style>
  <w:style w:type="paragraph" w:styleId="87">
    <w:name w:val="Body Text First Indent 2"/>
    <w:basedOn w:val="35"/>
    <w:link w:val="112"/>
    <w:semiHidden/>
    <w:qFormat/>
    <w:uiPriority w:val="0"/>
    <w:pPr>
      <w:ind w:firstLine="210"/>
    </w:pPr>
  </w:style>
  <w:style w:type="character" w:styleId="90">
    <w:name w:val="page number"/>
    <w:basedOn w:val="89"/>
    <w:semiHidden/>
    <w:qFormat/>
    <w:uiPriority w:val="0"/>
  </w:style>
  <w:style w:type="character" w:styleId="91">
    <w:name w:val="FollowedHyperlink"/>
    <w:semiHidden/>
    <w:unhideWhenUsed/>
    <w:qFormat/>
    <w:uiPriority w:val="0"/>
    <w:rPr>
      <w:color w:val="800080"/>
      <w:u w:val="single"/>
    </w:rPr>
  </w:style>
  <w:style w:type="character" w:styleId="92">
    <w:name w:val="Hyperlink"/>
    <w:semiHidden/>
    <w:qFormat/>
    <w:uiPriority w:val="0"/>
    <w:rPr>
      <w:color w:val="0000FF"/>
      <w:u w:val="single"/>
    </w:rPr>
  </w:style>
  <w:style w:type="character" w:styleId="93">
    <w:name w:val="annotation reference"/>
    <w:semiHidden/>
    <w:unhideWhenUsed/>
    <w:qFormat/>
    <w:uiPriority w:val="0"/>
    <w:rPr>
      <w:sz w:val="16"/>
      <w:szCs w:val="16"/>
    </w:rPr>
  </w:style>
  <w:style w:type="character" w:customStyle="1" w:styleId="94">
    <w:name w:val="标题 1 字符"/>
    <w:link w:val="3"/>
    <w:semiHidden/>
    <w:qFormat/>
    <w:uiPriority w:val="0"/>
    <w:rPr>
      <w:b/>
      <w:bCs/>
      <w:kern w:val="32"/>
      <w:sz w:val="24"/>
      <w:szCs w:val="24"/>
    </w:rPr>
  </w:style>
  <w:style w:type="character" w:customStyle="1" w:styleId="95">
    <w:name w:val="标题 2 字符"/>
    <w:link w:val="4"/>
    <w:semiHidden/>
    <w:qFormat/>
    <w:uiPriority w:val="0"/>
    <w:rPr>
      <w:rFonts w:ascii="Cambria" w:hAnsi="Cambria"/>
      <w:b/>
      <w:bCs/>
      <w:i/>
      <w:iCs/>
      <w:sz w:val="28"/>
      <w:szCs w:val="28"/>
    </w:rPr>
  </w:style>
  <w:style w:type="character" w:customStyle="1" w:styleId="96">
    <w:name w:val="标题 5 字符"/>
    <w:link w:val="7"/>
    <w:semiHidden/>
    <w:qFormat/>
    <w:uiPriority w:val="0"/>
    <w:rPr>
      <w:rFonts w:ascii="Calibri" w:hAnsi="Calibri"/>
      <w:b/>
      <w:bCs/>
      <w:i/>
      <w:iCs/>
      <w:sz w:val="26"/>
      <w:szCs w:val="26"/>
    </w:rPr>
  </w:style>
  <w:style w:type="character" w:customStyle="1" w:styleId="97">
    <w:name w:val="标题 6 字符"/>
    <w:link w:val="8"/>
    <w:semiHidden/>
    <w:qFormat/>
    <w:uiPriority w:val="0"/>
    <w:rPr>
      <w:rFonts w:ascii="Calibri" w:hAnsi="Calibri"/>
      <w:b/>
      <w:bCs/>
      <w:sz w:val="22"/>
      <w:szCs w:val="22"/>
    </w:rPr>
  </w:style>
  <w:style w:type="character" w:customStyle="1" w:styleId="98">
    <w:name w:val="标题 7 字符"/>
    <w:link w:val="9"/>
    <w:semiHidden/>
    <w:qFormat/>
    <w:uiPriority w:val="0"/>
    <w:rPr>
      <w:rFonts w:ascii="Calibri" w:hAnsi="Calibri"/>
      <w:sz w:val="24"/>
      <w:szCs w:val="24"/>
    </w:rPr>
  </w:style>
  <w:style w:type="character" w:customStyle="1" w:styleId="99">
    <w:name w:val="标题 8 字符"/>
    <w:link w:val="10"/>
    <w:semiHidden/>
    <w:qFormat/>
    <w:uiPriority w:val="0"/>
    <w:rPr>
      <w:rFonts w:ascii="Calibri" w:hAnsi="Calibri"/>
      <w:i/>
      <w:iCs/>
      <w:sz w:val="24"/>
      <w:szCs w:val="24"/>
    </w:rPr>
  </w:style>
  <w:style w:type="character" w:customStyle="1" w:styleId="100">
    <w:name w:val="标题 9 字符"/>
    <w:link w:val="11"/>
    <w:semiHidden/>
    <w:qFormat/>
    <w:uiPriority w:val="0"/>
    <w:rPr>
      <w:rFonts w:ascii="Cambria" w:hAnsi="Cambria"/>
      <w:sz w:val="22"/>
      <w:szCs w:val="22"/>
    </w:rPr>
  </w:style>
  <w:style w:type="paragraph" w:customStyle="1" w:styleId="101">
    <w:name w:val="SM Heading"/>
    <w:basedOn w:val="3"/>
    <w:qFormat/>
    <w:uiPriority w:val="0"/>
    <w:pPr>
      <w:spacing w:before="0" w:after="120"/>
    </w:pPr>
    <w:rPr>
      <w:b w:val="0"/>
      <w:u w:val="single"/>
    </w:rPr>
  </w:style>
  <w:style w:type="paragraph" w:customStyle="1" w:styleId="102">
    <w:name w:val="SM Subheading"/>
    <w:basedOn w:val="1"/>
    <w:qFormat/>
    <w:uiPriority w:val="0"/>
    <w:rPr>
      <w:u w:val="words"/>
    </w:rPr>
  </w:style>
  <w:style w:type="paragraph" w:customStyle="1" w:styleId="103">
    <w:name w:val="SM Text"/>
    <w:basedOn w:val="1"/>
    <w:qFormat/>
    <w:uiPriority w:val="0"/>
    <w:pPr>
      <w:ind w:firstLine="480"/>
    </w:pPr>
  </w:style>
  <w:style w:type="paragraph" w:customStyle="1" w:styleId="104">
    <w:name w:val="SM caption"/>
    <w:basedOn w:val="103"/>
    <w:qFormat/>
    <w:uiPriority w:val="0"/>
    <w:pPr>
      <w:ind w:firstLine="0"/>
    </w:pPr>
  </w:style>
  <w:style w:type="character" w:customStyle="1" w:styleId="105">
    <w:name w:val="批注框文本 字符"/>
    <w:link w:val="54"/>
    <w:semiHidden/>
    <w:qFormat/>
    <w:uiPriority w:val="0"/>
    <w:rPr>
      <w:rFonts w:ascii="Tahoma" w:hAnsi="Tahoma" w:cs="Tahoma"/>
      <w:sz w:val="16"/>
      <w:szCs w:val="16"/>
    </w:rPr>
  </w:style>
  <w:style w:type="paragraph" w:customStyle="1" w:styleId="106">
    <w:name w:val="Bibliography"/>
    <w:basedOn w:val="1"/>
    <w:next w:val="1"/>
    <w:semiHidden/>
    <w:qFormat/>
    <w:uiPriority w:val="37"/>
  </w:style>
  <w:style w:type="character" w:customStyle="1" w:styleId="107">
    <w:name w:val="正文文本 字符"/>
    <w:link w:val="34"/>
    <w:semiHidden/>
    <w:qFormat/>
    <w:uiPriority w:val="0"/>
    <w:rPr>
      <w:sz w:val="24"/>
    </w:rPr>
  </w:style>
  <w:style w:type="character" w:customStyle="1" w:styleId="108">
    <w:name w:val="正文文本 2 字符"/>
    <w:link w:val="76"/>
    <w:semiHidden/>
    <w:qFormat/>
    <w:uiPriority w:val="0"/>
    <w:rPr>
      <w:sz w:val="24"/>
    </w:rPr>
  </w:style>
  <w:style w:type="character" w:customStyle="1" w:styleId="109">
    <w:name w:val="正文文本 3 字符"/>
    <w:link w:val="31"/>
    <w:semiHidden/>
    <w:qFormat/>
    <w:uiPriority w:val="0"/>
    <w:rPr>
      <w:sz w:val="16"/>
      <w:szCs w:val="16"/>
    </w:rPr>
  </w:style>
  <w:style w:type="character" w:customStyle="1" w:styleId="110">
    <w:name w:val="正文文本首行缩进 字符"/>
    <w:link w:val="86"/>
    <w:semiHidden/>
    <w:qFormat/>
    <w:uiPriority w:val="0"/>
    <w:rPr>
      <w:sz w:val="24"/>
    </w:rPr>
  </w:style>
  <w:style w:type="character" w:customStyle="1" w:styleId="111">
    <w:name w:val="正文文本缩进 字符"/>
    <w:link w:val="35"/>
    <w:semiHidden/>
    <w:qFormat/>
    <w:uiPriority w:val="0"/>
    <w:rPr>
      <w:sz w:val="24"/>
    </w:rPr>
  </w:style>
  <w:style w:type="character" w:customStyle="1" w:styleId="112">
    <w:name w:val="正文文本首行缩进 2 字符"/>
    <w:link w:val="87"/>
    <w:semiHidden/>
    <w:qFormat/>
    <w:uiPriority w:val="0"/>
    <w:rPr>
      <w:sz w:val="24"/>
    </w:rPr>
  </w:style>
  <w:style w:type="character" w:customStyle="1" w:styleId="113">
    <w:name w:val="正文文本缩进 2 字符"/>
    <w:link w:val="51"/>
    <w:semiHidden/>
    <w:qFormat/>
    <w:uiPriority w:val="0"/>
    <w:rPr>
      <w:sz w:val="24"/>
    </w:rPr>
  </w:style>
  <w:style w:type="character" w:customStyle="1" w:styleId="114">
    <w:name w:val="正文文本缩进 3 字符"/>
    <w:link w:val="70"/>
    <w:semiHidden/>
    <w:qFormat/>
    <w:uiPriority w:val="0"/>
    <w:rPr>
      <w:sz w:val="16"/>
      <w:szCs w:val="16"/>
    </w:rPr>
  </w:style>
  <w:style w:type="character" w:customStyle="1" w:styleId="115">
    <w:name w:val="结束语 字符"/>
    <w:link w:val="32"/>
    <w:semiHidden/>
    <w:qFormat/>
    <w:uiPriority w:val="0"/>
    <w:rPr>
      <w:sz w:val="24"/>
    </w:rPr>
  </w:style>
  <w:style w:type="character" w:customStyle="1" w:styleId="116">
    <w:name w:val="批注文字 字符"/>
    <w:basedOn w:val="89"/>
    <w:link w:val="28"/>
    <w:semiHidden/>
    <w:qFormat/>
    <w:uiPriority w:val="0"/>
  </w:style>
  <w:style w:type="character" w:customStyle="1" w:styleId="117">
    <w:name w:val="批注主题 字符"/>
    <w:link w:val="85"/>
    <w:semiHidden/>
    <w:uiPriority w:val="0"/>
    <w:rPr>
      <w:b/>
      <w:bCs/>
    </w:rPr>
  </w:style>
  <w:style w:type="character" w:customStyle="1" w:styleId="118">
    <w:name w:val="日期 字符"/>
    <w:link w:val="50"/>
    <w:semiHidden/>
    <w:qFormat/>
    <w:uiPriority w:val="0"/>
    <w:rPr>
      <w:sz w:val="24"/>
    </w:rPr>
  </w:style>
  <w:style w:type="character" w:customStyle="1" w:styleId="119">
    <w:name w:val="文档结构图 字符"/>
    <w:link w:val="26"/>
    <w:semiHidden/>
    <w:qFormat/>
    <w:uiPriority w:val="0"/>
    <w:rPr>
      <w:rFonts w:ascii="Tahoma" w:hAnsi="Tahoma" w:cs="Tahoma"/>
      <w:sz w:val="16"/>
      <w:szCs w:val="16"/>
    </w:rPr>
  </w:style>
  <w:style w:type="character" w:customStyle="1" w:styleId="120">
    <w:name w:val="电子邮件签名 字符"/>
    <w:link w:val="19"/>
    <w:semiHidden/>
    <w:qFormat/>
    <w:uiPriority w:val="0"/>
    <w:rPr>
      <w:sz w:val="24"/>
    </w:rPr>
  </w:style>
  <w:style w:type="character" w:customStyle="1" w:styleId="121">
    <w:name w:val="尾注文本 字符"/>
    <w:basedOn w:val="89"/>
    <w:link w:val="52"/>
    <w:semiHidden/>
    <w:qFormat/>
    <w:uiPriority w:val="0"/>
  </w:style>
  <w:style w:type="character" w:customStyle="1" w:styleId="122">
    <w:name w:val="页脚 字符"/>
    <w:link w:val="55"/>
    <w:semiHidden/>
    <w:qFormat/>
    <w:uiPriority w:val="0"/>
    <w:rPr>
      <w:sz w:val="24"/>
    </w:rPr>
  </w:style>
  <w:style w:type="character" w:customStyle="1" w:styleId="123">
    <w:name w:val="脚注文本 字符"/>
    <w:basedOn w:val="89"/>
    <w:link w:val="67"/>
    <w:semiHidden/>
    <w:qFormat/>
    <w:uiPriority w:val="0"/>
  </w:style>
  <w:style w:type="character" w:customStyle="1" w:styleId="124">
    <w:name w:val="页眉 字符"/>
    <w:link w:val="57"/>
    <w:semiHidden/>
    <w:qFormat/>
    <w:uiPriority w:val="0"/>
    <w:rPr>
      <w:sz w:val="24"/>
    </w:rPr>
  </w:style>
  <w:style w:type="character" w:customStyle="1" w:styleId="125">
    <w:name w:val="HTML 地址 字符"/>
    <w:link w:val="41"/>
    <w:semiHidden/>
    <w:qFormat/>
    <w:uiPriority w:val="0"/>
    <w:rPr>
      <w:i/>
      <w:iCs/>
      <w:sz w:val="24"/>
    </w:rPr>
  </w:style>
  <w:style w:type="character" w:customStyle="1" w:styleId="126">
    <w:name w:val="HTML 预设格式 字符"/>
    <w:link w:val="80"/>
    <w:semiHidden/>
    <w:qFormat/>
    <w:uiPriority w:val="0"/>
    <w:rPr>
      <w:rFonts w:ascii="Courier New" w:hAnsi="Courier New" w:cs="Courier New"/>
    </w:rPr>
  </w:style>
  <w:style w:type="paragraph" w:styleId="127">
    <w:name w:val="Intense Quote"/>
    <w:basedOn w:val="1"/>
    <w:next w:val="1"/>
    <w:link w:val="128"/>
    <w:semiHidden/>
    <w:qFormat/>
    <w:uiPriority w:val="30"/>
    <w:pPr>
      <w:pBdr>
        <w:bottom w:val="single" w:color="4F81BD" w:sz="4" w:space="4"/>
      </w:pBdr>
      <w:spacing w:before="200" w:after="280"/>
      <w:ind w:left="936" w:right="936"/>
    </w:pPr>
    <w:rPr>
      <w:b/>
      <w:bCs/>
      <w:i/>
      <w:iCs/>
      <w:color w:val="4F81BD"/>
    </w:rPr>
  </w:style>
  <w:style w:type="character" w:customStyle="1" w:styleId="128">
    <w:name w:val="明显引用 字符"/>
    <w:link w:val="127"/>
    <w:semiHidden/>
    <w:qFormat/>
    <w:uiPriority w:val="30"/>
    <w:rPr>
      <w:b/>
      <w:bCs/>
      <w:i/>
      <w:iCs/>
      <w:color w:val="4F81BD"/>
      <w:sz w:val="24"/>
    </w:rPr>
  </w:style>
  <w:style w:type="paragraph" w:styleId="129">
    <w:name w:val="List Paragraph"/>
    <w:basedOn w:val="1"/>
    <w:semiHidden/>
    <w:qFormat/>
    <w:uiPriority w:val="34"/>
    <w:pPr>
      <w:ind w:left="720"/>
    </w:pPr>
  </w:style>
  <w:style w:type="character" w:customStyle="1" w:styleId="130">
    <w:name w:val="宏文本 字符"/>
    <w:link w:val="2"/>
    <w:semiHidden/>
    <w:qFormat/>
    <w:uiPriority w:val="0"/>
    <w:rPr>
      <w:rFonts w:ascii="Courier New" w:hAnsi="Courier New" w:cs="Courier New"/>
      <w:lang w:val="en-US" w:eastAsia="en-US" w:bidi="ar-SA"/>
    </w:rPr>
  </w:style>
  <w:style w:type="character" w:customStyle="1" w:styleId="131">
    <w:name w:val="信息标题 字符"/>
    <w:link w:val="79"/>
    <w:semiHidden/>
    <w:qFormat/>
    <w:uiPriority w:val="0"/>
    <w:rPr>
      <w:rFonts w:ascii="Cambria" w:hAnsi="Cambria"/>
      <w:sz w:val="24"/>
      <w:szCs w:val="24"/>
      <w:shd w:val="pct20" w:color="auto" w:fill="auto"/>
    </w:rPr>
  </w:style>
  <w:style w:type="paragraph" w:styleId="132">
    <w:name w:val="No Spacing"/>
    <w:semiHidden/>
    <w:qFormat/>
    <w:uiPriority w:val="1"/>
    <w:rPr>
      <w:rFonts w:ascii="Times New Roman" w:hAnsi="Times New Roman" w:cs="Times New Roman" w:eastAsiaTheme="minorEastAsia"/>
      <w:sz w:val="24"/>
      <w:lang w:val="en-US" w:eastAsia="en-US" w:bidi="ar-SA"/>
    </w:rPr>
  </w:style>
  <w:style w:type="character" w:customStyle="1" w:styleId="133">
    <w:name w:val="注释标题 字符"/>
    <w:link w:val="16"/>
    <w:semiHidden/>
    <w:qFormat/>
    <w:uiPriority w:val="0"/>
    <w:rPr>
      <w:sz w:val="24"/>
    </w:rPr>
  </w:style>
  <w:style w:type="character" w:customStyle="1" w:styleId="134">
    <w:name w:val="纯文本 字符"/>
    <w:link w:val="45"/>
    <w:semiHidden/>
    <w:qFormat/>
    <w:uiPriority w:val="0"/>
    <w:rPr>
      <w:rFonts w:ascii="Courier New" w:hAnsi="Courier New" w:cs="Courier New"/>
    </w:rPr>
  </w:style>
  <w:style w:type="paragraph" w:styleId="135">
    <w:name w:val="Quote"/>
    <w:basedOn w:val="1"/>
    <w:next w:val="1"/>
    <w:link w:val="136"/>
    <w:semiHidden/>
    <w:qFormat/>
    <w:uiPriority w:val="29"/>
    <w:rPr>
      <w:i/>
      <w:iCs/>
      <w:color w:val="000000"/>
    </w:rPr>
  </w:style>
  <w:style w:type="character" w:customStyle="1" w:styleId="136">
    <w:name w:val="引用 字符"/>
    <w:link w:val="135"/>
    <w:semiHidden/>
    <w:qFormat/>
    <w:uiPriority w:val="29"/>
    <w:rPr>
      <w:i/>
      <w:iCs/>
      <w:color w:val="000000"/>
      <w:sz w:val="24"/>
    </w:rPr>
  </w:style>
  <w:style w:type="character" w:customStyle="1" w:styleId="137">
    <w:name w:val="称呼 字符"/>
    <w:link w:val="30"/>
    <w:semiHidden/>
    <w:qFormat/>
    <w:uiPriority w:val="0"/>
    <w:rPr>
      <w:sz w:val="24"/>
    </w:rPr>
  </w:style>
  <w:style w:type="character" w:customStyle="1" w:styleId="138">
    <w:name w:val="签名 字符"/>
    <w:link w:val="58"/>
    <w:semiHidden/>
    <w:qFormat/>
    <w:uiPriority w:val="0"/>
    <w:rPr>
      <w:sz w:val="24"/>
    </w:rPr>
  </w:style>
  <w:style w:type="character" w:customStyle="1" w:styleId="139">
    <w:name w:val="副标题 字符"/>
    <w:link w:val="64"/>
    <w:semiHidden/>
    <w:qFormat/>
    <w:uiPriority w:val="0"/>
    <w:rPr>
      <w:rFonts w:ascii="Cambria" w:hAnsi="Cambria"/>
      <w:sz w:val="24"/>
      <w:szCs w:val="24"/>
    </w:rPr>
  </w:style>
  <w:style w:type="character" w:customStyle="1" w:styleId="140">
    <w:name w:val="标题 字符"/>
    <w:link w:val="84"/>
    <w:semiHidden/>
    <w:qFormat/>
    <w:uiPriority w:val="0"/>
    <w:rPr>
      <w:rFonts w:ascii="Cambria" w:hAnsi="Cambria"/>
      <w:b/>
      <w:bCs/>
      <w:kern w:val="28"/>
      <w:sz w:val="32"/>
      <w:szCs w:val="32"/>
    </w:rPr>
  </w:style>
  <w:style w:type="paragraph" w:customStyle="1" w:styleId="141">
    <w:name w:val="TOC Heading"/>
    <w:basedOn w:val="3"/>
    <w:next w:val="1"/>
    <w:semiHidden/>
    <w:unhideWhenUsed/>
    <w:qFormat/>
    <w:uiPriority w:val="39"/>
    <w:pPr>
      <w:outlineLvl w:val="9"/>
    </w:pPr>
    <w:rPr>
      <w:rFonts w:ascii="Cambria" w:hAnsi="Cambria"/>
      <w:sz w:val="32"/>
      <w:szCs w:val="32"/>
    </w:rPr>
  </w:style>
  <w:style w:type="character" w:customStyle="1" w:styleId="142">
    <w:name w:val="Unresolved Mention"/>
    <w:basedOn w:val="89"/>
    <w:semiHidden/>
    <w:unhideWhenUsed/>
    <w:qFormat/>
    <w:uiPriority w:val="99"/>
    <w:rPr>
      <w:color w:val="808080"/>
      <w:shd w:val="clear" w:color="auto" w:fill="E6E6E6"/>
    </w:rPr>
  </w:style>
  <w:style w:type="paragraph" w:customStyle="1" w:styleId="143">
    <w:name w:val="Revision"/>
    <w:hidden/>
    <w:semiHidden/>
    <w:qFormat/>
    <w:uiPriority w:val="99"/>
    <w:rPr>
      <w:rFonts w:ascii="Times New Roman" w:hAnsi="Times New Roman" w:cs="Times New Roman" w:eastAsiaTheme="minorEastAsia"/>
      <w:sz w:val="24"/>
      <w:lang w:val="en-US" w:eastAsia="en-US" w:bidi="ar-SA"/>
    </w:rPr>
  </w:style>
  <w:style w:type="character" w:customStyle="1" w:styleId="144">
    <w:name w:val="katex-mathml"/>
    <w:basedOn w:val="89"/>
    <w:qFormat/>
    <w:uiPriority w:val="0"/>
  </w:style>
  <w:style w:type="character" w:customStyle="1" w:styleId="145">
    <w:name w:val="mord"/>
    <w:basedOn w:val="89"/>
    <w:qFormat/>
    <w:uiPriority w:val="0"/>
  </w:style>
  <w:style w:type="character" w:customStyle="1" w:styleId="146">
    <w:name w:val="vlist-s"/>
    <w:basedOn w:val="89"/>
    <w:qFormat/>
    <w:uiPriority w:val="0"/>
  </w:style>
  <w:style w:type="character" w:customStyle="1" w:styleId="147">
    <w:name w:val="mrel"/>
    <w:basedOn w:val="89"/>
    <w:qFormat/>
    <w:uiPriority w:val="0"/>
  </w:style>
  <w:style w:type="paragraph" w:customStyle="1" w:styleId="148">
    <w:name w:val="EndNote Bibliography"/>
    <w:basedOn w:val="1"/>
    <w:link w:val="149"/>
    <w:qFormat/>
    <w:uiPriority w:val="0"/>
    <w:rPr>
      <w:rFonts w:eastAsia="宋体"/>
    </w:rPr>
  </w:style>
  <w:style w:type="character" w:customStyle="1" w:styleId="149">
    <w:name w:val="EndNote Bibliography 字符"/>
    <w:basedOn w:val="89"/>
    <w:link w:val="148"/>
    <w:qFormat/>
    <w:uiPriority w:val="0"/>
    <w:rPr>
      <w:rFonts w:eastAsia="宋体"/>
      <w:sz w:val="24"/>
    </w:rPr>
  </w:style>
  <w:style w:type="paragraph" w:customStyle="1" w:styleId="150">
    <w:name w:val="YZH+content一级标题"/>
    <w:basedOn w:val="1"/>
    <w:link w:val="151"/>
    <w:autoRedefine/>
    <w:qFormat/>
    <w:uiPriority w:val="0"/>
    <w:pPr>
      <w:widowControl w:val="0"/>
      <w:spacing w:after="120" w:line="360" w:lineRule="auto"/>
      <w:ind w:right="289"/>
      <w:jc w:val="center"/>
    </w:pPr>
    <w:rPr>
      <w:rFonts w:eastAsia="宋体"/>
      <w:b/>
      <w:sz w:val="28"/>
      <w:szCs w:val="22"/>
      <w:lang w:val="de-DE" w:eastAsia="zh-CN"/>
    </w:rPr>
  </w:style>
  <w:style w:type="character" w:customStyle="1" w:styleId="151">
    <w:name w:val="YZH+content一级标题 字符"/>
    <w:basedOn w:val="89"/>
    <w:link w:val="150"/>
    <w:autoRedefine/>
    <w:qFormat/>
    <w:uiPriority w:val="0"/>
    <w:rPr>
      <w:rFonts w:eastAsia="宋体"/>
      <w:b/>
      <w:sz w:val="28"/>
      <w:szCs w:val="22"/>
      <w:lang w:val="de-DE" w:eastAsia="zh-CN"/>
    </w:rPr>
  </w:style>
  <w:style w:type="paragraph" w:customStyle="1" w:styleId="152">
    <w:name w:val="YZH+content二级标题"/>
    <w:basedOn w:val="1"/>
    <w:link w:val="153"/>
    <w:autoRedefine/>
    <w:qFormat/>
    <w:uiPriority w:val="0"/>
    <w:pPr>
      <w:widowControl w:val="0"/>
      <w:spacing w:after="80" w:line="360" w:lineRule="auto"/>
    </w:pPr>
    <w:rPr>
      <w:rFonts w:eastAsia="Times New Roman"/>
      <w:b/>
      <w:sz w:val="22"/>
      <w:szCs w:val="22"/>
      <w:lang w:val="de-DE" w:eastAsia="zh-CN"/>
    </w:rPr>
  </w:style>
  <w:style w:type="character" w:customStyle="1" w:styleId="153">
    <w:name w:val="YZH+content二级标题 字符"/>
    <w:basedOn w:val="89"/>
    <w:link w:val="152"/>
    <w:autoRedefine/>
    <w:qFormat/>
    <w:uiPriority w:val="0"/>
    <w:rPr>
      <w:rFonts w:eastAsia="Times New Roman"/>
      <w:b/>
      <w:sz w:val="22"/>
      <w:szCs w:val="22"/>
      <w:lang w:val="de-DE" w:eastAsia="zh-CN"/>
    </w:rPr>
  </w:style>
  <w:style w:type="paragraph" w:customStyle="1" w:styleId="154">
    <w:name w:val="YZH+content三级标题"/>
    <w:basedOn w:val="152"/>
    <w:link w:val="155"/>
    <w:uiPriority w:val="0"/>
    <w:pPr>
      <w:ind w:firstLine="200" w:firstLineChars="200"/>
    </w:pPr>
    <w:rPr>
      <w:b w:val="0"/>
    </w:rPr>
  </w:style>
  <w:style w:type="character" w:customStyle="1" w:styleId="155">
    <w:name w:val="YZH+content三级标题 字符"/>
    <w:basedOn w:val="153"/>
    <w:link w:val="154"/>
    <w:autoRedefine/>
    <w:qFormat/>
    <w:uiPriority w:val="0"/>
    <w:rPr>
      <w:rFonts w:eastAsia="Times New Roman"/>
      <w:b w:val="0"/>
      <w:sz w:val="22"/>
      <w:szCs w:val="22"/>
      <w:lang w:val="de-DE" w:eastAsia="zh-CN"/>
    </w:rPr>
  </w:style>
  <w:style w:type="paragraph" w:customStyle="1" w:styleId="156">
    <w:name w:val="EndNote Bibliography Title"/>
    <w:basedOn w:val="1"/>
    <w:link w:val="157"/>
    <w:qFormat/>
    <w:uiPriority w:val="0"/>
    <w:pPr>
      <w:jc w:val="center"/>
    </w:pPr>
  </w:style>
  <w:style w:type="character" w:customStyle="1" w:styleId="157">
    <w:name w:val="EndNote Bibliography Title 字符"/>
    <w:basedOn w:val="89"/>
    <w:link w:val="156"/>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AAAS</Company>
  <Pages>18</Pages>
  <Words>2660</Words>
  <Characters>14344</Characters>
  <Lines>221</Lines>
  <Paragraphs>62</Paragraphs>
  <TotalTime>1</TotalTime>
  <ScaleCrop>false</ScaleCrop>
  <LinksUpToDate>false</LinksUpToDate>
  <CharactersWithSpaces>16945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2025-05-02T13:18:00Z</dcterms:created>
  <dc:creator>Brooks Hanson</dc:creator>
  <cp:lastModifiedBy>刘俊扬</cp:lastModifiedBy>
  <cp:lastPrinted>2018-01-11T19:53:00Z</cp:lastPrinted>
  <dcterms:modified xsi:type="dcterms:W3CDTF">2025-08-17T08:44:45Z</dcterms:modified>
  <dc:title>Supporting Online Material for</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eyJoZGlkIjoiMzEwNTM5NzYwMDRjMzkwZTVkZjY2ODkwMGIxNGU0OTUiLCJ1c2VySWQiOiI5MjE3MzkyMDYifQ==</vt:lpwstr>
  </property>
  <property fmtid="{D5CDD505-2E9C-101B-9397-08002B2CF9AE}" pid="3" name="KSOProductBuildVer">
    <vt:lpwstr>2052-12.1.0.21915</vt:lpwstr>
  </property>
  <property fmtid="{D5CDD505-2E9C-101B-9397-08002B2CF9AE}" pid="4" name="ICV">
    <vt:lpwstr>4D48AE3F2C1549B98BB513817413331A_13</vt:lpwstr>
  </property>
</Properties>
</file>