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662D5" w14:textId="77777777" w:rsidR="00D64AC5" w:rsidRPr="00162049" w:rsidRDefault="00D64AC5" w:rsidP="00D64AC5">
      <w:pPr>
        <w:widowControl/>
        <w:jc w:val="left"/>
        <w:rPr>
          <w:rFonts w:ascii="Arial" w:hAnsi="Arial" w:cs="Arial"/>
          <w:sz w:val="24"/>
          <w:szCs w:val="24"/>
        </w:rPr>
      </w:pPr>
      <w:r w:rsidRPr="00162049">
        <w:rPr>
          <w:rFonts w:ascii="Times New Roman" w:hAnsi="Times New Roman" w:cs="Times New Roman"/>
          <w:b/>
          <w:bCs/>
          <w:sz w:val="24"/>
          <w:szCs w:val="24"/>
        </w:rPr>
        <w:t>EXTENDED DATA</w:t>
      </w:r>
    </w:p>
    <w:p w14:paraId="5E1A3BDA" w14:textId="77777777" w:rsidR="00D64AC5" w:rsidRDefault="00D64AC5" w:rsidP="00D64A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after="120" w:line="24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4D37F703" wp14:editId="770C041B">
            <wp:simplePos x="0" y="0"/>
            <wp:positionH relativeFrom="margin">
              <wp:posOffset>662940</wp:posOffset>
            </wp:positionH>
            <wp:positionV relativeFrom="margin">
              <wp:posOffset>495300</wp:posOffset>
            </wp:positionV>
            <wp:extent cx="4616450" cy="6479540"/>
            <wp:effectExtent l="0" t="0" r="6350" b="0"/>
            <wp:wrapTopAndBottom/>
            <wp:docPr id="154300174" name="Picture 6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00174" name="Picture 6" descr="A screenshot of a computer screen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645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76F60F" w14:textId="77777777" w:rsidR="00D64AC5" w:rsidRPr="00162049" w:rsidRDefault="00D64AC5" w:rsidP="00D64A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after="120" w:line="24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1. Preprocessing and characterization of single-nucleus data generated by multiomic experiment. </w:t>
      </w:r>
      <w:r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>Violin plots for TSS enrichment score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25745F">
        <w:rPr>
          <w:rFonts w:ascii="Times New Roman" w:hAnsi="Times New Roman" w:cs="Times New Roman"/>
          <w:sz w:val="24"/>
          <w:szCs w:val="24"/>
        </w:rPr>
        <w:t xml:space="preserve"> number of unique fragments</w:t>
      </w:r>
      <w:r>
        <w:rPr>
          <w:rFonts w:ascii="Times New Roman" w:hAnsi="Times New Roman" w:cs="Times New Roman"/>
          <w:sz w:val="24"/>
          <w:szCs w:val="24"/>
        </w:rPr>
        <w:t xml:space="preserve"> (from the snATAC-seq)</w:t>
      </w:r>
      <w:r w:rsidRPr="0025745F">
        <w:rPr>
          <w:rFonts w:ascii="Times New Roman" w:hAnsi="Times New Roman" w:cs="Times New Roman"/>
          <w:sz w:val="24"/>
          <w:szCs w:val="24"/>
        </w:rPr>
        <w:t xml:space="preserve">, UMI and gene counts </w:t>
      </w:r>
      <w:r>
        <w:rPr>
          <w:rFonts w:ascii="Times New Roman" w:hAnsi="Times New Roman" w:cs="Times New Roman"/>
          <w:sz w:val="24"/>
          <w:szCs w:val="24"/>
        </w:rPr>
        <w:t xml:space="preserve">(from the snRNA-seq) </w:t>
      </w:r>
      <w:r w:rsidRPr="0025745F">
        <w:rPr>
          <w:rFonts w:ascii="Times New Roman" w:hAnsi="Times New Roman" w:cs="Times New Roman"/>
          <w:sz w:val="24"/>
          <w:szCs w:val="24"/>
        </w:rPr>
        <w:t xml:space="preserve">for each sample subjected to multiomic sequencing. </w:t>
      </w:r>
      <w:r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 xml:space="preserve">UMAP projection of the transcriptomic profile for 106,130 cells from 16 samples. </w:t>
      </w:r>
      <w:r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>Violin plots for the RNA expression of lymphoid (CD3D, CD3E, GZMA, GZMB) and myeloid (P2RY12, GPR34, CD163, and MAMU-DRA) markers in each cell cluster.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d.</w:t>
      </w: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 xml:space="preserve">Gene browser of the chromatin accessibility of homeostatic microglial core </w:t>
      </w:r>
      <w:r w:rsidRPr="0025745F">
        <w:rPr>
          <w:rFonts w:ascii="Times New Roman" w:hAnsi="Times New Roman" w:cs="Times New Roman"/>
          <w:sz w:val="24"/>
          <w:szCs w:val="24"/>
        </w:rPr>
        <w:lastRenderedPageBreak/>
        <w:t xml:space="preserve">genes (P2RY12, GPR34, SALL1) in each myeloid cell cluster. </w:t>
      </w:r>
      <w:r>
        <w:rPr>
          <w:rFonts w:ascii="Times New Roman" w:hAnsi="Times New Roman" w:cs="Times New Roman"/>
          <w:b/>
          <w:bCs/>
          <w:sz w:val="24"/>
          <w:szCs w:val="24"/>
        </w:rPr>
        <w:t>e.</w:t>
      </w: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>The Gene Ontology (GO) characterization of different brain myeloid cell clusters. The GO terms of Biological Processes (BP) were used for this pathway enrichment. The top 5 pathways in each cluster are shown in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3066DBB" wp14:editId="48AC6464">
            <wp:simplePos x="0" y="0"/>
            <wp:positionH relativeFrom="margin">
              <wp:align>center</wp:align>
            </wp:positionH>
            <wp:positionV relativeFrom="margin">
              <wp:posOffset>828675</wp:posOffset>
            </wp:positionV>
            <wp:extent cx="4417695" cy="6479540"/>
            <wp:effectExtent l="0" t="0" r="1905" b="0"/>
            <wp:wrapTopAndBottom/>
            <wp:docPr id="1727403570" name="Picture 3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403570" name="Picture 3" descr="A screenshot of a computer screen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769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745F">
        <w:rPr>
          <w:rFonts w:ascii="Times New Roman" w:hAnsi="Times New Roman" w:cs="Times New Roman"/>
          <w:sz w:val="24"/>
          <w:szCs w:val="24"/>
        </w:rPr>
        <w:t xml:space="preserve">graph. </w:t>
      </w:r>
      <w:r>
        <w:rPr>
          <w:rFonts w:ascii="Times New Roman" w:hAnsi="Times New Roman" w:cs="Times New Roman"/>
          <w:b/>
          <w:bCs/>
          <w:sz w:val="24"/>
          <w:szCs w:val="24"/>
        </w:rPr>
        <w:t>f.</w:t>
      </w:r>
      <w:r w:rsidRPr="0025745F">
        <w:rPr>
          <w:rFonts w:ascii="Times New Roman" w:hAnsi="Times New Roman" w:cs="Times New Roman"/>
          <w:sz w:val="24"/>
          <w:szCs w:val="24"/>
        </w:rPr>
        <w:t xml:space="preserve"> Genes associated with the antiviral pathways that were enriched in cluster 4.</w:t>
      </w:r>
    </w:p>
    <w:p w14:paraId="01CA6B74" w14:textId="77777777" w:rsidR="00D64AC5" w:rsidRDefault="00D64AC5" w:rsidP="00D64A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after="120" w:line="24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2. The significantly changed genes in different brain myeloid cell clusters in response to morphine and/or ART-treated SIV infection. </w:t>
      </w:r>
      <w:r>
        <w:rPr>
          <w:rFonts w:ascii="Times New Roman" w:hAnsi="Times New Roman" w:cs="Times New Roman"/>
          <w:b/>
          <w:bCs/>
          <w:sz w:val="24"/>
          <w:szCs w:val="24"/>
        </w:rPr>
        <w:t>a,b.</w:t>
      </w: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 xml:space="preserve">Cell-level DEGs in </w:t>
      </w:r>
      <w:r w:rsidRPr="001B6C3C">
        <w:rPr>
          <w:rFonts w:ascii="Times New Roman" w:hAnsi="Times New Roman" w:cs="Times New Roman"/>
          <w:b/>
          <w:bCs/>
          <w:sz w:val="24"/>
          <w:szCs w:val="24"/>
        </w:rPr>
        <w:t>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>Morphine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 xml:space="preserve">SIV </w:t>
      </w:r>
      <w:r>
        <w:rPr>
          <w:rFonts w:ascii="Times New Roman" w:hAnsi="Times New Roman" w:cs="Times New Roman"/>
          <w:sz w:val="24"/>
          <w:szCs w:val="24"/>
        </w:rPr>
        <w:t xml:space="preserve">or </w:t>
      </w:r>
      <w:r w:rsidRPr="001B6C3C">
        <w:rPr>
          <w:rFonts w:ascii="Times New Roman" w:hAnsi="Times New Roman" w:cs="Times New Roman"/>
          <w:b/>
          <w:bCs/>
          <w:sz w:val="24"/>
          <w:szCs w:val="24"/>
        </w:rPr>
        <w:t>b,</w:t>
      </w:r>
      <w:r>
        <w:rPr>
          <w:rFonts w:ascii="Times New Roman" w:hAnsi="Times New Roman" w:cs="Times New Roman"/>
          <w:sz w:val="24"/>
          <w:szCs w:val="24"/>
        </w:rPr>
        <w:t xml:space="preserve"> Morphine group. In comparison, </w:t>
      </w:r>
      <w:r w:rsidRPr="0025745F">
        <w:rPr>
          <w:rFonts w:ascii="Times New Roman" w:hAnsi="Times New Roman" w:cs="Times New Roman"/>
          <w:sz w:val="24"/>
          <w:szCs w:val="24"/>
        </w:rPr>
        <w:t xml:space="preserve">SalineSIV </w:t>
      </w:r>
      <w:r>
        <w:rPr>
          <w:rFonts w:ascii="Times New Roman" w:hAnsi="Times New Roman" w:cs="Times New Roman"/>
          <w:sz w:val="24"/>
          <w:szCs w:val="24"/>
        </w:rPr>
        <w:t xml:space="preserve">or Saline </w:t>
      </w:r>
      <w:r w:rsidRPr="0025745F">
        <w:rPr>
          <w:rFonts w:ascii="Times New Roman" w:hAnsi="Times New Roman" w:cs="Times New Roman"/>
          <w:sz w:val="24"/>
          <w:szCs w:val="24"/>
        </w:rPr>
        <w:t>group was set as background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574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c-f.</w:t>
      </w:r>
      <w:r w:rsidRPr="0025745F">
        <w:rPr>
          <w:rFonts w:ascii="Times New Roman" w:hAnsi="Times New Roman" w:cs="Times New Roman"/>
          <w:noProof/>
          <w:sz w:val="24"/>
          <w:szCs w:val="24"/>
        </w:rPr>
        <w:t xml:space="preserve"> The </w:t>
      </w:r>
      <w:r>
        <w:rPr>
          <w:rFonts w:ascii="Times New Roman" w:hAnsi="Times New Roman" w:cs="Times New Roman"/>
          <w:noProof/>
          <w:sz w:val="24"/>
          <w:szCs w:val="24"/>
        </w:rPr>
        <w:t>selected</w:t>
      </w:r>
      <w:r w:rsidRPr="0025745F">
        <w:rPr>
          <w:rFonts w:ascii="Times New Roman" w:hAnsi="Times New Roman" w:cs="Times New Roman"/>
          <w:noProof/>
          <w:sz w:val="24"/>
          <w:szCs w:val="24"/>
        </w:rPr>
        <w:t xml:space="preserve"> sample-level DEGs (ranked by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Log</w:t>
      </w:r>
      <w:r w:rsidRPr="001B6C3C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FC</w:t>
      </w:r>
      <w:r w:rsidRPr="0025745F">
        <w:rPr>
          <w:rFonts w:ascii="Times New Roman" w:hAnsi="Times New Roman" w:cs="Times New Roman"/>
          <w:noProof/>
          <w:sz w:val="24"/>
          <w:szCs w:val="24"/>
        </w:rPr>
        <w:t>) between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1B6C3C">
        <w:rPr>
          <w:rFonts w:ascii="Times New Roman" w:hAnsi="Times New Roman" w:cs="Times New Roman"/>
          <w:b/>
          <w:bCs/>
          <w:noProof/>
          <w:sz w:val="24"/>
          <w:szCs w:val="24"/>
        </w:rPr>
        <w:t>c,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noProof/>
          <w:sz w:val="24"/>
          <w:szCs w:val="24"/>
        </w:rPr>
        <w:t>Morphine and Saline groups</w:t>
      </w:r>
      <w:r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1B6C3C">
        <w:rPr>
          <w:rFonts w:ascii="Times New Roman" w:hAnsi="Times New Roman" w:cs="Times New Roman"/>
          <w:b/>
          <w:bCs/>
          <w:noProof/>
          <w:sz w:val="24"/>
          <w:szCs w:val="24"/>
        </w:rPr>
        <w:t>d,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noProof/>
          <w:sz w:val="24"/>
          <w:szCs w:val="24"/>
        </w:rPr>
        <w:t>MorphineSIV and Saline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noProof/>
          <w:sz w:val="24"/>
          <w:szCs w:val="24"/>
        </w:rPr>
        <w:t>groups</w:t>
      </w:r>
      <w:r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1B6C3C">
        <w:rPr>
          <w:rFonts w:ascii="Times New Roman" w:hAnsi="Times New Roman" w:cs="Times New Roman"/>
          <w:b/>
          <w:bCs/>
          <w:noProof/>
          <w:sz w:val="24"/>
          <w:szCs w:val="24"/>
        </w:rPr>
        <w:t>e,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SalineSIV and Saline groups, and </w:t>
      </w:r>
      <w:r w:rsidRPr="001B6C3C">
        <w:rPr>
          <w:rFonts w:ascii="Times New Roman" w:hAnsi="Times New Roman" w:cs="Times New Roman"/>
          <w:b/>
          <w:bCs/>
          <w:noProof/>
          <w:sz w:val="24"/>
          <w:szCs w:val="24"/>
        </w:rPr>
        <w:t>f,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lastRenderedPageBreak/>
        <w:t>MorphineSIV and SalineSIV groups</w:t>
      </w:r>
      <w:r w:rsidRPr="0025745F">
        <w:rPr>
          <w:rFonts w:ascii="Times New Roman" w:hAnsi="Times New Roman" w:cs="Times New Roman"/>
          <w:noProof/>
          <w:sz w:val="24"/>
          <w:szCs w:val="24"/>
        </w:rPr>
        <w:t xml:space="preserve">. For sample-level comparison (pseudobulk), a negative binomial model with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 w:rsidRPr="0025745F">
        <w:rPr>
          <w:rFonts w:ascii="Times New Roman" w:hAnsi="Times New Roman" w:cs="Times New Roman"/>
          <w:noProof/>
          <w:sz w:val="24"/>
          <w:szCs w:val="24"/>
        </w:rPr>
        <w:t>Wald test implemented in DESeq2 was used for aggregated expression data. The cut-off for detecting DEGs was set as adjusted p-value ≤ 0.05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noProof/>
          <w:sz w:val="24"/>
          <w:szCs w:val="24"/>
        </w:rPr>
        <w:t>and log</w:t>
      </w:r>
      <w:r w:rsidRPr="0025745F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 w:rsidRPr="0025745F">
        <w:rPr>
          <w:rFonts w:ascii="Times New Roman" w:hAnsi="Times New Roman" w:cs="Times New Roman"/>
          <w:noProof/>
          <w:sz w:val="24"/>
          <w:szCs w:val="24"/>
        </w:rPr>
        <w:t>FC ≥ 0.25. For cell-level comparison, t</w:t>
      </w:r>
      <w:r w:rsidRPr="0025745F">
        <w:rPr>
          <w:rFonts w:ascii="Times New Roman" w:hAnsi="Times New Roman" w:cs="Times New Roman"/>
          <w:sz w:val="24"/>
          <w:szCs w:val="24"/>
        </w:rPr>
        <w:t>he DEGs were detected using the Wilcoxon rank sum test on single-cell expression data, and t</w:t>
      </w:r>
      <w:r w:rsidRPr="0025745F">
        <w:rPr>
          <w:rFonts w:ascii="Times New Roman" w:hAnsi="Times New Roman" w:cs="Times New Roman"/>
          <w:noProof/>
          <w:sz w:val="24"/>
          <w:szCs w:val="24"/>
        </w:rPr>
        <w:t>he cut-off for detecting DEGs was set as FDR ≤ 0.05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noProof/>
          <w:sz w:val="24"/>
          <w:szCs w:val="24"/>
        </w:rPr>
        <w:t>and absolute log</w:t>
      </w:r>
      <w:r w:rsidRPr="0025745F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 w:rsidRPr="0025745F">
        <w:rPr>
          <w:rFonts w:ascii="Times New Roman" w:hAnsi="Times New Roman" w:cs="Times New Roman"/>
          <w:noProof/>
          <w:sz w:val="24"/>
          <w:szCs w:val="24"/>
        </w:rPr>
        <w:t xml:space="preserve">FC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89438C8" wp14:editId="09530C14">
            <wp:simplePos x="0" y="0"/>
            <wp:positionH relativeFrom="margin">
              <wp:align>center</wp:align>
            </wp:positionH>
            <wp:positionV relativeFrom="margin">
              <wp:posOffset>1127465</wp:posOffset>
            </wp:positionV>
            <wp:extent cx="4981575" cy="6479540"/>
            <wp:effectExtent l="0" t="0" r="0" b="0"/>
            <wp:wrapTopAndBottom/>
            <wp:docPr id="1528967436" name="Picture 4" descr="A screenshot of a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967436" name="Picture 4" descr="A screenshot of a char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745F">
        <w:rPr>
          <w:rFonts w:ascii="Times New Roman" w:hAnsi="Times New Roman" w:cs="Times New Roman"/>
          <w:noProof/>
          <w:sz w:val="24"/>
          <w:szCs w:val="24"/>
        </w:rPr>
        <w:t>≥ 0.5.</w:t>
      </w:r>
    </w:p>
    <w:p w14:paraId="4D88F7FD" w14:textId="77777777" w:rsidR="00D64AC5" w:rsidRDefault="00D64AC5" w:rsidP="00D64A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after="12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3. WGCNA for brain myeloid cells.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a. </w:t>
      </w:r>
      <w:r w:rsidRPr="0025745F">
        <w:rPr>
          <w:rFonts w:ascii="Times New Roman" w:hAnsi="Times New Roman" w:cs="Times New Roman"/>
          <w:sz w:val="24"/>
          <w:szCs w:val="24"/>
        </w:rPr>
        <w:t xml:space="preserve">The selected enriched terms for the hub genes in modules 2, 5, 8. The pathway analysis was performed with Ingenuity Pathway Analysis (IPA) and the analysis was based on eigengene-based connectivity (kME) calculated for </w:t>
      </w:r>
      <w:r w:rsidRPr="0025745F">
        <w:rPr>
          <w:rFonts w:ascii="Times New Roman" w:hAnsi="Times New Roman" w:cs="Times New Roman"/>
          <w:sz w:val="24"/>
          <w:szCs w:val="24"/>
        </w:rPr>
        <w:lastRenderedPageBreak/>
        <w:t xml:space="preserve">each hub gene. The pathways with -log(p-value) &gt; 1.3 and z-score </w:t>
      </w:r>
      <w:r w:rsidRPr="0025745F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≥</w:t>
      </w:r>
      <w:r w:rsidRPr="0025745F">
        <w:rPr>
          <w:rFonts w:ascii="Times New Roman" w:hAnsi="Times New Roman" w:cs="Times New Roman"/>
          <w:sz w:val="24"/>
          <w:szCs w:val="24"/>
        </w:rPr>
        <w:t xml:space="preserve"> 2 were considered as significantly upregulated pathways.</w:t>
      </w: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 xml:space="preserve">The radar plot shows the relative expression level of each module across different brain myeloid cell clusters. </w:t>
      </w:r>
      <w:r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 xml:space="preserve">The radar plot shows the relative expression level of each module across different treatment groups. </w:t>
      </w:r>
      <w:r>
        <w:rPr>
          <w:rFonts w:ascii="Times New Roman" w:hAnsi="Times New Roman" w:cs="Times New Roman"/>
          <w:b/>
          <w:bCs/>
          <w:sz w:val="24"/>
          <w:szCs w:val="24"/>
        </w:rPr>
        <w:t>d.</w:t>
      </w: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 xml:space="preserve">Lollipop plot shows the up- or down-regulated modules in two treatment groups. The groups used for each comparison were labeled on the top of the plot. The modules with negative fold-change were upregulated in the group labeled on the left, and the modules with positive fold-change were upregulated in the group labeled on the right. The size of each dot corresponds to the number of genes in that </w:t>
      </w:r>
      <w:r>
        <w:rPr>
          <w:rFonts w:ascii="Times New Roman" w:hAnsi="Times New Roman" w:cs="Times New Roman"/>
          <w:b/>
          <w:bCs/>
          <w:caps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2031050" wp14:editId="5A95BDFA">
            <wp:simplePos x="0" y="0"/>
            <wp:positionH relativeFrom="margin">
              <wp:align>center</wp:align>
            </wp:positionH>
            <wp:positionV relativeFrom="margin">
              <wp:posOffset>1641377</wp:posOffset>
            </wp:positionV>
            <wp:extent cx="4764405" cy="6513830"/>
            <wp:effectExtent l="0" t="0" r="0" b="1270"/>
            <wp:wrapTopAndBottom/>
            <wp:docPr id="1903272545" name="Picture 5" descr="A poster of a diagram of dn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272545" name="Picture 5" descr="A poster of a diagram of dna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4405" cy="651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745F">
        <w:rPr>
          <w:rFonts w:ascii="Times New Roman" w:hAnsi="Times New Roman" w:cs="Times New Roman"/>
          <w:sz w:val="24"/>
          <w:szCs w:val="24"/>
        </w:rPr>
        <w:t>module. An “X” is placed over each point that did</w:t>
      </w:r>
      <w:r w:rsidRPr="002574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sz w:val="24"/>
          <w:szCs w:val="24"/>
        </w:rPr>
        <w:t>not reach statistical significance.</w:t>
      </w:r>
    </w:p>
    <w:p w14:paraId="1A9E7D41" w14:textId="77777777" w:rsidR="00D64AC5" w:rsidRPr="00745F4D" w:rsidRDefault="00D64AC5" w:rsidP="00D64A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after="12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5745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Extended Data Fig. 4. </w:t>
      </w:r>
      <w:r w:rsidRPr="002574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Benchmarking of methods for human and rhesus macaque microglial scRNA-seq data integration.</w:t>
      </w:r>
      <w:r w:rsidRPr="0025745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a.</w:t>
      </w:r>
      <w:r w:rsidRPr="002574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color w:val="000000"/>
          <w:sz w:val="24"/>
          <w:szCs w:val="24"/>
        </w:rPr>
        <w:t xml:space="preserve">Workflow for integration methods comparisons.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b.</w:t>
      </w:r>
      <w:r w:rsidRPr="002574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color w:val="000000"/>
          <w:sz w:val="24"/>
          <w:szCs w:val="24"/>
        </w:rPr>
        <w:t xml:space="preserve">UMAP visualization of data before (Raw) and after integration using different integration methods and </w:t>
      </w:r>
      <w:r w:rsidRPr="0025745F">
        <w:rPr>
          <w:rFonts w:ascii="Times New Roman" w:hAnsi="Times New Roman" w:cs="Times New Roman"/>
          <w:sz w:val="24"/>
          <w:szCs w:val="24"/>
        </w:rPr>
        <w:t xml:space="preserve">orthologous gene mapping </w:t>
      </w:r>
      <w:r w:rsidRPr="0025745F">
        <w:rPr>
          <w:rFonts w:ascii="Times New Roman" w:hAnsi="Times New Roman" w:cs="Times New Roman"/>
          <w:color w:val="000000"/>
          <w:sz w:val="24"/>
          <w:szCs w:val="24"/>
        </w:rPr>
        <w:t xml:space="preserve">databases.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c.</w:t>
      </w:r>
      <w:r w:rsidRPr="002574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color w:val="000000"/>
          <w:sz w:val="24"/>
          <w:szCs w:val="24"/>
        </w:rPr>
        <w:t xml:space="preserve">Benchmarking matrices for evaluating the integration results from scgen, scANVI, scVI, and CCA with three selected </w:t>
      </w:r>
      <w:r w:rsidRPr="0025745F">
        <w:rPr>
          <w:rFonts w:ascii="Times New Roman" w:hAnsi="Times New Roman" w:cs="Times New Roman"/>
          <w:sz w:val="24"/>
          <w:szCs w:val="24"/>
        </w:rPr>
        <w:t xml:space="preserve">orthologous gene mapping </w:t>
      </w:r>
      <w:r w:rsidRPr="0025745F">
        <w:rPr>
          <w:rFonts w:ascii="Times New Roman" w:hAnsi="Times New Roman" w:cs="Times New Roman"/>
          <w:color w:val="000000"/>
          <w:sz w:val="24"/>
          <w:szCs w:val="24"/>
        </w:rPr>
        <w:t xml:space="preserve">databases. The evaluation matrices can be categorized </w:t>
      </w:r>
      <w:r>
        <w:rPr>
          <w:rFonts w:ascii="Times New Roman" w:hAnsi="Times New Roman" w:cs="Times New Roman"/>
          <w:color w:val="000000"/>
          <w:sz w:val="24"/>
          <w:szCs w:val="24"/>
        </w:rPr>
        <w:t>into</w:t>
      </w:r>
      <w:r w:rsidRPr="0025745F">
        <w:rPr>
          <w:rFonts w:ascii="Times New Roman" w:hAnsi="Times New Roman" w:cs="Times New Roman"/>
          <w:color w:val="000000"/>
          <w:sz w:val="24"/>
          <w:szCs w:val="24"/>
        </w:rPr>
        <w:t xml:space="preserve"> batch correction and biological conservation.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d.</w:t>
      </w:r>
      <w:r w:rsidRPr="002574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5745F">
        <w:rPr>
          <w:rFonts w:ascii="Times New Roman" w:hAnsi="Times New Roman" w:cs="Times New Roman"/>
          <w:color w:val="000000"/>
          <w:sz w:val="24"/>
          <w:szCs w:val="24"/>
        </w:rPr>
        <w:t>Benchmarking matrices for evaluating the integration results from SATURN.</w:t>
      </w:r>
    </w:p>
    <w:p w14:paraId="278116E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AC5"/>
    <w:rsid w:val="00011C58"/>
    <w:rsid w:val="0006021D"/>
    <w:rsid w:val="00331A6B"/>
    <w:rsid w:val="00755780"/>
    <w:rsid w:val="00857596"/>
    <w:rsid w:val="00BA6819"/>
    <w:rsid w:val="00C025DD"/>
    <w:rsid w:val="00D64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09447"/>
  <w15:chartTrackingRefBased/>
  <w15:docId w15:val="{5C8478EE-0701-4A66-A300-C63454AA0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AC5"/>
    <w:pPr>
      <w:widowControl w:val="0"/>
      <w:spacing w:line="259" w:lineRule="auto"/>
      <w:jc w:val="both"/>
    </w:pPr>
    <w:rPr>
      <w:rFonts w:eastAsiaTheme="minorEastAsia"/>
      <w:sz w:val="22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AC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4AC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AC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4AC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4AC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4AC5"/>
    <w:pPr>
      <w:keepNext/>
      <w:keepLines/>
      <w:widowControl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4AC5"/>
    <w:pPr>
      <w:keepNext/>
      <w:keepLines/>
      <w:widowControl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4AC5"/>
    <w:pPr>
      <w:keepNext/>
      <w:keepLines/>
      <w:widowControl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4AC5"/>
    <w:pPr>
      <w:keepNext/>
      <w:keepLines/>
      <w:widowControl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A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4A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A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4A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4A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4A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4A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4A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4A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4AC5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64A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4AC5"/>
    <w:pPr>
      <w:widowControl/>
      <w:numPr>
        <w:ilvl w:val="1"/>
      </w:numPr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64A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4AC5"/>
    <w:pPr>
      <w:widowControl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D64A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4AC5"/>
    <w:pPr>
      <w:widowControl/>
      <w:spacing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D64A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4AC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4A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4A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545</Words>
  <Characters>3109</Characters>
  <Application>Microsoft Office Word</Application>
  <DocSecurity>0</DocSecurity>
  <Lines>25</Lines>
  <Paragraphs>7</Paragraphs>
  <ScaleCrop>false</ScaleCrop>
  <Company>Springer Nature</Company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2025-09-18T03:59:00Z</dcterms:created>
  <dcterms:modified xsi:type="dcterms:W3CDTF">2025-09-18T03:59:00Z</dcterms:modified>
</cp:coreProperties>
</file>