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line="360" w:lineRule="auto"/>
        <w:rPr>
          <w:b w:val="1"/>
          <w:sz w:val="22"/>
          <w:szCs w:val="22"/>
        </w:rPr>
      </w:pPr>
      <w:bookmarkStart w:colFirst="0" w:colLast="0" w:name="_heading=h.swv9cer4a4xk" w:id="0"/>
      <w:bookmarkEnd w:id="0"/>
      <w:r w:rsidDel="00000000" w:rsidR="00000000" w:rsidRPr="00000000">
        <w:rPr>
          <w:b w:val="1"/>
          <w:sz w:val="22"/>
          <w:szCs w:val="22"/>
          <w:rtl w:val="0"/>
        </w:rPr>
        <w:t xml:space="preserve">Supplementary Table 1 Clinical characteristics of a subcohort of CAPNETZ admitted between 2017-2022 including all, type 2 diabetic and non-diabetic patients.</w:t>
      </w:r>
    </w:p>
    <w:p w:rsidR="00000000" w:rsidDel="00000000" w:rsidP="00000000" w:rsidRDefault="00000000" w:rsidRPr="00000000" w14:paraId="00000002">
      <w:pPr>
        <w:spacing w:after="240" w:before="240" w:line="360" w:lineRule="auto"/>
        <w:jc w:val="both"/>
        <w:rPr>
          <w:sz w:val="16"/>
          <w:szCs w:val="16"/>
        </w:rPr>
      </w:pPr>
      <w:r w:rsidDel="00000000" w:rsidR="00000000" w:rsidRPr="00000000">
        <w:rPr>
          <w:rtl w:val="0"/>
        </w:rPr>
      </w:r>
    </w:p>
    <w:tbl>
      <w:tblPr>
        <w:tblStyle w:val="Table1"/>
        <w:tblW w:w="863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84"/>
        <w:gridCol w:w="1417"/>
        <w:gridCol w:w="1418"/>
        <w:gridCol w:w="1701"/>
        <w:gridCol w:w="1417"/>
        <w:tblGridChange w:id="0">
          <w:tblGrid>
            <w:gridCol w:w="2684"/>
            <w:gridCol w:w="1417"/>
            <w:gridCol w:w="1418"/>
            <w:gridCol w:w="1701"/>
            <w:gridCol w:w="1417"/>
          </w:tblGrid>
        </w:tblGridChange>
      </w:tblGrid>
      <w:tr>
        <w:trPr>
          <w:cantSplit w:val="0"/>
          <w:trHeight w:val="41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3">
            <w:pPr>
              <w:spacing w:after="240" w:before="240" w:line="240" w:lineRule="auto"/>
              <w:jc w:val="both"/>
              <w:rPr>
                <w:sz w:val="16"/>
                <w:szCs w:val="16"/>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4">
            <w:pPr>
              <w:spacing w:line="240" w:lineRule="auto"/>
              <w:jc w:val="both"/>
              <w:rPr>
                <w:b w:val="1"/>
                <w:sz w:val="16"/>
                <w:szCs w:val="16"/>
              </w:rPr>
            </w:pPr>
            <w:r w:rsidDel="00000000" w:rsidR="00000000" w:rsidRPr="00000000">
              <w:rPr>
                <w:b w:val="1"/>
                <w:sz w:val="16"/>
                <w:szCs w:val="16"/>
                <w:rtl w:val="0"/>
              </w:rPr>
              <w:t xml:space="preserve">All patients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5">
            <w:pPr>
              <w:spacing w:line="240" w:lineRule="auto"/>
              <w:jc w:val="both"/>
              <w:rPr>
                <w:b w:val="1"/>
                <w:sz w:val="16"/>
                <w:szCs w:val="16"/>
              </w:rPr>
            </w:pPr>
            <w:r w:rsidDel="00000000" w:rsidR="00000000" w:rsidRPr="00000000">
              <w:rPr>
                <w:b w:val="1"/>
                <w:sz w:val="16"/>
                <w:szCs w:val="16"/>
                <w:rtl w:val="0"/>
              </w:rPr>
              <w:t xml:space="preserve">Type 2 Diabetes mellitus</w:t>
            </w:r>
          </w:p>
          <w:p w:rsidR="00000000" w:rsidDel="00000000" w:rsidP="00000000" w:rsidRDefault="00000000" w:rsidRPr="00000000" w14:paraId="00000006">
            <w:pPr>
              <w:spacing w:line="240" w:lineRule="auto"/>
              <w:jc w:val="both"/>
              <w:rPr>
                <w:sz w:val="16"/>
                <w:szCs w:val="16"/>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7">
            <w:pPr>
              <w:spacing w:line="240" w:lineRule="auto"/>
              <w:jc w:val="both"/>
              <w:rPr>
                <w:b w:val="1"/>
                <w:sz w:val="16"/>
                <w:szCs w:val="16"/>
              </w:rPr>
            </w:pPr>
            <w:r w:rsidDel="00000000" w:rsidR="00000000" w:rsidRPr="00000000">
              <w:rPr>
                <w:b w:val="1"/>
                <w:sz w:val="16"/>
                <w:szCs w:val="16"/>
                <w:rtl w:val="0"/>
              </w:rPr>
              <w:t xml:space="preserve">Non-diabetic</w:t>
            </w:r>
          </w:p>
          <w:p w:rsidR="00000000" w:rsidDel="00000000" w:rsidP="00000000" w:rsidRDefault="00000000" w:rsidRPr="00000000" w14:paraId="00000008">
            <w:pPr>
              <w:spacing w:line="240" w:lineRule="auto"/>
              <w:jc w:val="both"/>
              <w:rPr>
                <w:sz w:val="16"/>
                <w:szCs w:val="16"/>
              </w:rPr>
            </w:pPr>
            <w:r w:rsidDel="00000000" w:rsidR="00000000" w:rsidRPr="00000000">
              <w:rPr>
                <w:rtl w:val="0"/>
              </w:rPr>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spacing w:line="240" w:lineRule="auto"/>
              <w:jc w:val="both"/>
              <w:rPr>
                <w:b w:val="1"/>
                <w:sz w:val="16"/>
                <w:szCs w:val="16"/>
              </w:rPr>
            </w:pPr>
            <w:r w:rsidDel="00000000" w:rsidR="00000000" w:rsidRPr="00000000">
              <w:rPr>
                <w:b w:val="1"/>
                <w:sz w:val="16"/>
                <w:szCs w:val="16"/>
                <w:rtl w:val="0"/>
              </w:rPr>
              <w:t xml:space="preserve">p-value</w:t>
            </w:r>
          </w:p>
        </w:tc>
      </w:tr>
      <w:tr>
        <w:trPr>
          <w:cantSplit w:val="0"/>
          <w:trHeight w:val="548"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A">
            <w:pPr>
              <w:spacing w:line="240" w:lineRule="auto"/>
              <w:jc w:val="both"/>
              <w:rPr>
                <w:sz w:val="16"/>
                <w:szCs w:val="16"/>
              </w:rPr>
            </w:pPr>
            <w:r w:rsidDel="00000000" w:rsidR="00000000" w:rsidRPr="00000000">
              <w:rPr>
                <w:sz w:val="16"/>
                <w:szCs w:val="16"/>
                <w:rtl w:val="0"/>
              </w:rPr>
              <w:t xml:space="preserve">% (n/N)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spacing w:line="240" w:lineRule="auto"/>
              <w:jc w:val="both"/>
              <w:rPr>
                <w:sz w:val="16"/>
                <w:szCs w:val="16"/>
              </w:rPr>
            </w:pPr>
            <w:r w:rsidDel="00000000" w:rsidR="00000000" w:rsidRPr="00000000">
              <w:rPr>
                <w:sz w:val="16"/>
                <w:szCs w:val="16"/>
                <w:rtl w:val="0"/>
              </w:rPr>
              <w:t xml:space="preserve">100 (1692)</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C">
            <w:pPr>
              <w:spacing w:line="240" w:lineRule="auto"/>
              <w:jc w:val="both"/>
              <w:rPr>
                <w:sz w:val="16"/>
                <w:szCs w:val="16"/>
              </w:rPr>
            </w:pPr>
            <w:r w:rsidDel="00000000" w:rsidR="00000000" w:rsidRPr="00000000">
              <w:rPr>
                <w:sz w:val="16"/>
                <w:szCs w:val="16"/>
                <w:rtl w:val="0"/>
              </w:rPr>
              <w:t xml:space="preserve">19 (317/1692)</w:t>
            </w:r>
          </w:p>
          <w:p w:rsidR="00000000" w:rsidDel="00000000" w:rsidP="00000000" w:rsidRDefault="00000000" w:rsidRPr="00000000" w14:paraId="0000000D">
            <w:pPr>
              <w:spacing w:line="240" w:lineRule="auto"/>
              <w:jc w:val="both"/>
              <w:rPr>
                <w:sz w:val="16"/>
                <w:szCs w:val="16"/>
              </w:rPr>
            </w:pPr>
            <w:r w:rsidDel="00000000" w:rsidR="00000000" w:rsidRPr="00000000">
              <w:rPr>
                <w:rtl w:val="0"/>
              </w:rPr>
            </w:r>
          </w:p>
          <w:p w:rsidR="00000000" w:rsidDel="00000000" w:rsidP="00000000" w:rsidRDefault="00000000" w:rsidRPr="00000000" w14:paraId="0000000E">
            <w:pPr>
              <w:spacing w:line="240" w:lineRule="auto"/>
              <w:jc w:val="both"/>
              <w:rPr>
                <w:sz w:val="16"/>
                <w:szCs w:val="16"/>
              </w:rPr>
            </w:pPr>
            <w:r w:rsidDel="00000000" w:rsidR="00000000" w:rsidRPr="00000000">
              <w:rPr>
                <w:rtl w:val="0"/>
              </w:rPr>
            </w:r>
          </w:p>
          <w:p w:rsidR="00000000" w:rsidDel="00000000" w:rsidP="00000000" w:rsidRDefault="00000000" w:rsidRPr="00000000" w14:paraId="0000000F">
            <w:pPr>
              <w:spacing w:line="240" w:lineRule="auto"/>
              <w:jc w:val="both"/>
              <w:rPr>
                <w:sz w:val="16"/>
                <w:szCs w:val="16"/>
              </w:rPr>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spacing w:line="240" w:lineRule="auto"/>
              <w:jc w:val="both"/>
              <w:rPr>
                <w:sz w:val="16"/>
                <w:szCs w:val="16"/>
              </w:rPr>
            </w:pPr>
            <w:r w:rsidDel="00000000" w:rsidR="00000000" w:rsidRPr="00000000">
              <w:rPr>
                <w:sz w:val="16"/>
                <w:szCs w:val="16"/>
                <w:rtl w:val="0"/>
              </w:rPr>
              <w:t xml:space="preserve">81 (1375/1692)</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spacing w:line="240" w:lineRule="auto"/>
              <w:jc w:val="both"/>
              <w:rPr>
                <w:sz w:val="16"/>
                <w:szCs w:val="16"/>
              </w:rPr>
            </w:pPr>
            <w:r w:rsidDel="00000000" w:rsidR="00000000" w:rsidRPr="00000000">
              <w:rPr>
                <w:sz w:val="16"/>
                <w:szCs w:val="16"/>
                <w:rtl w:val="0"/>
              </w:rPr>
              <w:t xml:space="preserve">-</w:t>
            </w:r>
          </w:p>
        </w:tc>
      </w:tr>
      <w:tr>
        <w:trPr>
          <w:cantSplit w:val="0"/>
          <w:trHeight w:val="604"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spacing w:line="240" w:lineRule="auto"/>
              <w:jc w:val="both"/>
              <w:rPr>
                <w:sz w:val="16"/>
                <w:szCs w:val="16"/>
              </w:rPr>
            </w:pPr>
            <w:r w:rsidDel="00000000" w:rsidR="00000000" w:rsidRPr="00000000">
              <w:rPr>
                <w:sz w:val="16"/>
                <w:szCs w:val="16"/>
                <w:rtl w:val="0"/>
              </w:rPr>
              <w:t xml:space="preserve">Age in years (Mean (SD))</w:t>
            </w:r>
          </w:p>
          <w:p w:rsidR="00000000" w:rsidDel="00000000" w:rsidP="00000000" w:rsidRDefault="00000000" w:rsidRPr="00000000" w14:paraId="00000013">
            <w:pPr>
              <w:spacing w:line="240" w:lineRule="auto"/>
              <w:jc w:val="both"/>
              <w:rPr>
                <w:sz w:val="16"/>
                <w:szCs w:val="16"/>
              </w:rPr>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4">
            <w:pPr>
              <w:spacing w:line="240" w:lineRule="auto"/>
              <w:jc w:val="both"/>
              <w:rPr>
                <w:sz w:val="16"/>
                <w:szCs w:val="16"/>
              </w:rPr>
            </w:pPr>
            <w:r w:rsidDel="00000000" w:rsidR="00000000" w:rsidRPr="00000000">
              <w:rPr>
                <w:sz w:val="16"/>
                <w:szCs w:val="16"/>
                <w:rtl w:val="0"/>
              </w:rPr>
              <w:t xml:space="preserve">64 (17)</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5">
            <w:pPr>
              <w:spacing w:line="240" w:lineRule="auto"/>
              <w:jc w:val="both"/>
              <w:rPr>
                <w:sz w:val="16"/>
                <w:szCs w:val="16"/>
              </w:rPr>
            </w:pPr>
            <w:r w:rsidDel="00000000" w:rsidR="00000000" w:rsidRPr="00000000">
              <w:rPr>
                <w:sz w:val="16"/>
                <w:szCs w:val="16"/>
                <w:rtl w:val="0"/>
              </w:rPr>
              <w:t xml:space="preserve">72 (12)</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6">
            <w:pPr>
              <w:spacing w:line="240" w:lineRule="auto"/>
              <w:jc w:val="both"/>
              <w:rPr>
                <w:sz w:val="16"/>
                <w:szCs w:val="16"/>
              </w:rPr>
            </w:pPr>
            <w:r w:rsidDel="00000000" w:rsidR="00000000" w:rsidRPr="00000000">
              <w:rPr>
                <w:sz w:val="16"/>
                <w:szCs w:val="16"/>
                <w:rtl w:val="0"/>
              </w:rPr>
              <w:t xml:space="preserve">62 (17)</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spacing w:line="240" w:lineRule="auto"/>
              <w:jc w:val="both"/>
              <w:rPr>
                <w:sz w:val="16"/>
                <w:szCs w:val="16"/>
              </w:rPr>
            </w:pPr>
            <w:r w:rsidDel="00000000" w:rsidR="00000000" w:rsidRPr="00000000">
              <w:rPr>
                <w:sz w:val="16"/>
                <w:szCs w:val="16"/>
                <w:rtl w:val="0"/>
              </w:rPr>
              <w:t xml:space="preserve">&lt;0,0001</w:t>
            </w:r>
          </w:p>
        </w:tc>
      </w:tr>
      <w:tr>
        <w:trPr>
          <w:cantSplit w:val="0"/>
          <w:trHeight w:val="651"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spacing w:line="240" w:lineRule="auto"/>
              <w:jc w:val="both"/>
              <w:rPr>
                <w:sz w:val="16"/>
                <w:szCs w:val="16"/>
              </w:rPr>
            </w:pPr>
            <w:r w:rsidDel="00000000" w:rsidR="00000000" w:rsidRPr="00000000">
              <w:rPr>
                <w:sz w:val="16"/>
                <w:szCs w:val="16"/>
                <w:rtl w:val="0"/>
              </w:rPr>
              <w:t xml:space="preserve">Male Sex, (% (n/ 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9">
            <w:pPr>
              <w:spacing w:line="240" w:lineRule="auto"/>
              <w:jc w:val="both"/>
              <w:rPr>
                <w:sz w:val="16"/>
                <w:szCs w:val="16"/>
              </w:rPr>
            </w:pPr>
            <w:r w:rsidDel="00000000" w:rsidR="00000000" w:rsidRPr="00000000">
              <w:rPr>
                <w:sz w:val="16"/>
                <w:szCs w:val="16"/>
                <w:rtl w:val="0"/>
              </w:rPr>
              <w:t xml:space="preserve">63 (1085/1692)</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A">
            <w:pPr>
              <w:spacing w:line="240" w:lineRule="auto"/>
              <w:jc w:val="both"/>
              <w:rPr>
                <w:sz w:val="16"/>
                <w:szCs w:val="16"/>
              </w:rPr>
            </w:pPr>
            <w:r w:rsidDel="00000000" w:rsidR="00000000" w:rsidRPr="00000000">
              <w:rPr>
                <w:sz w:val="16"/>
                <w:szCs w:val="16"/>
                <w:rtl w:val="0"/>
              </w:rPr>
              <w:t xml:space="preserve">66 (208/317)</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spacing w:line="240" w:lineRule="auto"/>
              <w:jc w:val="both"/>
              <w:rPr>
                <w:sz w:val="16"/>
                <w:szCs w:val="16"/>
              </w:rPr>
            </w:pPr>
            <w:r w:rsidDel="00000000" w:rsidR="00000000" w:rsidRPr="00000000">
              <w:rPr>
                <w:sz w:val="16"/>
                <w:szCs w:val="16"/>
                <w:rtl w:val="0"/>
              </w:rPr>
              <w:t xml:space="preserve">63 (860/1375)</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spacing w:line="240" w:lineRule="auto"/>
              <w:jc w:val="both"/>
              <w:rPr>
                <w:sz w:val="16"/>
                <w:szCs w:val="16"/>
              </w:rPr>
            </w:pPr>
            <w:r w:rsidDel="00000000" w:rsidR="00000000" w:rsidRPr="00000000">
              <w:rPr>
                <w:sz w:val="16"/>
                <w:szCs w:val="16"/>
                <w:rtl w:val="0"/>
              </w:rPr>
              <w:t xml:space="preserve">0,30</w:t>
            </w:r>
          </w:p>
        </w:tc>
      </w:tr>
      <w:tr>
        <w:trPr>
          <w:cantSplit w:val="0"/>
          <w:trHeight w:val="648"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spacing w:line="240" w:lineRule="auto"/>
              <w:jc w:val="both"/>
              <w:rPr>
                <w:sz w:val="16"/>
                <w:szCs w:val="16"/>
              </w:rPr>
            </w:pPr>
            <w:r w:rsidDel="00000000" w:rsidR="00000000" w:rsidRPr="00000000">
              <w:rPr>
                <w:sz w:val="16"/>
                <w:szCs w:val="16"/>
                <w:rtl w:val="0"/>
              </w:rPr>
              <w:t xml:space="preserve">BMI (kg/m2), Median (IQR), available 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jc w:val="both"/>
              <w:rPr>
                <w:sz w:val="16"/>
                <w:szCs w:val="16"/>
              </w:rPr>
            </w:pPr>
            <w:r w:rsidDel="00000000" w:rsidR="00000000" w:rsidRPr="00000000">
              <w:rPr>
                <w:sz w:val="16"/>
                <w:szCs w:val="16"/>
                <w:rtl w:val="0"/>
              </w:rPr>
              <w:t xml:space="preserve">26 (23-30)</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spacing w:line="240" w:lineRule="auto"/>
              <w:jc w:val="both"/>
              <w:rPr>
                <w:sz w:val="16"/>
                <w:szCs w:val="16"/>
              </w:rPr>
            </w:pPr>
            <w:r w:rsidDel="00000000" w:rsidR="00000000" w:rsidRPr="00000000">
              <w:rPr>
                <w:sz w:val="16"/>
                <w:szCs w:val="16"/>
                <w:rtl w:val="0"/>
              </w:rPr>
              <w:t xml:space="preserve">29 (25-34)</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spacing w:line="240" w:lineRule="auto"/>
              <w:jc w:val="both"/>
              <w:rPr>
                <w:sz w:val="16"/>
                <w:szCs w:val="16"/>
              </w:rPr>
            </w:pPr>
            <w:r w:rsidDel="00000000" w:rsidR="00000000" w:rsidRPr="00000000">
              <w:rPr>
                <w:sz w:val="16"/>
                <w:szCs w:val="16"/>
                <w:rtl w:val="0"/>
              </w:rPr>
              <w:t xml:space="preserve">26 (23-29)</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1">
            <w:pPr>
              <w:spacing w:line="240" w:lineRule="auto"/>
              <w:jc w:val="both"/>
              <w:rPr>
                <w:sz w:val="16"/>
                <w:szCs w:val="16"/>
              </w:rPr>
            </w:pPr>
            <w:r w:rsidDel="00000000" w:rsidR="00000000" w:rsidRPr="00000000">
              <w:rPr>
                <w:sz w:val="16"/>
                <w:szCs w:val="16"/>
                <w:rtl w:val="0"/>
              </w:rPr>
              <w:t xml:space="preserve">&lt;0,0001</w:t>
            </w:r>
          </w:p>
        </w:tc>
      </w:tr>
      <w:tr>
        <w:trPr>
          <w:cantSplit w:val="0"/>
          <w:trHeight w:val="646"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spacing w:line="240" w:lineRule="auto"/>
              <w:jc w:val="both"/>
              <w:rPr>
                <w:sz w:val="16"/>
                <w:szCs w:val="16"/>
              </w:rPr>
            </w:pPr>
            <w:r w:rsidDel="00000000" w:rsidR="00000000" w:rsidRPr="00000000">
              <w:rPr>
                <w:sz w:val="16"/>
                <w:szCs w:val="16"/>
                <w:rtl w:val="0"/>
              </w:rPr>
              <w:t xml:space="preserve">Nursing home residency (%, n/available 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spacing w:line="240" w:lineRule="auto"/>
              <w:jc w:val="both"/>
              <w:rPr>
                <w:sz w:val="16"/>
                <w:szCs w:val="16"/>
              </w:rPr>
            </w:pPr>
            <w:r w:rsidDel="00000000" w:rsidR="00000000" w:rsidRPr="00000000">
              <w:rPr>
                <w:sz w:val="16"/>
                <w:szCs w:val="16"/>
                <w:rtl w:val="0"/>
              </w:rPr>
              <w:t xml:space="preserve">4 (61/1690)</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spacing w:line="240" w:lineRule="auto"/>
              <w:jc w:val="both"/>
              <w:rPr>
                <w:sz w:val="16"/>
                <w:szCs w:val="16"/>
              </w:rPr>
            </w:pPr>
            <w:r w:rsidDel="00000000" w:rsidR="00000000" w:rsidRPr="00000000">
              <w:rPr>
                <w:sz w:val="16"/>
                <w:szCs w:val="16"/>
                <w:rtl w:val="0"/>
              </w:rPr>
              <w:t xml:space="preserve">9 (28/317)</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5">
            <w:pPr>
              <w:spacing w:line="240" w:lineRule="auto"/>
              <w:jc w:val="both"/>
              <w:rPr>
                <w:sz w:val="16"/>
                <w:szCs w:val="16"/>
              </w:rPr>
            </w:pPr>
            <w:r w:rsidDel="00000000" w:rsidR="00000000" w:rsidRPr="00000000">
              <w:rPr>
                <w:sz w:val="16"/>
                <w:szCs w:val="16"/>
                <w:rtl w:val="0"/>
              </w:rPr>
              <w:t xml:space="preserve">2 (33/1373)</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6">
            <w:pPr>
              <w:spacing w:line="240" w:lineRule="auto"/>
              <w:jc w:val="both"/>
              <w:rPr>
                <w:sz w:val="16"/>
                <w:szCs w:val="16"/>
              </w:rPr>
            </w:pPr>
            <w:r w:rsidDel="00000000" w:rsidR="00000000" w:rsidRPr="00000000">
              <w:rPr>
                <w:sz w:val="16"/>
                <w:szCs w:val="16"/>
                <w:rtl w:val="0"/>
              </w:rPr>
              <w:t xml:space="preserve">&lt;0,0001</w:t>
            </w:r>
          </w:p>
        </w:tc>
      </w:tr>
      <w:tr>
        <w:trPr>
          <w:cantSplit w:val="0"/>
          <w:trHeight w:val="80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7">
            <w:pPr>
              <w:spacing w:line="240" w:lineRule="auto"/>
              <w:jc w:val="both"/>
              <w:rPr>
                <w:sz w:val="16"/>
                <w:szCs w:val="16"/>
              </w:rPr>
            </w:pPr>
            <w:r w:rsidDel="00000000" w:rsidR="00000000" w:rsidRPr="00000000">
              <w:rPr>
                <w:sz w:val="16"/>
                <w:szCs w:val="16"/>
                <w:rtl w:val="0"/>
              </w:rPr>
              <w:t xml:space="preserve">Cigarette smoking during the last 12 months (%, n/available N)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8">
            <w:pPr>
              <w:spacing w:line="240" w:lineRule="auto"/>
              <w:jc w:val="both"/>
              <w:rPr>
                <w:sz w:val="16"/>
                <w:szCs w:val="16"/>
              </w:rPr>
            </w:pPr>
            <w:r w:rsidDel="00000000" w:rsidR="00000000" w:rsidRPr="00000000">
              <w:rPr>
                <w:sz w:val="16"/>
                <w:szCs w:val="16"/>
                <w:rtl w:val="0"/>
              </w:rPr>
              <w:t xml:space="preserve">23 (368/1625)</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9">
            <w:pPr>
              <w:spacing w:line="240" w:lineRule="auto"/>
              <w:jc w:val="both"/>
              <w:rPr>
                <w:sz w:val="16"/>
                <w:szCs w:val="16"/>
              </w:rPr>
            </w:pPr>
            <w:r w:rsidDel="00000000" w:rsidR="00000000" w:rsidRPr="00000000">
              <w:rPr>
                <w:sz w:val="16"/>
                <w:szCs w:val="16"/>
                <w:rtl w:val="0"/>
              </w:rPr>
              <w:t xml:space="preserve">16 (47/303)</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spacing w:line="240" w:lineRule="auto"/>
              <w:jc w:val="both"/>
              <w:rPr>
                <w:sz w:val="16"/>
                <w:szCs w:val="16"/>
              </w:rPr>
            </w:pPr>
            <w:r w:rsidDel="00000000" w:rsidR="00000000" w:rsidRPr="00000000">
              <w:rPr>
                <w:sz w:val="16"/>
                <w:szCs w:val="16"/>
                <w:rtl w:val="0"/>
              </w:rPr>
              <w:t xml:space="preserve">24 (321/1322)</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spacing w:line="240" w:lineRule="auto"/>
              <w:jc w:val="both"/>
              <w:rPr>
                <w:sz w:val="16"/>
                <w:szCs w:val="16"/>
              </w:rPr>
            </w:pPr>
            <w:r w:rsidDel="00000000" w:rsidR="00000000" w:rsidRPr="00000000">
              <w:rPr>
                <w:sz w:val="16"/>
                <w:szCs w:val="16"/>
                <w:rtl w:val="0"/>
              </w:rPr>
              <w:t xml:space="preserve">&lt;0,01 (0,001)</w:t>
            </w:r>
          </w:p>
        </w:tc>
      </w:tr>
      <w:tr>
        <w:trPr>
          <w:cantSplit w:val="0"/>
          <w:trHeight w:val="644"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spacing w:line="240" w:lineRule="auto"/>
              <w:jc w:val="both"/>
              <w:rPr>
                <w:sz w:val="16"/>
                <w:szCs w:val="16"/>
              </w:rPr>
            </w:pPr>
            <w:r w:rsidDel="00000000" w:rsidR="00000000" w:rsidRPr="00000000">
              <w:rPr>
                <w:sz w:val="16"/>
                <w:szCs w:val="16"/>
                <w:rtl w:val="0"/>
              </w:rPr>
              <w:t xml:space="preserve">Chronic heart failure (%, n/available 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spacing w:line="240" w:lineRule="auto"/>
              <w:jc w:val="both"/>
              <w:rPr>
                <w:sz w:val="16"/>
                <w:szCs w:val="16"/>
              </w:rPr>
            </w:pPr>
            <w:r w:rsidDel="00000000" w:rsidR="00000000" w:rsidRPr="00000000">
              <w:rPr>
                <w:sz w:val="16"/>
                <w:szCs w:val="16"/>
                <w:rtl w:val="0"/>
              </w:rPr>
              <w:t xml:space="preserve">7 (112/1692)</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spacing w:line="240" w:lineRule="auto"/>
              <w:jc w:val="both"/>
              <w:rPr>
                <w:sz w:val="16"/>
                <w:szCs w:val="16"/>
              </w:rPr>
            </w:pPr>
            <w:r w:rsidDel="00000000" w:rsidR="00000000" w:rsidRPr="00000000">
              <w:rPr>
                <w:sz w:val="16"/>
                <w:szCs w:val="16"/>
                <w:rtl w:val="0"/>
              </w:rPr>
              <w:t xml:space="preserve">14 (44/317)</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spacing w:line="240" w:lineRule="auto"/>
              <w:jc w:val="both"/>
              <w:rPr>
                <w:sz w:val="16"/>
                <w:szCs w:val="16"/>
              </w:rPr>
            </w:pPr>
            <w:r w:rsidDel="00000000" w:rsidR="00000000" w:rsidRPr="00000000">
              <w:rPr>
                <w:sz w:val="16"/>
                <w:szCs w:val="16"/>
                <w:rtl w:val="0"/>
              </w:rPr>
              <w:t xml:space="preserve">5 (68/1375)</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spacing w:line="240" w:lineRule="auto"/>
              <w:jc w:val="both"/>
              <w:rPr>
                <w:sz w:val="16"/>
                <w:szCs w:val="16"/>
              </w:rPr>
            </w:pPr>
            <w:r w:rsidDel="00000000" w:rsidR="00000000" w:rsidRPr="00000000">
              <w:rPr>
                <w:sz w:val="16"/>
                <w:szCs w:val="16"/>
                <w:rtl w:val="0"/>
              </w:rPr>
              <w:t xml:space="preserve">&lt;0,0001</w:t>
            </w:r>
          </w:p>
        </w:tc>
      </w:tr>
      <w:tr>
        <w:trPr>
          <w:cantSplit w:val="0"/>
          <w:trHeight w:val="656"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1">
            <w:pPr>
              <w:spacing w:line="240" w:lineRule="auto"/>
              <w:jc w:val="both"/>
              <w:rPr>
                <w:sz w:val="16"/>
                <w:szCs w:val="16"/>
              </w:rPr>
            </w:pPr>
            <w:r w:rsidDel="00000000" w:rsidR="00000000" w:rsidRPr="00000000">
              <w:rPr>
                <w:sz w:val="16"/>
                <w:szCs w:val="16"/>
                <w:rtl w:val="0"/>
              </w:rPr>
              <w:t xml:space="preserve">Chronic respiratory/pulmonary disease (%, n/available 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2">
            <w:pPr>
              <w:spacing w:line="240" w:lineRule="auto"/>
              <w:jc w:val="both"/>
              <w:rPr>
                <w:sz w:val="16"/>
                <w:szCs w:val="16"/>
              </w:rPr>
            </w:pPr>
            <w:r w:rsidDel="00000000" w:rsidR="00000000" w:rsidRPr="00000000">
              <w:rPr>
                <w:sz w:val="16"/>
                <w:szCs w:val="16"/>
                <w:rtl w:val="0"/>
              </w:rPr>
              <w:t xml:space="preserve">35 (595/1692)</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3">
            <w:pPr>
              <w:spacing w:line="240" w:lineRule="auto"/>
              <w:jc w:val="both"/>
              <w:rPr>
                <w:sz w:val="16"/>
                <w:szCs w:val="16"/>
              </w:rPr>
            </w:pPr>
            <w:r w:rsidDel="00000000" w:rsidR="00000000" w:rsidRPr="00000000">
              <w:rPr>
                <w:sz w:val="16"/>
                <w:szCs w:val="16"/>
                <w:rtl w:val="0"/>
              </w:rPr>
              <w:t xml:space="preserve">41 (130/317)</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4">
            <w:pPr>
              <w:spacing w:line="240" w:lineRule="auto"/>
              <w:jc w:val="both"/>
              <w:rPr>
                <w:sz w:val="16"/>
                <w:szCs w:val="16"/>
              </w:rPr>
            </w:pPr>
            <w:r w:rsidDel="00000000" w:rsidR="00000000" w:rsidRPr="00000000">
              <w:rPr>
                <w:sz w:val="16"/>
                <w:szCs w:val="16"/>
                <w:rtl w:val="0"/>
              </w:rPr>
              <w:t xml:space="preserve">34 (465/1375)</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5">
            <w:pPr>
              <w:spacing w:line="240" w:lineRule="auto"/>
              <w:jc w:val="both"/>
              <w:rPr>
                <w:sz w:val="16"/>
                <w:szCs w:val="16"/>
              </w:rPr>
            </w:pPr>
            <w:r w:rsidDel="00000000" w:rsidR="00000000" w:rsidRPr="00000000">
              <w:rPr>
                <w:sz w:val="16"/>
                <w:szCs w:val="16"/>
                <w:rtl w:val="0"/>
              </w:rPr>
              <w:t xml:space="preserve">&lt;0,05 (0,0156)</w:t>
            </w:r>
          </w:p>
        </w:tc>
      </w:tr>
      <w:tr>
        <w:trPr>
          <w:cantSplit w:val="0"/>
          <w:trHeight w:val="782"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6">
            <w:pPr>
              <w:spacing w:before="240" w:line="240" w:lineRule="auto"/>
              <w:jc w:val="both"/>
              <w:rPr>
                <w:sz w:val="16"/>
                <w:szCs w:val="16"/>
              </w:rPr>
            </w:pPr>
            <w:r w:rsidDel="00000000" w:rsidR="00000000" w:rsidRPr="00000000">
              <w:rPr>
                <w:sz w:val="16"/>
                <w:szCs w:val="16"/>
                <w:rtl w:val="0"/>
              </w:rPr>
              <w:t xml:space="preserve">Vascular/Cerebrovascular disease (%, n/available 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7">
            <w:pPr>
              <w:spacing w:line="240" w:lineRule="auto"/>
              <w:jc w:val="both"/>
              <w:rPr>
                <w:sz w:val="16"/>
                <w:szCs w:val="16"/>
              </w:rPr>
            </w:pPr>
            <w:r w:rsidDel="00000000" w:rsidR="00000000" w:rsidRPr="00000000">
              <w:rPr>
                <w:sz w:val="16"/>
                <w:szCs w:val="16"/>
                <w:rtl w:val="0"/>
              </w:rPr>
              <w:t xml:space="preserve">59 (996/1692)</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8">
            <w:pPr>
              <w:spacing w:line="240" w:lineRule="auto"/>
              <w:jc w:val="both"/>
              <w:rPr>
                <w:sz w:val="16"/>
                <w:szCs w:val="16"/>
              </w:rPr>
            </w:pPr>
            <w:r w:rsidDel="00000000" w:rsidR="00000000" w:rsidRPr="00000000">
              <w:rPr>
                <w:sz w:val="16"/>
                <w:szCs w:val="16"/>
                <w:rtl w:val="0"/>
              </w:rPr>
              <w:t xml:space="preserve">89 (282/317)</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9">
            <w:pPr>
              <w:spacing w:line="240" w:lineRule="auto"/>
              <w:jc w:val="both"/>
              <w:rPr>
                <w:sz w:val="16"/>
                <w:szCs w:val="16"/>
              </w:rPr>
            </w:pPr>
            <w:r w:rsidDel="00000000" w:rsidR="00000000" w:rsidRPr="00000000">
              <w:rPr>
                <w:sz w:val="16"/>
                <w:szCs w:val="16"/>
                <w:rtl w:val="0"/>
              </w:rPr>
              <w:t xml:space="preserve">52 (714/1375)</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A">
            <w:pPr>
              <w:spacing w:line="240" w:lineRule="auto"/>
              <w:jc w:val="both"/>
              <w:rPr>
                <w:sz w:val="16"/>
                <w:szCs w:val="16"/>
              </w:rPr>
            </w:pPr>
            <w:r w:rsidDel="00000000" w:rsidR="00000000" w:rsidRPr="00000000">
              <w:rPr>
                <w:sz w:val="16"/>
                <w:szCs w:val="16"/>
                <w:rtl w:val="0"/>
              </w:rPr>
              <w:t xml:space="preserve">&lt;0,0001</w:t>
            </w:r>
          </w:p>
        </w:tc>
      </w:tr>
      <w:tr>
        <w:trPr>
          <w:cantSplit w:val="0"/>
          <w:trHeight w:val="641"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B">
            <w:pPr>
              <w:spacing w:line="240" w:lineRule="auto"/>
              <w:jc w:val="both"/>
              <w:rPr>
                <w:sz w:val="16"/>
                <w:szCs w:val="16"/>
              </w:rPr>
            </w:pPr>
            <w:r w:rsidDel="00000000" w:rsidR="00000000" w:rsidRPr="00000000">
              <w:rPr>
                <w:sz w:val="16"/>
                <w:szCs w:val="16"/>
                <w:rtl w:val="0"/>
              </w:rPr>
              <w:t xml:space="preserve">Chronic kidney disease (%, n/available 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spacing w:line="240" w:lineRule="auto"/>
              <w:jc w:val="both"/>
              <w:rPr>
                <w:sz w:val="16"/>
                <w:szCs w:val="16"/>
              </w:rPr>
            </w:pPr>
            <w:r w:rsidDel="00000000" w:rsidR="00000000" w:rsidRPr="00000000">
              <w:rPr>
                <w:sz w:val="16"/>
                <w:szCs w:val="16"/>
                <w:rtl w:val="0"/>
              </w:rPr>
              <w:t xml:space="preserve">13 (217/1692)</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D">
            <w:pPr>
              <w:spacing w:line="240" w:lineRule="auto"/>
              <w:jc w:val="both"/>
              <w:rPr>
                <w:sz w:val="16"/>
                <w:szCs w:val="16"/>
              </w:rPr>
            </w:pPr>
            <w:r w:rsidDel="00000000" w:rsidR="00000000" w:rsidRPr="00000000">
              <w:rPr>
                <w:sz w:val="16"/>
                <w:szCs w:val="16"/>
                <w:rtl w:val="0"/>
              </w:rPr>
              <w:t xml:space="preserve">26 (83/317)</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E">
            <w:pPr>
              <w:spacing w:line="240" w:lineRule="auto"/>
              <w:jc w:val="both"/>
              <w:rPr>
                <w:sz w:val="16"/>
                <w:szCs w:val="16"/>
              </w:rPr>
            </w:pPr>
            <w:r w:rsidDel="00000000" w:rsidR="00000000" w:rsidRPr="00000000">
              <w:rPr>
                <w:sz w:val="16"/>
                <w:szCs w:val="16"/>
                <w:rtl w:val="0"/>
              </w:rPr>
              <w:t xml:space="preserve">10 (134/1375)</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F">
            <w:pPr>
              <w:spacing w:line="240" w:lineRule="auto"/>
              <w:jc w:val="both"/>
              <w:rPr>
                <w:sz w:val="16"/>
                <w:szCs w:val="16"/>
                <w:shd w:fill="93c47d" w:val="clear"/>
              </w:rPr>
            </w:pPr>
            <w:r w:rsidDel="00000000" w:rsidR="00000000" w:rsidRPr="00000000">
              <w:rPr>
                <w:sz w:val="16"/>
                <w:szCs w:val="16"/>
                <w:rtl w:val="0"/>
              </w:rPr>
              <w:t xml:space="preserve">&lt;0,0001</w:t>
            </w:r>
            <w:r w:rsidDel="00000000" w:rsidR="00000000" w:rsidRPr="00000000">
              <w:rPr>
                <w:rtl w:val="0"/>
              </w:rPr>
            </w:r>
          </w:p>
        </w:tc>
      </w:tr>
      <w:tr>
        <w:trPr>
          <w:cantSplit w:val="0"/>
          <w:trHeight w:val="1102"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0">
            <w:pPr>
              <w:spacing w:before="240" w:line="240" w:lineRule="auto"/>
              <w:jc w:val="both"/>
              <w:rPr>
                <w:sz w:val="16"/>
                <w:szCs w:val="16"/>
              </w:rPr>
            </w:pPr>
            <w:r w:rsidDel="00000000" w:rsidR="00000000" w:rsidRPr="00000000">
              <w:rPr>
                <w:sz w:val="16"/>
                <w:szCs w:val="16"/>
                <w:rtl w:val="0"/>
              </w:rPr>
              <w:t xml:space="preserve">Previous antibiotic therapy within the last 4 weeks (%, n/available 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1">
            <w:pPr>
              <w:spacing w:line="240" w:lineRule="auto"/>
              <w:jc w:val="both"/>
              <w:rPr>
                <w:sz w:val="16"/>
                <w:szCs w:val="16"/>
              </w:rPr>
            </w:pPr>
            <w:r w:rsidDel="00000000" w:rsidR="00000000" w:rsidRPr="00000000">
              <w:rPr>
                <w:sz w:val="16"/>
                <w:szCs w:val="16"/>
                <w:rtl w:val="0"/>
              </w:rPr>
              <w:t xml:space="preserve">13 (223/1692)</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2">
            <w:pPr>
              <w:spacing w:line="240" w:lineRule="auto"/>
              <w:jc w:val="both"/>
              <w:rPr>
                <w:sz w:val="16"/>
                <w:szCs w:val="16"/>
              </w:rPr>
            </w:pPr>
            <w:r w:rsidDel="00000000" w:rsidR="00000000" w:rsidRPr="00000000">
              <w:rPr>
                <w:sz w:val="16"/>
                <w:szCs w:val="16"/>
                <w:rtl w:val="0"/>
              </w:rPr>
              <w:t xml:space="preserve">8 (24/317)</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3">
            <w:pPr>
              <w:spacing w:line="240" w:lineRule="auto"/>
              <w:jc w:val="both"/>
              <w:rPr>
                <w:sz w:val="16"/>
                <w:szCs w:val="16"/>
              </w:rPr>
            </w:pPr>
            <w:r w:rsidDel="00000000" w:rsidR="00000000" w:rsidRPr="00000000">
              <w:rPr>
                <w:sz w:val="16"/>
                <w:szCs w:val="16"/>
                <w:rtl w:val="0"/>
              </w:rPr>
              <w:t xml:space="preserve">14 (199/1375)</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spacing w:line="240" w:lineRule="auto"/>
              <w:jc w:val="both"/>
              <w:rPr>
                <w:sz w:val="16"/>
                <w:szCs w:val="16"/>
              </w:rPr>
            </w:pPr>
            <w:r w:rsidDel="00000000" w:rsidR="00000000" w:rsidRPr="00000000">
              <w:rPr>
                <w:sz w:val="16"/>
                <w:szCs w:val="16"/>
                <w:rtl w:val="0"/>
              </w:rPr>
              <w:t xml:space="preserve">&lt;0,01 (0,001)</w:t>
            </w:r>
          </w:p>
        </w:tc>
      </w:tr>
      <w:tr>
        <w:trPr>
          <w:cantSplit w:val="0"/>
          <w:trHeight w:val="468"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5">
            <w:pPr>
              <w:spacing w:line="240" w:lineRule="auto"/>
              <w:jc w:val="both"/>
              <w:rPr>
                <w:sz w:val="16"/>
                <w:szCs w:val="16"/>
              </w:rPr>
            </w:pPr>
            <w:r w:rsidDel="00000000" w:rsidR="00000000" w:rsidRPr="00000000">
              <w:rPr>
                <w:sz w:val="16"/>
                <w:szCs w:val="16"/>
                <w:rtl w:val="0"/>
              </w:rPr>
              <w:t xml:space="preserve">Malignant disease</w:t>
            </w:r>
          </w:p>
          <w:p w:rsidR="00000000" w:rsidDel="00000000" w:rsidP="00000000" w:rsidRDefault="00000000" w:rsidRPr="00000000" w14:paraId="00000046">
            <w:pPr>
              <w:spacing w:line="240" w:lineRule="auto"/>
              <w:jc w:val="both"/>
              <w:rPr>
                <w:sz w:val="16"/>
                <w:szCs w:val="16"/>
              </w:rPr>
            </w:pP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spacing w:line="240" w:lineRule="auto"/>
              <w:jc w:val="both"/>
              <w:rPr>
                <w:sz w:val="16"/>
                <w:szCs w:val="16"/>
              </w:rPr>
            </w:pPr>
            <w:r w:rsidDel="00000000" w:rsidR="00000000" w:rsidRPr="00000000">
              <w:rPr>
                <w:sz w:val="16"/>
                <w:szCs w:val="16"/>
                <w:rtl w:val="0"/>
              </w:rPr>
              <w:t xml:space="preserve">16 (274/1692)</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8">
            <w:pPr>
              <w:spacing w:line="240" w:lineRule="auto"/>
              <w:jc w:val="both"/>
              <w:rPr>
                <w:sz w:val="16"/>
                <w:szCs w:val="16"/>
              </w:rPr>
            </w:pPr>
            <w:r w:rsidDel="00000000" w:rsidR="00000000" w:rsidRPr="00000000">
              <w:rPr>
                <w:sz w:val="16"/>
                <w:szCs w:val="16"/>
                <w:rtl w:val="0"/>
              </w:rPr>
              <w:t xml:space="preserve">17 (53/317)</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9">
            <w:pPr>
              <w:spacing w:line="240" w:lineRule="auto"/>
              <w:jc w:val="both"/>
              <w:rPr>
                <w:sz w:val="16"/>
                <w:szCs w:val="16"/>
              </w:rPr>
            </w:pPr>
            <w:r w:rsidDel="00000000" w:rsidR="00000000" w:rsidRPr="00000000">
              <w:rPr>
                <w:sz w:val="16"/>
                <w:szCs w:val="16"/>
                <w:rtl w:val="0"/>
              </w:rPr>
              <w:t xml:space="preserve">16 (221/1375)</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A">
            <w:pPr>
              <w:spacing w:line="240" w:lineRule="auto"/>
              <w:jc w:val="both"/>
              <w:rPr>
                <w:sz w:val="16"/>
                <w:szCs w:val="16"/>
              </w:rPr>
            </w:pPr>
            <w:r w:rsidDel="00000000" w:rsidR="00000000" w:rsidRPr="00000000">
              <w:rPr>
                <w:sz w:val="16"/>
                <w:szCs w:val="16"/>
                <w:rtl w:val="0"/>
              </w:rPr>
              <w:t xml:space="preserve">0,78</w:t>
            </w:r>
          </w:p>
        </w:tc>
      </w:tr>
      <w:tr>
        <w:trPr>
          <w:cantSplit w:val="0"/>
          <w:trHeight w:val="42"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B">
            <w:pPr>
              <w:spacing w:line="240" w:lineRule="auto"/>
              <w:jc w:val="both"/>
              <w:rPr>
                <w:color w:val="1155cc"/>
                <w:sz w:val="20"/>
                <w:szCs w:val="20"/>
              </w:rPr>
            </w:pPr>
            <w:r w:rsidDel="00000000" w:rsidR="00000000" w:rsidRPr="00000000">
              <w:rPr>
                <w:sz w:val="16"/>
                <w:szCs w:val="16"/>
                <w:rtl w:val="0"/>
              </w:rPr>
              <w:t xml:space="preserve">Oxygen Therapy</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C">
            <w:pPr>
              <w:spacing w:line="240" w:lineRule="auto"/>
              <w:jc w:val="both"/>
              <w:rPr>
                <w:sz w:val="16"/>
                <w:szCs w:val="16"/>
              </w:rPr>
            </w:pPr>
            <w:r w:rsidDel="00000000" w:rsidR="00000000" w:rsidRPr="00000000">
              <w:rPr>
                <w:sz w:val="16"/>
                <w:szCs w:val="16"/>
                <w:rtl w:val="0"/>
              </w:rPr>
              <w:t xml:space="preserve">3 (51/1692)</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D">
            <w:pPr>
              <w:spacing w:line="240" w:lineRule="auto"/>
              <w:jc w:val="both"/>
              <w:rPr>
                <w:sz w:val="16"/>
                <w:szCs w:val="16"/>
              </w:rPr>
            </w:pPr>
            <w:r w:rsidDel="00000000" w:rsidR="00000000" w:rsidRPr="00000000">
              <w:rPr>
                <w:sz w:val="16"/>
                <w:szCs w:val="16"/>
                <w:rtl w:val="0"/>
              </w:rPr>
              <w:t xml:space="preserve">4 (14/317)</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E">
            <w:pPr>
              <w:spacing w:line="240" w:lineRule="auto"/>
              <w:jc w:val="both"/>
              <w:rPr>
                <w:sz w:val="16"/>
                <w:szCs w:val="16"/>
              </w:rPr>
            </w:pPr>
            <w:r w:rsidDel="00000000" w:rsidR="00000000" w:rsidRPr="00000000">
              <w:rPr>
                <w:sz w:val="16"/>
                <w:szCs w:val="16"/>
                <w:rtl w:val="0"/>
              </w:rPr>
              <w:t xml:space="preserve">3 (37/1375)</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F">
            <w:pPr>
              <w:spacing w:line="240" w:lineRule="auto"/>
              <w:jc w:val="both"/>
              <w:rPr>
                <w:sz w:val="16"/>
                <w:szCs w:val="16"/>
              </w:rPr>
            </w:pPr>
            <w:r w:rsidDel="00000000" w:rsidR="00000000" w:rsidRPr="00000000">
              <w:rPr>
                <w:sz w:val="16"/>
                <w:szCs w:val="16"/>
                <w:rtl w:val="0"/>
              </w:rPr>
              <w:t xml:space="preserve">0,10</w:t>
            </w:r>
          </w:p>
        </w:tc>
      </w:tr>
    </w:tbl>
    <w:p w:rsidR="00000000" w:rsidDel="00000000" w:rsidP="00000000" w:rsidRDefault="00000000" w:rsidRPr="00000000" w14:paraId="00000050">
      <w:pPr>
        <w:spacing w:line="360" w:lineRule="auto"/>
        <w:jc w:val="both"/>
        <w:rPr>
          <w:sz w:val="18"/>
          <w:szCs w:val="18"/>
          <w:highlight w:val="yellow"/>
        </w:rPr>
      </w:pPr>
      <w:r w:rsidDel="00000000" w:rsidR="00000000" w:rsidRPr="00000000">
        <w:rPr>
          <w:rtl w:val="0"/>
        </w:rPr>
      </w:r>
    </w:p>
    <w:p w:rsidR="00000000" w:rsidDel="00000000" w:rsidP="00000000" w:rsidRDefault="00000000" w:rsidRPr="00000000" w14:paraId="00000051">
      <w:pPr>
        <w:spacing w:line="360" w:lineRule="auto"/>
        <w:jc w:val="both"/>
        <w:rPr>
          <w:sz w:val="18"/>
          <w:szCs w:val="18"/>
        </w:rPr>
      </w:pPr>
      <w:r w:rsidDel="00000000" w:rsidR="00000000" w:rsidRPr="00000000">
        <w:rPr>
          <w:sz w:val="18"/>
          <w:szCs w:val="18"/>
          <w:rtl w:val="0"/>
        </w:rPr>
        <w:t xml:space="preserve">Available n is indicated where variables were not available for all patients.  P-values comparing type 2 diabetic and non-diabetic patients (based on self-reporting) were calculated using the Wilcoxon test for medians after rolling out a normal distribution, and unadjusted Chi-square test for frequencies of comorbidities. All clinical variables shown were significantly different between diabetic and non-diabetic patients except for gender, malignant disease and oxygen therapy . </w:t>
      </w:r>
      <w:r w:rsidDel="00000000" w:rsidR="00000000" w:rsidRPr="00000000">
        <w:rPr>
          <w:b w:val="1"/>
          <w:sz w:val="18"/>
          <w:szCs w:val="18"/>
          <w:rtl w:val="0"/>
        </w:rPr>
        <w:t xml:space="preserve">Abbreviation</w:t>
      </w:r>
      <w:r w:rsidDel="00000000" w:rsidR="00000000" w:rsidRPr="00000000">
        <w:rPr>
          <w:sz w:val="18"/>
          <w:szCs w:val="18"/>
          <w:rtl w:val="0"/>
        </w:rPr>
        <w:t xml:space="preserve">s : IQR : interquartile range, SD: standard deviation, BMI : body mass index. </w:t>
      </w:r>
    </w:p>
    <w:p w:rsidR="00000000" w:rsidDel="00000000" w:rsidP="00000000" w:rsidRDefault="00000000" w:rsidRPr="00000000" w14:paraId="00000052">
      <w:pPr>
        <w:spacing w:line="360" w:lineRule="auto"/>
        <w:jc w:val="both"/>
        <w:rPr>
          <w:sz w:val="18"/>
          <w:szCs w:val="18"/>
          <w:highlight w:val="yellow"/>
        </w:rPr>
      </w:pPr>
      <w:r w:rsidDel="00000000" w:rsidR="00000000" w:rsidRPr="00000000">
        <w:rPr>
          <w:rtl w:val="0"/>
        </w:rPr>
      </w:r>
    </w:p>
    <w:p w:rsidR="00000000" w:rsidDel="00000000" w:rsidP="00000000" w:rsidRDefault="00000000" w:rsidRPr="00000000" w14:paraId="00000053">
      <w:pPr>
        <w:spacing w:line="360" w:lineRule="auto"/>
        <w:jc w:val="both"/>
        <w:rPr>
          <w:sz w:val="18"/>
          <w:szCs w:val="18"/>
          <w:highlight w:val="yellow"/>
        </w:rPr>
      </w:pPr>
      <w:r w:rsidDel="00000000" w:rsidR="00000000" w:rsidRPr="00000000">
        <w:rPr>
          <w:rtl w:val="0"/>
        </w:rPr>
      </w:r>
    </w:p>
    <w:p w:rsidR="00000000" w:rsidDel="00000000" w:rsidP="00000000" w:rsidRDefault="00000000" w:rsidRPr="00000000" w14:paraId="00000054">
      <w:pPr>
        <w:spacing w:line="360" w:lineRule="auto"/>
        <w:jc w:val="both"/>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5">
      <w:pPr>
        <w:pStyle w:val="Heading1"/>
        <w:spacing w:line="360" w:lineRule="auto"/>
        <w:jc w:val="both"/>
        <w:rPr>
          <w:b w:val="1"/>
          <w:sz w:val="22"/>
          <w:szCs w:val="22"/>
        </w:rPr>
      </w:pPr>
      <w:bookmarkStart w:colFirst="0" w:colLast="0" w:name="_heading=h.xdn8o8kc3yzy" w:id="1"/>
      <w:bookmarkEnd w:id="1"/>
      <w:r w:rsidDel="00000000" w:rsidR="00000000" w:rsidRPr="00000000">
        <w:rPr>
          <w:b w:val="1"/>
          <w:sz w:val="22"/>
          <w:szCs w:val="22"/>
          <w:rtl w:val="0"/>
        </w:rPr>
        <w:t xml:space="preserve">Supplementary Table 2 Multivariate logistic regression model of outcome including demographic characteristics and comorbidities as predictors</w:t>
      </w:r>
    </w:p>
    <w:p w:rsidR="00000000" w:rsidDel="00000000" w:rsidP="00000000" w:rsidRDefault="00000000" w:rsidRPr="00000000" w14:paraId="00000056">
      <w:pPr>
        <w:spacing w:line="360" w:lineRule="auto"/>
        <w:jc w:val="both"/>
        <w:rPr>
          <w:sz w:val="18"/>
          <w:szCs w:val="18"/>
          <w:highlight w:val="yellow"/>
        </w:rPr>
      </w:pPr>
      <w:r w:rsidDel="00000000" w:rsidR="00000000" w:rsidRPr="00000000">
        <w:rPr>
          <w:rtl w:val="0"/>
        </w:rPr>
      </w:r>
    </w:p>
    <w:p w:rsidR="00000000" w:rsidDel="00000000" w:rsidP="00000000" w:rsidRDefault="00000000" w:rsidRPr="00000000" w14:paraId="00000057">
      <w:pPr>
        <w:spacing w:line="360" w:lineRule="auto"/>
        <w:jc w:val="both"/>
        <w:rPr>
          <w:sz w:val="18"/>
          <w:szCs w:val="18"/>
        </w:rPr>
      </w:pPr>
      <w:r w:rsidDel="00000000" w:rsidR="00000000" w:rsidRPr="00000000">
        <w:rPr>
          <w:rtl w:val="0"/>
        </w:rPr>
      </w:r>
    </w:p>
    <w:tbl>
      <w:tblPr>
        <w:tblStyle w:val="Table2"/>
        <w:tblW w:w="69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1080"/>
        <w:gridCol w:w="1305"/>
        <w:gridCol w:w="1470"/>
        <w:gridCol w:w="1260"/>
        <w:tblGridChange w:id="0">
          <w:tblGrid>
            <w:gridCol w:w="1830"/>
            <w:gridCol w:w="1080"/>
            <w:gridCol w:w="1305"/>
            <w:gridCol w:w="1470"/>
            <w:gridCol w:w="1260"/>
          </w:tblGrid>
        </w:tblGridChange>
      </w:tblGrid>
      <w:tr>
        <w:trPr>
          <w:cantSplit w:val="0"/>
          <w:trHeight w:val="3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360" w:lineRule="auto"/>
              <w:rPr>
                <w:sz w:val="18"/>
                <w:szCs w:val="18"/>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59">
            <w:pPr>
              <w:widowControl w:val="0"/>
              <w:spacing w:line="360" w:lineRule="auto"/>
              <w:rPr>
                <w:b w:val="1"/>
                <w:sz w:val="18"/>
                <w:szCs w:val="18"/>
              </w:rPr>
            </w:pPr>
            <w:r w:rsidDel="00000000" w:rsidR="00000000" w:rsidRPr="00000000">
              <w:rPr>
                <w:b w:val="1"/>
                <w:sz w:val="18"/>
                <w:szCs w:val="18"/>
                <w:rtl w:val="0"/>
              </w:rPr>
              <w:t xml:space="preserve">Outcome ICU admission</w:t>
            </w:r>
          </w:p>
        </w:tc>
        <w:tc>
          <w:tcPr>
            <w:gridSpan w:val="2"/>
            <w:shd w:fill="auto" w:val="clear"/>
            <w:tcMar>
              <w:top w:w="100.0" w:type="dxa"/>
              <w:left w:w="100.0" w:type="dxa"/>
              <w:bottom w:w="100.0" w:type="dxa"/>
              <w:right w:w="100.0" w:type="dxa"/>
            </w:tcMar>
          </w:tcPr>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line="360" w:lineRule="auto"/>
              <w:rPr>
                <w:b w:val="1"/>
                <w:sz w:val="18"/>
                <w:szCs w:val="18"/>
              </w:rPr>
            </w:pPr>
            <w:r w:rsidDel="00000000" w:rsidR="00000000" w:rsidRPr="00000000">
              <w:rPr>
                <w:b w:val="1"/>
                <w:sz w:val="18"/>
                <w:szCs w:val="18"/>
                <w:rtl w:val="0"/>
              </w:rPr>
              <w:t xml:space="preserve">Outcome death</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360" w:lineRule="auto"/>
              <w:rPr>
                <w:b w:val="1"/>
                <w:sz w:val="18"/>
                <w:szCs w:val="18"/>
              </w:rPr>
            </w:pPr>
            <w:r w:rsidDel="00000000" w:rsidR="00000000" w:rsidRPr="00000000">
              <w:rPr>
                <w:b w:val="1"/>
                <w:sz w:val="18"/>
                <w:szCs w:val="18"/>
                <w:rtl w:val="0"/>
              </w:rPr>
              <w:t xml:space="preserve">Predictors</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line="360" w:lineRule="auto"/>
              <w:rPr>
                <w:b w:val="1"/>
                <w:sz w:val="18"/>
                <w:szCs w:val="18"/>
              </w:rPr>
            </w:pPr>
            <w:r w:rsidDel="00000000" w:rsidR="00000000" w:rsidRPr="00000000">
              <w:rPr>
                <w:b w:val="1"/>
                <w:sz w:val="18"/>
                <w:szCs w:val="18"/>
                <w:rtl w:val="0"/>
              </w:rPr>
              <w:t xml:space="preserve">aOR</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360" w:lineRule="auto"/>
              <w:rPr>
                <w:b w:val="1"/>
                <w:sz w:val="18"/>
                <w:szCs w:val="18"/>
              </w:rPr>
            </w:pPr>
            <w:r w:rsidDel="00000000" w:rsidR="00000000" w:rsidRPr="00000000">
              <w:rPr>
                <w:b w:val="1"/>
                <w:sz w:val="18"/>
                <w:szCs w:val="18"/>
                <w:rtl w:val="0"/>
              </w:rPr>
              <w:t xml:space="preserve">95% CI</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line="360" w:lineRule="auto"/>
              <w:rPr>
                <w:b w:val="1"/>
                <w:sz w:val="18"/>
                <w:szCs w:val="18"/>
              </w:rPr>
            </w:pPr>
            <w:r w:rsidDel="00000000" w:rsidR="00000000" w:rsidRPr="00000000">
              <w:rPr>
                <w:b w:val="1"/>
                <w:sz w:val="18"/>
                <w:szCs w:val="18"/>
                <w:rtl w:val="0"/>
              </w:rPr>
              <w:t xml:space="preserve">aOR</w:t>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spacing w:line="360" w:lineRule="auto"/>
              <w:rPr>
                <w:b w:val="1"/>
                <w:sz w:val="18"/>
                <w:szCs w:val="18"/>
              </w:rPr>
            </w:pPr>
            <w:r w:rsidDel="00000000" w:rsidR="00000000" w:rsidRPr="00000000">
              <w:rPr>
                <w:b w:val="1"/>
                <w:sz w:val="18"/>
                <w:szCs w:val="18"/>
                <w:rtl w:val="0"/>
              </w:rPr>
              <w:t xml:space="preserve">95% CI</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line="360" w:lineRule="auto"/>
              <w:rPr>
                <w:b w:val="1"/>
                <w:sz w:val="18"/>
                <w:szCs w:val="18"/>
              </w:rPr>
            </w:pPr>
            <w:r w:rsidDel="00000000" w:rsidR="00000000" w:rsidRPr="00000000">
              <w:rPr>
                <w:b w:val="1"/>
                <w:sz w:val="18"/>
                <w:szCs w:val="18"/>
                <w:rtl w:val="0"/>
              </w:rPr>
              <w:t xml:space="preserve">Age</w:t>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360" w:lineRule="auto"/>
              <w:rPr>
                <w:sz w:val="18"/>
                <w:szCs w:val="18"/>
              </w:rPr>
            </w:pPr>
            <w:r w:rsidDel="00000000" w:rsidR="00000000" w:rsidRPr="00000000">
              <w:rPr>
                <w:sz w:val="18"/>
                <w:szCs w:val="18"/>
                <w:rtl w:val="0"/>
              </w:rPr>
              <w:t xml:space="preserve">1.01</w:t>
            </w:r>
          </w:p>
        </w:tc>
        <w:tc>
          <w:tcPr>
            <w:shd w:fill="auto" w:val="clea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360" w:lineRule="auto"/>
              <w:rPr>
                <w:sz w:val="18"/>
                <w:szCs w:val="18"/>
              </w:rPr>
            </w:pPr>
            <w:r w:rsidDel="00000000" w:rsidR="00000000" w:rsidRPr="00000000">
              <w:rPr>
                <w:sz w:val="18"/>
                <w:szCs w:val="18"/>
                <w:rtl w:val="0"/>
              </w:rPr>
              <w:t xml:space="preserve">1.00, 1.02</w:t>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spacing w:line="360" w:lineRule="auto"/>
              <w:rPr>
                <w:sz w:val="18"/>
                <w:szCs w:val="18"/>
              </w:rPr>
            </w:pPr>
            <w:r w:rsidDel="00000000" w:rsidR="00000000" w:rsidRPr="00000000">
              <w:rPr>
                <w:sz w:val="18"/>
                <w:szCs w:val="18"/>
                <w:rtl w:val="0"/>
              </w:rPr>
              <w:t xml:space="preserve">1.05</w:t>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spacing w:line="360" w:lineRule="auto"/>
              <w:rPr>
                <w:sz w:val="18"/>
                <w:szCs w:val="18"/>
              </w:rPr>
            </w:pPr>
            <w:r w:rsidDel="00000000" w:rsidR="00000000" w:rsidRPr="00000000">
              <w:rPr>
                <w:sz w:val="18"/>
                <w:szCs w:val="18"/>
                <w:rtl w:val="0"/>
              </w:rPr>
              <w:t xml:space="preserve">1.05, 1.06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360" w:lineRule="auto"/>
              <w:rPr>
                <w:b w:val="1"/>
                <w:sz w:val="18"/>
                <w:szCs w:val="18"/>
              </w:rPr>
            </w:pPr>
            <w:r w:rsidDel="00000000" w:rsidR="00000000" w:rsidRPr="00000000">
              <w:rPr>
                <w:b w:val="1"/>
                <w:sz w:val="18"/>
                <w:szCs w:val="18"/>
                <w:rtl w:val="0"/>
              </w:rPr>
              <w:t xml:space="preserve">Male sex at birth</w:t>
            </w:r>
          </w:p>
        </w:tc>
        <w:tc>
          <w:tcPr>
            <w:shd w:fill="auto" w:val="clear"/>
            <w:tcMar>
              <w:top w:w="100.0" w:type="dxa"/>
              <w:left w:w="100.0" w:type="dxa"/>
              <w:bottom w:w="100.0" w:type="dxa"/>
              <w:right w:w="100.0" w:type="dxa"/>
            </w:tcMa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360" w:lineRule="auto"/>
              <w:rPr>
                <w:sz w:val="18"/>
                <w:szCs w:val="18"/>
              </w:rPr>
            </w:pPr>
            <w:r w:rsidDel="00000000" w:rsidR="00000000" w:rsidRPr="00000000">
              <w:rPr>
                <w:sz w:val="18"/>
                <w:szCs w:val="18"/>
                <w:rtl w:val="0"/>
              </w:rPr>
              <w:t xml:space="preserve">1.73</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spacing w:line="360" w:lineRule="auto"/>
              <w:rPr>
                <w:sz w:val="18"/>
                <w:szCs w:val="18"/>
              </w:rPr>
            </w:pPr>
            <w:r w:rsidDel="00000000" w:rsidR="00000000" w:rsidRPr="00000000">
              <w:rPr>
                <w:sz w:val="18"/>
                <w:szCs w:val="18"/>
                <w:rtl w:val="0"/>
              </w:rPr>
              <w:t xml:space="preserve">1.44, 2.10</w:t>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360" w:lineRule="auto"/>
              <w:rPr>
                <w:sz w:val="18"/>
                <w:szCs w:val="18"/>
              </w:rPr>
            </w:pPr>
            <w:r w:rsidDel="00000000" w:rsidR="00000000" w:rsidRPr="00000000">
              <w:rPr>
                <w:sz w:val="18"/>
                <w:szCs w:val="18"/>
                <w:rtl w:val="0"/>
              </w:rPr>
              <w:t xml:space="preserve">1.56</w:t>
            </w:r>
          </w:p>
        </w:tc>
        <w:tc>
          <w:tcPr>
            <w:shd w:fill="auto" w:val="clea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360" w:lineRule="auto"/>
              <w:rPr>
                <w:sz w:val="18"/>
                <w:szCs w:val="18"/>
              </w:rPr>
            </w:pPr>
            <w:r w:rsidDel="00000000" w:rsidR="00000000" w:rsidRPr="00000000">
              <w:rPr>
                <w:sz w:val="18"/>
                <w:szCs w:val="18"/>
                <w:rtl w:val="0"/>
              </w:rPr>
              <w:t xml:space="preserve">1.35, 1.82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360" w:lineRule="auto"/>
              <w:rPr>
                <w:b w:val="1"/>
                <w:sz w:val="18"/>
                <w:szCs w:val="18"/>
              </w:rPr>
            </w:pPr>
            <w:r w:rsidDel="00000000" w:rsidR="00000000" w:rsidRPr="00000000">
              <w:rPr>
                <w:b w:val="1"/>
                <w:sz w:val="18"/>
                <w:szCs w:val="18"/>
                <w:rtl w:val="0"/>
              </w:rPr>
              <w:t xml:space="preserve">BMI</w:t>
            </w:r>
          </w:p>
        </w:tc>
        <w:tc>
          <w:tcPr>
            <w:shd w:fill="auto"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360" w:lineRule="auto"/>
              <w:rPr>
                <w:sz w:val="18"/>
                <w:szCs w:val="18"/>
              </w:rPr>
            </w:pPr>
            <w:r w:rsidDel="00000000" w:rsidR="00000000" w:rsidRPr="00000000">
              <w:rPr>
                <w:sz w:val="18"/>
                <w:szCs w:val="18"/>
                <w:rtl w:val="0"/>
              </w:rPr>
              <w:t xml:space="preserve">1.01</w:t>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spacing w:line="360" w:lineRule="auto"/>
              <w:rPr>
                <w:sz w:val="18"/>
                <w:szCs w:val="18"/>
              </w:rPr>
            </w:pPr>
            <w:r w:rsidDel="00000000" w:rsidR="00000000" w:rsidRPr="00000000">
              <w:rPr>
                <w:sz w:val="18"/>
                <w:szCs w:val="18"/>
                <w:rtl w:val="0"/>
              </w:rPr>
              <w:t xml:space="preserve">1.00, 1.03</w:t>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spacing w:line="360" w:lineRule="auto"/>
              <w:rPr>
                <w:sz w:val="18"/>
                <w:szCs w:val="18"/>
              </w:rPr>
            </w:pPr>
            <w:r w:rsidDel="00000000" w:rsidR="00000000" w:rsidRPr="00000000">
              <w:rPr>
                <w:sz w:val="18"/>
                <w:szCs w:val="18"/>
                <w:rtl w:val="0"/>
              </w:rPr>
              <w:t xml:space="preserve">0.93</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360" w:lineRule="auto"/>
              <w:rPr>
                <w:sz w:val="18"/>
                <w:szCs w:val="18"/>
              </w:rPr>
            </w:pPr>
            <w:r w:rsidDel="00000000" w:rsidR="00000000" w:rsidRPr="00000000">
              <w:rPr>
                <w:sz w:val="18"/>
                <w:szCs w:val="18"/>
                <w:rtl w:val="0"/>
              </w:rPr>
              <w:t xml:space="preserve">0.91, 0.94</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360" w:lineRule="auto"/>
              <w:rPr>
                <w:b w:val="1"/>
                <w:sz w:val="18"/>
                <w:szCs w:val="18"/>
              </w:rPr>
            </w:pPr>
            <w:r w:rsidDel="00000000" w:rsidR="00000000" w:rsidRPr="00000000">
              <w:rPr>
                <w:b w:val="1"/>
                <w:sz w:val="18"/>
                <w:szCs w:val="18"/>
                <w:rtl w:val="0"/>
              </w:rPr>
              <w:t xml:space="preserve">Heart disease</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360" w:lineRule="auto"/>
              <w:rPr>
                <w:sz w:val="18"/>
                <w:szCs w:val="18"/>
              </w:rPr>
            </w:pPr>
            <w:r w:rsidDel="00000000" w:rsidR="00000000" w:rsidRPr="00000000">
              <w:rPr>
                <w:sz w:val="18"/>
                <w:szCs w:val="18"/>
                <w:rtl w:val="0"/>
              </w:rPr>
              <w:t xml:space="preserve">1.51</w:t>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360" w:lineRule="auto"/>
              <w:rPr>
                <w:sz w:val="18"/>
                <w:szCs w:val="18"/>
              </w:rPr>
            </w:pPr>
            <w:r w:rsidDel="00000000" w:rsidR="00000000" w:rsidRPr="00000000">
              <w:rPr>
                <w:sz w:val="18"/>
                <w:szCs w:val="18"/>
                <w:rtl w:val="0"/>
              </w:rPr>
              <w:t xml:space="preserve">1.20, 1.89</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360" w:lineRule="auto"/>
              <w:rPr>
                <w:sz w:val="18"/>
                <w:szCs w:val="18"/>
              </w:rPr>
            </w:pPr>
            <w:r w:rsidDel="00000000" w:rsidR="00000000" w:rsidRPr="00000000">
              <w:rPr>
                <w:sz w:val="18"/>
                <w:szCs w:val="18"/>
                <w:rtl w:val="0"/>
              </w:rPr>
              <w:t xml:space="preserve">1.78</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360" w:lineRule="auto"/>
              <w:rPr>
                <w:sz w:val="18"/>
                <w:szCs w:val="18"/>
              </w:rPr>
            </w:pPr>
            <w:r w:rsidDel="00000000" w:rsidR="00000000" w:rsidRPr="00000000">
              <w:rPr>
                <w:sz w:val="18"/>
                <w:szCs w:val="18"/>
                <w:rtl w:val="0"/>
              </w:rPr>
              <w:t xml:space="preserve">1.52, 2.08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360" w:lineRule="auto"/>
              <w:rPr>
                <w:b w:val="1"/>
                <w:sz w:val="18"/>
                <w:szCs w:val="18"/>
              </w:rPr>
            </w:pPr>
            <w:r w:rsidDel="00000000" w:rsidR="00000000" w:rsidRPr="00000000">
              <w:rPr>
                <w:b w:val="1"/>
                <w:sz w:val="18"/>
                <w:szCs w:val="18"/>
                <w:rtl w:val="0"/>
              </w:rPr>
              <w:t xml:space="preserve">Cerebrovascular disease</w:t>
            </w:r>
          </w:p>
        </w:tc>
        <w:tc>
          <w:tcPr>
            <w:shd w:fill="auto" w:val="clear"/>
            <w:tcMar>
              <w:top w:w="100.0" w:type="dxa"/>
              <w:left w:w="100.0" w:type="dxa"/>
              <w:bottom w:w="100.0" w:type="dxa"/>
              <w:right w:w="100.0" w:type="dxa"/>
            </w:tcMa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360" w:lineRule="auto"/>
              <w:rPr>
                <w:sz w:val="18"/>
                <w:szCs w:val="18"/>
              </w:rPr>
            </w:pPr>
            <w:r w:rsidDel="00000000" w:rsidR="00000000" w:rsidRPr="00000000">
              <w:rPr>
                <w:sz w:val="18"/>
                <w:szCs w:val="18"/>
                <w:rtl w:val="0"/>
              </w:rPr>
              <w:t xml:space="preserve">1.50</w:t>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360" w:lineRule="auto"/>
              <w:rPr>
                <w:sz w:val="18"/>
                <w:szCs w:val="18"/>
              </w:rPr>
            </w:pPr>
            <w:r w:rsidDel="00000000" w:rsidR="00000000" w:rsidRPr="00000000">
              <w:rPr>
                <w:sz w:val="18"/>
                <w:szCs w:val="18"/>
                <w:rtl w:val="0"/>
              </w:rPr>
              <w:t xml:space="preserve">1.21, 1.85</w:t>
            </w:r>
          </w:p>
        </w:tc>
        <w:tc>
          <w:tcPr>
            <w:shd w:fill="auto" w:val="clear"/>
            <w:tcMar>
              <w:top w:w="100.0" w:type="dxa"/>
              <w:left w:w="100.0" w:type="dxa"/>
              <w:bottom w:w="100.0" w:type="dxa"/>
              <w:right w:w="100.0" w:type="dxa"/>
            </w:tcMa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360" w:lineRule="auto"/>
              <w:rPr>
                <w:sz w:val="18"/>
                <w:szCs w:val="18"/>
              </w:rPr>
            </w:pPr>
            <w:r w:rsidDel="00000000" w:rsidR="00000000" w:rsidRPr="00000000">
              <w:rPr>
                <w:sz w:val="18"/>
                <w:szCs w:val="18"/>
                <w:rtl w:val="0"/>
              </w:rPr>
              <w:t xml:space="preserve">1.50</w:t>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360" w:lineRule="auto"/>
              <w:rPr>
                <w:sz w:val="18"/>
                <w:szCs w:val="18"/>
              </w:rPr>
            </w:pPr>
            <w:r w:rsidDel="00000000" w:rsidR="00000000" w:rsidRPr="00000000">
              <w:rPr>
                <w:sz w:val="18"/>
                <w:szCs w:val="18"/>
                <w:rtl w:val="0"/>
              </w:rPr>
              <w:t xml:space="preserve">1.28, 1.76</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360" w:lineRule="auto"/>
              <w:rPr>
                <w:b w:val="1"/>
                <w:sz w:val="18"/>
                <w:szCs w:val="18"/>
              </w:rPr>
            </w:pPr>
            <w:r w:rsidDel="00000000" w:rsidR="00000000" w:rsidRPr="00000000">
              <w:rPr>
                <w:b w:val="1"/>
                <w:sz w:val="18"/>
                <w:szCs w:val="18"/>
                <w:rtl w:val="0"/>
              </w:rPr>
              <w:t xml:space="preserve">Kidney disease</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360" w:lineRule="auto"/>
              <w:rPr>
                <w:sz w:val="18"/>
                <w:szCs w:val="18"/>
              </w:rPr>
            </w:pPr>
            <w:r w:rsidDel="00000000" w:rsidR="00000000" w:rsidRPr="00000000">
              <w:rPr>
                <w:sz w:val="18"/>
                <w:szCs w:val="18"/>
                <w:rtl w:val="0"/>
              </w:rPr>
              <w:t xml:space="preserve">1.59</w:t>
            </w:r>
          </w:p>
        </w:tc>
        <w:tc>
          <w:tcPr>
            <w:shd w:fill="auto" w:val="clear"/>
            <w:tcMar>
              <w:top w:w="100.0" w:type="dxa"/>
              <w:left w:w="100.0" w:type="dxa"/>
              <w:bottom w:w="100.0" w:type="dxa"/>
              <w:right w:w="100.0" w:type="dxa"/>
            </w:tcMa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360" w:lineRule="auto"/>
              <w:rPr>
                <w:sz w:val="18"/>
                <w:szCs w:val="18"/>
              </w:rPr>
            </w:pPr>
            <w:r w:rsidDel="00000000" w:rsidR="00000000" w:rsidRPr="00000000">
              <w:rPr>
                <w:sz w:val="18"/>
                <w:szCs w:val="18"/>
                <w:rtl w:val="0"/>
              </w:rPr>
              <w:t xml:space="preserve">1.24, 2.04</w:t>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360" w:lineRule="auto"/>
              <w:rPr>
                <w:sz w:val="18"/>
                <w:szCs w:val="18"/>
              </w:rPr>
            </w:pPr>
            <w:r w:rsidDel="00000000" w:rsidR="00000000" w:rsidRPr="00000000">
              <w:rPr>
                <w:sz w:val="18"/>
                <w:szCs w:val="18"/>
                <w:rtl w:val="0"/>
              </w:rPr>
              <w:t xml:space="preserve">1.50</w:t>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360" w:lineRule="auto"/>
              <w:rPr>
                <w:sz w:val="18"/>
                <w:szCs w:val="18"/>
              </w:rPr>
            </w:pPr>
            <w:r w:rsidDel="00000000" w:rsidR="00000000" w:rsidRPr="00000000">
              <w:rPr>
                <w:sz w:val="18"/>
                <w:szCs w:val="18"/>
                <w:rtl w:val="0"/>
              </w:rPr>
              <w:t xml:space="preserve">1.25, 1.80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line="360" w:lineRule="auto"/>
              <w:rPr>
                <w:b w:val="1"/>
                <w:sz w:val="18"/>
                <w:szCs w:val="18"/>
              </w:rPr>
            </w:pPr>
            <w:r w:rsidDel="00000000" w:rsidR="00000000" w:rsidRPr="00000000">
              <w:rPr>
                <w:b w:val="1"/>
                <w:sz w:val="18"/>
                <w:szCs w:val="18"/>
                <w:rtl w:val="0"/>
              </w:rPr>
              <w:t xml:space="preserve">Respiratory disease</w:t>
            </w:r>
          </w:p>
        </w:tc>
        <w:tc>
          <w:tcPr>
            <w:shd w:fill="auto" w:val="clear"/>
            <w:tcMar>
              <w:top w:w="100.0" w:type="dxa"/>
              <w:left w:w="100.0" w:type="dxa"/>
              <w:bottom w:w="100.0" w:type="dxa"/>
              <w:right w:w="100.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360" w:lineRule="auto"/>
              <w:rPr>
                <w:sz w:val="18"/>
                <w:szCs w:val="18"/>
              </w:rPr>
            </w:pPr>
            <w:r w:rsidDel="00000000" w:rsidR="00000000" w:rsidRPr="00000000">
              <w:rPr>
                <w:sz w:val="18"/>
                <w:szCs w:val="18"/>
                <w:rtl w:val="0"/>
              </w:rPr>
              <w:t xml:space="preserve">1.05</w:t>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360" w:lineRule="auto"/>
              <w:rPr>
                <w:sz w:val="18"/>
                <w:szCs w:val="18"/>
              </w:rPr>
            </w:pPr>
            <w:r w:rsidDel="00000000" w:rsidR="00000000" w:rsidRPr="00000000">
              <w:rPr>
                <w:sz w:val="18"/>
                <w:szCs w:val="18"/>
                <w:rtl w:val="0"/>
              </w:rPr>
              <w:t xml:space="preserve">0.88, 1.25</w:t>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360" w:lineRule="auto"/>
              <w:rPr>
                <w:sz w:val="18"/>
                <w:szCs w:val="18"/>
              </w:rPr>
            </w:pPr>
            <w:r w:rsidDel="00000000" w:rsidR="00000000" w:rsidRPr="00000000">
              <w:rPr>
                <w:sz w:val="18"/>
                <w:szCs w:val="18"/>
                <w:rtl w:val="0"/>
              </w:rPr>
              <w:t xml:space="preserve">0.98</w:t>
            </w:r>
          </w:p>
        </w:tc>
        <w:tc>
          <w:tcPr>
            <w:shd w:fill="auto" w:val="clear"/>
            <w:tcMar>
              <w:top w:w="100.0" w:type="dxa"/>
              <w:left w:w="100.0" w:type="dxa"/>
              <w:bottom w:w="100.0" w:type="dxa"/>
              <w:right w:w="100.0" w:type="dxa"/>
            </w:tcMa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360" w:lineRule="auto"/>
              <w:rPr>
                <w:sz w:val="18"/>
                <w:szCs w:val="18"/>
              </w:rPr>
            </w:pPr>
            <w:r w:rsidDel="00000000" w:rsidR="00000000" w:rsidRPr="00000000">
              <w:rPr>
                <w:sz w:val="18"/>
                <w:szCs w:val="18"/>
                <w:rtl w:val="0"/>
              </w:rPr>
              <w:t xml:space="preserve">0.85, 1.13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360" w:lineRule="auto"/>
              <w:rPr>
                <w:b w:val="1"/>
                <w:sz w:val="18"/>
                <w:szCs w:val="18"/>
              </w:rPr>
            </w:pPr>
            <w:r w:rsidDel="00000000" w:rsidR="00000000" w:rsidRPr="00000000">
              <w:rPr>
                <w:b w:val="1"/>
                <w:sz w:val="18"/>
                <w:szCs w:val="18"/>
                <w:rtl w:val="0"/>
              </w:rPr>
              <w:t xml:space="preserve">Malignant disease</w:t>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360" w:lineRule="auto"/>
              <w:rPr>
                <w:sz w:val="18"/>
                <w:szCs w:val="18"/>
              </w:rPr>
            </w:pPr>
            <w:r w:rsidDel="00000000" w:rsidR="00000000" w:rsidRPr="00000000">
              <w:rPr>
                <w:sz w:val="18"/>
                <w:szCs w:val="18"/>
                <w:rtl w:val="0"/>
              </w:rPr>
              <w:t xml:space="preserve">0.99</w:t>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360" w:lineRule="auto"/>
              <w:rPr>
                <w:sz w:val="18"/>
                <w:szCs w:val="18"/>
              </w:rPr>
            </w:pPr>
            <w:r w:rsidDel="00000000" w:rsidR="00000000" w:rsidRPr="00000000">
              <w:rPr>
                <w:sz w:val="18"/>
                <w:szCs w:val="18"/>
                <w:rtl w:val="0"/>
              </w:rPr>
              <w:t xml:space="preserve">0.75, 1.29</w:t>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360" w:lineRule="auto"/>
              <w:rPr>
                <w:sz w:val="18"/>
                <w:szCs w:val="18"/>
              </w:rPr>
            </w:pPr>
            <w:r w:rsidDel="00000000" w:rsidR="00000000" w:rsidRPr="00000000">
              <w:rPr>
                <w:sz w:val="18"/>
                <w:szCs w:val="18"/>
                <w:rtl w:val="0"/>
              </w:rPr>
              <w:t xml:space="preserve">1.91</w:t>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360" w:lineRule="auto"/>
              <w:rPr>
                <w:sz w:val="18"/>
                <w:szCs w:val="18"/>
              </w:rPr>
            </w:pPr>
            <w:r w:rsidDel="00000000" w:rsidR="00000000" w:rsidRPr="00000000">
              <w:rPr>
                <w:sz w:val="18"/>
                <w:szCs w:val="18"/>
                <w:rtl w:val="0"/>
              </w:rPr>
              <w:t xml:space="preserve">1.60, 2.28</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360" w:lineRule="auto"/>
              <w:rPr>
                <w:b w:val="1"/>
                <w:sz w:val="18"/>
                <w:szCs w:val="18"/>
              </w:rPr>
            </w:pPr>
            <w:r w:rsidDel="00000000" w:rsidR="00000000" w:rsidRPr="00000000">
              <w:rPr>
                <w:b w:val="1"/>
                <w:sz w:val="18"/>
                <w:szCs w:val="18"/>
                <w:rtl w:val="0"/>
              </w:rPr>
              <w:t xml:space="preserve">Diabetes mellitus</w:t>
            </w:r>
          </w:p>
        </w:tc>
        <w:tc>
          <w:tcPr>
            <w:shd w:fill="auto" w:val="clear"/>
            <w:tcMar>
              <w:top w:w="100.0" w:type="dxa"/>
              <w:left w:w="100.0" w:type="dxa"/>
              <w:bottom w:w="100.0" w:type="dxa"/>
              <w:right w:w="100.0" w:type="dxa"/>
            </w:tcMa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360" w:lineRule="auto"/>
              <w:rPr>
                <w:sz w:val="18"/>
                <w:szCs w:val="18"/>
              </w:rPr>
            </w:pPr>
            <w:r w:rsidDel="00000000" w:rsidR="00000000" w:rsidRPr="00000000">
              <w:rPr>
                <w:sz w:val="18"/>
                <w:szCs w:val="18"/>
                <w:rtl w:val="0"/>
              </w:rPr>
              <w:t xml:space="preserve">1.56</w:t>
            </w:r>
          </w:p>
        </w:tc>
        <w:tc>
          <w:tcPr>
            <w:shd w:fill="auto" w:val="clear"/>
            <w:tcMar>
              <w:top w:w="100.0" w:type="dxa"/>
              <w:left w:w="100.0" w:type="dxa"/>
              <w:bottom w:w="100.0" w:type="dxa"/>
              <w:right w:w="100.0" w:type="dxa"/>
            </w:tcMa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360" w:lineRule="auto"/>
              <w:rPr>
                <w:sz w:val="18"/>
                <w:szCs w:val="18"/>
              </w:rPr>
            </w:pPr>
            <w:r w:rsidDel="00000000" w:rsidR="00000000" w:rsidRPr="00000000">
              <w:rPr>
                <w:sz w:val="18"/>
                <w:szCs w:val="18"/>
                <w:rtl w:val="0"/>
              </w:rPr>
              <w:t xml:space="preserve">1.26, 1.93</w:t>
            </w:r>
          </w:p>
        </w:tc>
        <w:tc>
          <w:tcPr>
            <w:shd w:fill="auto" w:val="clear"/>
            <w:tcMar>
              <w:top w:w="100.0" w:type="dxa"/>
              <w:left w:w="100.0" w:type="dxa"/>
              <w:bottom w:w="100.0" w:type="dxa"/>
              <w:right w:w="100.0" w:type="dxa"/>
            </w:tcMar>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360" w:lineRule="auto"/>
              <w:rPr>
                <w:sz w:val="18"/>
                <w:szCs w:val="18"/>
              </w:rPr>
            </w:pPr>
            <w:r w:rsidDel="00000000" w:rsidR="00000000" w:rsidRPr="00000000">
              <w:rPr>
                <w:sz w:val="18"/>
                <w:szCs w:val="18"/>
                <w:rtl w:val="0"/>
              </w:rPr>
              <w:t xml:space="preserve">1.31</w:t>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360" w:lineRule="auto"/>
              <w:rPr>
                <w:sz w:val="18"/>
                <w:szCs w:val="18"/>
              </w:rPr>
            </w:pPr>
            <w:r w:rsidDel="00000000" w:rsidR="00000000" w:rsidRPr="00000000">
              <w:rPr>
                <w:sz w:val="18"/>
                <w:szCs w:val="18"/>
                <w:rtl w:val="0"/>
              </w:rPr>
              <w:t xml:space="preserve">1.11, 1.54</w:t>
            </w:r>
          </w:p>
        </w:tc>
      </w:tr>
    </w:tbl>
    <w:p w:rsidR="00000000" w:rsidDel="00000000" w:rsidP="00000000" w:rsidRDefault="00000000" w:rsidRPr="00000000" w14:paraId="0000008F">
      <w:pPr>
        <w:spacing w:line="360" w:lineRule="auto"/>
        <w:jc w:val="both"/>
        <w:rPr>
          <w:sz w:val="18"/>
          <w:szCs w:val="18"/>
          <w:highlight w:val="yellow"/>
        </w:rPr>
      </w:pPr>
      <w:r w:rsidDel="00000000" w:rsidR="00000000" w:rsidRPr="00000000">
        <w:rPr>
          <w:rtl w:val="0"/>
        </w:rPr>
      </w:r>
    </w:p>
    <w:p w:rsidR="00000000" w:rsidDel="00000000" w:rsidP="00000000" w:rsidRDefault="00000000" w:rsidRPr="00000000" w14:paraId="00000090">
      <w:pPr>
        <w:spacing w:line="360" w:lineRule="auto"/>
        <w:jc w:val="both"/>
        <w:rPr>
          <w:sz w:val="18"/>
          <w:szCs w:val="18"/>
        </w:rPr>
      </w:pPr>
      <w:r w:rsidDel="00000000" w:rsidR="00000000" w:rsidRPr="00000000">
        <w:rPr>
          <w:sz w:val="18"/>
          <w:szCs w:val="18"/>
          <w:rtl w:val="0"/>
        </w:rPr>
        <w:t xml:space="preserve">Available n/N was 9,168/13,611 for the outcome ICU admission and 13,164/13,611 for the outcome death. Logistic regression on the outcome ICU admission within 28 days versus not and death from any cause within 180 days post enrolment was performed including baseline characteristics and comorbidities as predictors. </w:t>
      </w:r>
    </w:p>
    <w:p w:rsidR="00000000" w:rsidDel="00000000" w:rsidP="00000000" w:rsidRDefault="00000000" w:rsidRPr="00000000" w14:paraId="00000091">
      <w:pPr>
        <w:spacing w:line="360" w:lineRule="auto"/>
        <w:jc w:val="both"/>
        <w:rPr>
          <w:sz w:val="18"/>
          <w:szCs w:val="18"/>
        </w:rPr>
      </w:pPr>
      <w:r w:rsidDel="00000000" w:rsidR="00000000" w:rsidRPr="00000000">
        <w:rPr>
          <w:sz w:val="18"/>
          <w:szCs w:val="18"/>
          <w:rtl w:val="0"/>
        </w:rPr>
        <w:t xml:space="preserve">Abbreviations: ICU: intensive care unit. aOR: adjusted Odd’s ratio. CI: confidence interval. BMI: body mass index. </w:t>
      </w:r>
    </w:p>
    <w:p w:rsidR="00000000" w:rsidDel="00000000" w:rsidP="00000000" w:rsidRDefault="00000000" w:rsidRPr="00000000" w14:paraId="00000092">
      <w:pPr>
        <w:pStyle w:val="Heading2"/>
        <w:spacing w:line="360" w:lineRule="auto"/>
        <w:rPr>
          <w:b w:val="1"/>
          <w:sz w:val="22"/>
          <w:szCs w:val="22"/>
        </w:rPr>
      </w:pPr>
      <w:bookmarkStart w:colFirst="0" w:colLast="0" w:name="_heading=h.xf2qatr4xemj" w:id="2"/>
      <w:bookmarkEnd w:id="2"/>
      <w:r w:rsidDel="00000000" w:rsidR="00000000" w:rsidRPr="00000000">
        <w:rPr>
          <w:rtl w:val="0"/>
        </w:rPr>
      </w:r>
    </w:p>
    <w:p w:rsidR="00000000" w:rsidDel="00000000" w:rsidP="00000000" w:rsidRDefault="00000000" w:rsidRPr="00000000" w14:paraId="00000093">
      <w:pPr>
        <w:pStyle w:val="Heading2"/>
        <w:spacing w:line="360" w:lineRule="auto"/>
        <w:rPr>
          <w:b w:val="1"/>
          <w:sz w:val="22"/>
          <w:szCs w:val="22"/>
        </w:rPr>
      </w:pPr>
      <w:bookmarkStart w:colFirst="0" w:colLast="0" w:name="_heading=h.mgof6etp909x" w:id="3"/>
      <w:bookmarkEnd w:id="3"/>
      <w:r w:rsidDel="00000000" w:rsidR="00000000" w:rsidRPr="00000000">
        <w:br w:type="page"/>
      </w:r>
      <w:r w:rsidDel="00000000" w:rsidR="00000000" w:rsidRPr="00000000">
        <w:rPr>
          <w:rtl w:val="0"/>
        </w:rPr>
      </w:r>
    </w:p>
    <w:p w:rsidR="00000000" w:rsidDel="00000000" w:rsidP="00000000" w:rsidRDefault="00000000" w:rsidRPr="00000000" w14:paraId="00000094">
      <w:pPr>
        <w:pStyle w:val="Heading2"/>
        <w:spacing w:line="360" w:lineRule="auto"/>
        <w:rPr>
          <w:sz w:val="16"/>
          <w:szCs w:val="16"/>
        </w:rPr>
      </w:pPr>
      <w:bookmarkStart w:colFirst="0" w:colLast="0" w:name="_heading=h.lfjdisz5x0ja" w:id="4"/>
      <w:bookmarkEnd w:id="4"/>
      <w:r w:rsidDel="00000000" w:rsidR="00000000" w:rsidRPr="00000000">
        <w:rPr>
          <w:b w:val="1"/>
          <w:sz w:val="22"/>
          <w:szCs w:val="22"/>
          <w:rtl w:val="0"/>
        </w:rPr>
        <w:t xml:space="preserve">Supplementary Table 3 Specific pathogen group comparison between DM- and DM+ patients</w:t>
      </w:r>
      <w:r w:rsidDel="00000000" w:rsidR="00000000" w:rsidRPr="00000000">
        <w:rPr>
          <w:rtl w:val="0"/>
        </w:rPr>
      </w:r>
    </w:p>
    <w:tbl>
      <w:tblPr>
        <w:tblStyle w:val="Table3"/>
        <w:tblW w:w="84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61"/>
        <w:gridCol w:w="3160"/>
        <w:gridCol w:w="2174"/>
        <w:tblGridChange w:id="0">
          <w:tblGrid>
            <w:gridCol w:w="3161"/>
            <w:gridCol w:w="3160"/>
            <w:gridCol w:w="2174"/>
          </w:tblGrid>
        </w:tblGridChange>
      </w:tblGrid>
      <w:tr>
        <w:trPr>
          <w:cantSplit w:val="0"/>
          <w:trHeight w:val="43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5">
            <w:pPr>
              <w:spacing w:line="360" w:lineRule="auto"/>
              <w:rPr>
                <w:b w:val="1"/>
                <w:sz w:val="18"/>
                <w:szCs w:val="18"/>
              </w:rPr>
            </w:pPr>
            <w:r w:rsidDel="00000000" w:rsidR="00000000" w:rsidRPr="00000000">
              <w:rPr>
                <w:b w:val="1"/>
                <w:sz w:val="18"/>
                <w:szCs w:val="18"/>
                <w:rtl w:val="0"/>
              </w:rPr>
              <w:t xml:space="preserve">Pathogen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6">
            <w:pPr>
              <w:spacing w:line="360" w:lineRule="auto"/>
              <w:rPr>
                <w:b w:val="1"/>
                <w:sz w:val="18"/>
                <w:szCs w:val="18"/>
              </w:rPr>
            </w:pPr>
            <w:r w:rsidDel="00000000" w:rsidR="00000000" w:rsidRPr="00000000">
              <w:rPr>
                <w:b w:val="1"/>
                <w:i w:val="1"/>
                <w:sz w:val="18"/>
                <w:szCs w:val="18"/>
                <w:rtl w:val="0"/>
              </w:rPr>
              <w:t xml:space="preserve">P</w:t>
            </w:r>
            <w:r w:rsidDel="00000000" w:rsidR="00000000" w:rsidRPr="00000000">
              <w:rPr>
                <w:b w:val="1"/>
                <w:sz w:val="18"/>
                <w:szCs w:val="18"/>
                <w:rtl w:val="0"/>
              </w:rPr>
              <w:t xml:space="preserve"> value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7">
            <w:pPr>
              <w:spacing w:line="360" w:lineRule="auto"/>
              <w:rPr>
                <w:b w:val="1"/>
                <w:sz w:val="18"/>
                <w:szCs w:val="18"/>
              </w:rPr>
            </w:pPr>
            <w:r w:rsidDel="00000000" w:rsidR="00000000" w:rsidRPr="00000000">
              <w:rPr>
                <w:b w:val="1"/>
                <w:sz w:val="18"/>
                <w:szCs w:val="18"/>
                <w:rtl w:val="0"/>
              </w:rPr>
              <w:t xml:space="preserve">Adjusted </w:t>
            </w:r>
            <w:r w:rsidDel="00000000" w:rsidR="00000000" w:rsidRPr="00000000">
              <w:rPr>
                <w:b w:val="1"/>
                <w:i w:val="1"/>
                <w:sz w:val="18"/>
                <w:szCs w:val="18"/>
                <w:rtl w:val="0"/>
              </w:rPr>
              <w:t xml:space="preserve">P</w:t>
            </w:r>
            <w:r w:rsidDel="00000000" w:rsidR="00000000" w:rsidRPr="00000000">
              <w:rPr>
                <w:b w:val="1"/>
                <w:sz w:val="18"/>
                <w:szCs w:val="18"/>
                <w:rtl w:val="0"/>
              </w:rPr>
              <w:t xml:space="preserve"> Value (p</w:t>
            </w:r>
            <w:r w:rsidDel="00000000" w:rsidR="00000000" w:rsidRPr="00000000">
              <w:rPr>
                <w:b w:val="1"/>
                <w:sz w:val="18"/>
                <w:szCs w:val="18"/>
                <w:vertAlign w:val="subscript"/>
                <w:rtl w:val="0"/>
              </w:rPr>
              <w:t xml:space="preserve">adj</w:t>
            </w:r>
            <w:r w:rsidDel="00000000" w:rsidR="00000000" w:rsidRPr="00000000">
              <w:rPr>
                <w:b w:val="1"/>
                <w:sz w:val="18"/>
                <w:szCs w:val="18"/>
                <w:rtl w:val="0"/>
              </w:rPr>
              <w:t xml:space="preserve">)</w:t>
            </w:r>
          </w:p>
        </w:tc>
      </w:tr>
      <w:tr>
        <w:trPr>
          <w:cantSplit w:val="0"/>
          <w:trHeight w:val="43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8">
            <w:pPr>
              <w:spacing w:line="360" w:lineRule="auto"/>
              <w:rPr>
                <w:i w:val="1"/>
                <w:sz w:val="18"/>
                <w:szCs w:val="18"/>
              </w:rPr>
            </w:pPr>
            <w:r w:rsidDel="00000000" w:rsidR="00000000" w:rsidRPr="00000000">
              <w:rPr>
                <w:i w:val="1"/>
                <w:sz w:val="18"/>
                <w:szCs w:val="18"/>
                <w:rtl w:val="0"/>
              </w:rPr>
              <w:t xml:space="preserve">S. pneumoniae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9">
            <w:pPr>
              <w:spacing w:line="360" w:lineRule="auto"/>
              <w:rPr>
                <w:sz w:val="18"/>
                <w:szCs w:val="18"/>
              </w:rPr>
            </w:pPr>
            <w:r w:rsidDel="00000000" w:rsidR="00000000" w:rsidRPr="00000000">
              <w:rPr>
                <w:sz w:val="18"/>
                <w:szCs w:val="18"/>
                <w:rtl w:val="0"/>
              </w:rPr>
              <w:t xml:space="preserve">0.2406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A">
            <w:pPr>
              <w:spacing w:line="360" w:lineRule="auto"/>
              <w:rPr>
                <w:sz w:val="18"/>
                <w:szCs w:val="18"/>
              </w:rPr>
            </w:pPr>
            <w:r w:rsidDel="00000000" w:rsidR="00000000" w:rsidRPr="00000000">
              <w:rPr>
                <w:sz w:val="18"/>
                <w:szCs w:val="18"/>
                <w:rtl w:val="0"/>
              </w:rPr>
              <w:t xml:space="preserve">0.8894</w:t>
            </w:r>
          </w:p>
        </w:tc>
      </w:tr>
      <w:tr>
        <w:trPr>
          <w:cantSplit w:val="0"/>
          <w:trHeight w:val="43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B">
            <w:pPr>
              <w:spacing w:line="360" w:lineRule="auto"/>
              <w:rPr>
                <w:i w:val="1"/>
                <w:sz w:val="18"/>
                <w:szCs w:val="18"/>
              </w:rPr>
            </w:pPr>
            <w:r w:rsidDel="00000000" w:rsidR="00000000" w:rsidRPr="00000000">
              <w:rPr>
                <w:i w:val="1"/>
                <w:sz w:val="18"/>
                <w:szCs w:val="18"/>
                <w:rtl w:val="0"/>
              </w:rPr>
              <w:t xml:space="preserve">H. influenzae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C">
            <w:pPr>
              <w:spacing w:line="360" w:lineRule="auto"/>
              <w:rPr>
                <w:sz w:val="18"/>
                <w:szCs w:val="18"/>
              </w:rPr>
            </w:pPr>
            <w:r w:rsidDel="00000000" w:rsidR="00000000" w:rsidRPr="00000000">
              <w:rPr>
                <w:sz w:val="18"/>
                <w:szCs w:val="18"/>
                <w:rtl w:val="0"/>
              </w:rPr>
              <w:t xml:space="preserve">0.0191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D">
            <w:pPr>
              <w:spacing w:line="360" w:lineRule="auto"/>
              <w:rPr>
                <w:sz w:val="18"/>
                <w:szCs w:val="18"/>
              </w:rPr>
            </w:pPr>
            <w:r w:rsidDel="00000000" w:rsidR="00000000" w:rsidRPr="00000000">
              <w:rPr>
                <w:sz w:val="18"/>
                <w:szCs w:val="18"/>
                <w:rtl w:val="0"/>
              </w:rPr>
              <w:t xml:space="preserve">0.1430</w:t>
            </w:r>
          </w:p>
        </w:tc>
      </w:tr>
      <w:tr>
        <w:trPr>
          <w:cantSplit w:val="0"/>
          <w:trHeight w:val="43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E">
            <w:pPr>
              <w:spacing w:line="360" w:lineRule="auto"/>
              <w:rPr>
                <w:sz w:val="18"/>
                <w:szCs w:val="18"/>
              </w:rPr>
            </w:pPr>
            <w:r w:rsidDel="00000000" w:rsidR="00000000" w:rsidRPr="00000000">
              <w:rPr>
                <w:sz w:val="18"/>
                <w:szCs w:val="18"/>
                <w:rtl w:val="0"/>
              </w:rPr>
              <w:t xml:space="preserve">Enterobacteriaceae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F">
            <w:pPr>
              <w:spacing w:line="360" w:lineRule="auto"/>
              <w:rPr>
                <w:sz w:val="18"/>
                <w:szCs w:val="18"/>
              </w:rPr>
            </w:pPr>
            <w:r w:rsidDel="00000000" w:rsidR="00000000" w:rsidRPr="00000000">
              <w:rPr>
                <w:sz w:val="18"/>
                <w:szCs w:val="18"/>
                <w:rtl w:val="0"/>
              </w:rPr>
              <w:t xml:space="preserve">0.0006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0">
            <w:pPr>
              <w:spacing w:line="360" w:lineRule="auto"/>
              <w:rPr>
                <w:sz w:val="18"/>
                <w:szCs w:val="18"/>
              </w:rPr>
            </w:pPr>
            <w:r w:rsidDel="00000000" w:rsidR="00000000" w:rsidRPr="00000000">
              <w:rPr>
                <w:sz w:val="18"/>
                <w:szCs w:val="18"/>
                <w:rtl w:val="0"/>
              </w:rPr>
              <w:t xml:space="preserve">0.0048</w:t>
            </w:r>
          </w:p>
        </w:tc>
      </w:tr>
      <w:tr>
        <w:trPr>
          <w:cantSplit w:val="0"/>
          <w:trHeight w:val="43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1">
            <w:pPr>
              <w:spacing w:line="360" w:lineRule="auto"/>
              <w:rPr>
                <w:sz w:val="18"/>
                <w:szCs w:val="18"/>
              </w:rPr>
            </w:pPr>
            <w:r w:rsidDel="00000000" w:rsidR="00000000" w:rsidRPr="00000000">
              <w:rPr>
                <w:sz w:val="18"/>
                <w:szCs w:val="18"/>
                <w:rtl w:val="0"/>
              </w:rPr>
              <w:t xml:space="preserve">Atypical bacteria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2">
            <w:pPr>
              <w:spacing w:line="360" w:lineRule="auto"/>
              <w:rPr>
                <w:sz w:val="18"/>
                <w:szCs w:val="18"/>
              </w:rPr>
            </w:pPr>
            <w:r w:rsidDel="00000000" w:rsidR="00000000" w:rsidRPr="00000000">
              <w:rPr>
                <w:sz w:val="18"/>
                <w:szCs w:val="18"/>
                <w:rtl w:val="0"/>
              </w:rPr>
              <w:t xml:space="preserve">0.0734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3">
            <w:pPr>
              <w:spacing w:line="360" w:lineRule="auto"/>
              <w:rPr>
                <w:sz w:val="18"/>
                <w:szCs w:val="18"/>
              </w:rPr>
            </w:pPr>
            <w:r w:rsidDel="00000000" w:rsidR="00000000" w:rsidRPr="00000000">
              <w:rPr>
                <w:sz w:val="18"/>
                <w:szCs w:val="18"/>
                <w:rtl w:val="0"/>
              </w:rPr>
              <w:t xml:space="preserve">0.4566</w:t>
            </w:r>
          </w:p>
        </w:tc>
      </w:tr>
      <w:tr>
        <w:trPr>
          <w:cantSplit w:val="0"/>
          <w:trHeight w:val="43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4">
            <w:pPr>
              <w:spacing w:line="360" w:lineRule="auto"/>
              <w:rPr>
                <w:sz w:val="18"/>
                <w:szCs w:val="18"/>
              </w:rPr>
            </w:pPr>
            <w:r w:rsidDel="00000000" w:rsidR="00000000" w:rsidRPr="00000000">
              <w:rPr>
                <w:sz w:val="18"/>
                <w:szCs w:val="18"/>
                <w:rtl w:val="0"/>
              </w:rPr>
              <w:t xml:space="preserve">Non-fermenting gram-negative bacteria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5">
            <w:pPr>
              <w:spacing w:line="360" w:lineRule="auto"/>
              <w:rPr>
                <w:sz w:val="18"/>
                <w:szCs w:val="18"/>
              </w:rPr>
            </w:pPr>
            <w:r w:rsidDel="00000000" w:rsidR="00000000" w:rsidRPr="00000000">
              <w:rPr>
                <w:sz w:val="18"/>
                <w:szCs w:val="18"/>
                <w:rtl w:val="0"/>
              </w:rPr>
              <w:t xml:space="preserve">0.4569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6">
            <w:pPr>
              <w:spacing w:line="360" w:lineRule="auto"/>
              <w:rPr>
                <w:sz w:val="18"/>
                <w:szCs w:val="18"/>
              </w:rPr>
            </w:pPr>
            <w:r w:rsidDel="00000000" w:rsidR="00000000" w:rsidRPr="00000000">
              <w:rPr>
                <w:sz w:val="18"/>
                <w:szCs w:val="18"/>
                <w:rtl w:val="0"/>
              </w:rPr>
              <w:t xml:space="preserve">0.9924</w:t>
            </w:r>
          </w:p>
        </w:tc>
      </w:tr>
      <w:tr>
        <w:trPr>
          <w:cantSplit w:val="0"/>
          <w:trHeight w:val="43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7">
            <w:pPr>
              <w:spacing w:line="360" w:lineRule="auto"/>
              <w:rPr>
                <w:i w:val="1"/>
                <w:sz w:val="18"/>
                <w:szCs w:val="18"/>
              </w:rPr>
            </w:pPr>
            <w:r w:rsidDel="00000000" w:rsidR="00000000" w:rsidRPr="00000000">
              <w:rPr>
                <w:i w:val="1"/>
                <w:sz w:val="18"/>
                <w:szCs w:val="18"/>
                <w:rtl w:val="0"/>
              </w:rPr>
              <w:t xml:space="preserve">S. aureus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8">
            <w:pPr>
              <w:spacing w:line="360" w:lineRule="auto"/>
              <w:rPr>
                <w:sz w:val="18"/>
                <w:szCs w:val="18"/>
              </w:rPr>
            </w:pPr>
            <w:r w:rsidDel="00000000" w:rsidR="00000000" w:rsidRPr="00000000">
              <w:rPr>
                <w:sz w:val="18"/>
                <w:szCs w:val="18"/>
                <w:rtl w:val="0"/>
              </w:rPr>
              <w:t xml:space="preserve">0.7240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9">
            <w:pPr>
              <w:spacing w:line="360" w:lineRule="auto"/>
              <w:rPr>
                <w:sz w:val="18"/>
                <w:szCs w:val="18"/>
              </w:rPr>
            </w:pPr>
            <w:r w:rsidDel="00000000" w:rsidR="00000000" w:rsidRPr="00000000">
              <w:rPr>
                <w:sz w:val="18"/>
                <w:szCs w:val="18"/>
                <w:rtl w:val="0"/>
              </w:rPr>
              <w:t xml:space="preserve">1.0000</w:t>
            </w:r>
          </w:p>
        </w:tc>
      </w:tr>
      <w:tr>
        <w:trPr>
          <w:cantSplit w:val="0"/>
          <w:trHeight w:val="43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A">
            <w:pPr>
              <w:spacing w:line="360" w:lineRule="auto"/>
              <w:rPr>
                <w:sz w:val="18"/>
                <w:szCs w:val="18"/>
              </w:rPr>
            </w:pPr>
            <w:r w:rsidDel="00000000" w:rsidR="00000000" w:rsidRPr="00000000">
              <w:rPr>
                <w:sz w:val="18"/>
                <w:szCs w:val="18"/>
                <w:rtl w:val="0"/>
              </w:rPr>
              <w:t xml:space="preserve">Viruses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B">
            <w:pPr>
              <w:spacing w:line="360" w:lineRule="auto"/>
              <w:rPr>
                <w:sz w:val="18"/>
                <w:szCs w:val="18"/>
              </w:rPr>
            </w:pPr>
            <w:r w:rsidDel="00000000" w:rsidR="00000000" w:rsidRPr="00000000">
              <w:rPr>
                <w:sz w:val="18"/>
                <w:szCs w:val="18"/>
                <w:rtl w:val="0"/>
              </w:rPr>
              <w:t xml:space="preserve">0.0612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C">
            <w:pPr>
              <w:spacing w:line="360" w:lineRule="auto"/>
              <w:rPr>
                <w:sz w:val="18"/>
                <w:szCs w:val="18"/>
              </w:rPr>
            </w:pPr>
            <w:r w:rsidDel="00000000" w:rsidR="00000000" w:rsidRPr="00000000">
              <w:rPr>
                <w:sz w:val="18"/>
                <w:szCs w:val="18"/>
                <w:rtl w:val="0"/>
              </w:rPr>
              <w:t xml:space="preserve">0.3966</w:t>
            </w:r>
          </w:p>
        </w:tc>
      </w:tr>
      <w:tr>
        <w:trPr>
          <w:cantSplit w:val="0"/>
          <w:trHeight w:val="43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D">
            <w:pPr>
              <w:spacing w:line="360" w:lineRule="auto"/>
              <w:rPr>
                <w:sz w:val="18"/>
                <w:szCs w:val="18"/>
              </w:rPr>
            </w:pPr>
            <w:r w:rsidDel="00000000" w:rsidR="00000000" w:rsidRPr="00000000">
              <w:rPr>
                <w:sz w:val="18"/>
                <w:szCs w:val="18"/>
                <w:rtl w:val="0"/>
              </w:rPr>
              <w:t xml:space="preserve">Others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E">
            <w:pPr>
              <w:spacing w:line="360" w:lineRule="auto"/>
              <w:rPr>
                <w:sz w:val="18"/>
                <w:szCs w:val="18"/>
              </w:rPr>
            </w:pPr>
            <w:r w:rsidDel="00000000" w:rsidR="00000000" w:rsidRPr="00000000">
              <w:rPr>
                <w:sz w:val="18"/>
                <w:szCs w:val="18"/>
                <w:rtl w:val="0"/>
              </w:rPr>
              <w:t xml:space="preserve">0.7292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F">
            <w:pPr>
              <w:spacing w:line="360" w:lineRule="auto"/>
              <w:rPr>
                <w:sz w:val="18"/>
                <w:szCs w:val="18"/>
              </w:rPr>
            </w:pPr>
            <w:r w:rsidDel="00000000" w:rsidR="00000000" w:rsidRPr="00000000">
              <w:rPr>
                <w:sz w:val="18"/>
                <w:szCs w:val="18"/>
                <w:rtl w:val="0"/>
              </w:rPr>
              <w:t xml:space="preserve">1.0000</w:t>
            </w:r>
          </w:p>
        </w:tc>
      </w:tr>
    </w:tbl>
    <w:p w:rsidR="00000000" w:rsidDel="00000000" w:rsidP="00000000" w:rsidRDefault="00000000" w:rsidRPr="00000000" w14:paraId="000000B0">
      <w:pPr>
        <w:spacing w:after="240" w:before="240" w:line="360" w:lineRule="auto"/>
        <w:jc w:val="both"/>
        <w:rPr>
          <w:sz w:val="18"/>
          <w:szCs w:val="18"/>
        </w:rPr>
      </w:pPr>
      <w:r w:rsidDel="00000000" w:rsidR="00000000" w:rsidRPr="00000000">
        <w:rPr>
          <w:sz w:val="18"/>
          <w:szCs w:val="18"/>
          <w:rtl w:val="0"/>
        </w:rPr>
        <w:t xml:space="preserve">Chi-square test was used to evaluate the individual difference between each pathogen group versus all other pathogens, and the obtained </w:t>
      </w:r>
      <w:r w:rsidDel="00000000" w:rsidR="00000000" w:rsidRPr="00000000">
        <w:rPr>
          <w:i w:val="1"/>
          <w:sz w:val="18"/>
          <w:szCs w:val="18"/>
          <w:rtl w:val="0"/>
        </w:rPr>
        <w:t xml:space="preserve">P</w:t>
      </w:r>
      <w:r w:rsidDel="00000000" w:rsidR="00000000" w:rsidRPr="00000000">
        <w:rPr>
          <w:sz w:val="18"/>
          <w:szCs w:val="18"/>
          <w:rtl w:val="0"/>
        </w:rPr>
        <w:t xml:space="preserve"> values were adjusted for multiple comparisons with the Bonferroni-Sidak test.</w:t>
      </w:r>
    </w:p>
    <w:p w:rsidR="00000000" w:rsidDel="00000000" w:rsidP="00000000" w:rsidRDefault="00000000" w:rsidRPr="00000000" w14:paraId="000000B1">
      <w:pPr>
        <w:spacing w:after="240" w:before="240" w:line="360" w:lineRule="auto"/>
        <w:jc w:val="both"/>
        <w:rPr>
          <w:sz w:val="16"/>
          <w:szCs w:val="16"/>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B2">
      <w:pPr>
        <w:spacing w:line="360" w:lineRule="auto"/>
        <w:jc w:val="both"/>
        <w:rPr>
          <w:sz w:val="18"/>
          <w:szCs w:val="18"/>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B3">
      <w:pPr>
        <w:spacing w:line="360" w:lineRule="auto"/>
        <w:jc w:val="both"/>
        <w:rPr>
          <w:b w:val="1"/>
        </w:rPr>
      </w:pPr>
      <w:r w:rsidDel="00000000" w:rsidR="00000000" w:rsidRPr="00000000">
        <w:rPr>
          <w:sz w:val="18"/>
          <w:szCs w:val="18"/>
        </w:rPr>
        <w:drawing>
          <wp:inline distB="114300" distT="114300" distL="114300" distR="114300">
            <wp:extent cx="5399730" cy="1943100"/>
            <wp:effectExtent b="0" l="0" r="0" t="0"/>
            <wp:docPr id="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399730" cy="1943100"/>
                    </a:xfrm>
                    <a:prstGeom prst="rect"/>
                    <a:ln/>
                  </pic:spPr>
                </pic:pic>
              </a:graphicData>
            </a:graphic>
          </wp:inline>
        </w:drawing>
      </w:r>
      <w:r w:rsidDel="00000000" w:rsidR="00000000" w:rsidRPr="00000000">
        <w:rPr>
          <w:b w:val="1"/>
          <w:rtl w:val="0"/>
        </w:rPr>
        <w:t xml:space="preserve">Supplementary Fig.1 Outcome in non-diabetic versus type 2 diabetic patients from CAPNETZ study Nr. 2 </w:t>
      </w:r>
    </w:p>
    <w:p w:rsidR="00000000" w:rsidDel="00000000" w:rsidP="00000000" w:rsidRDefault="00000000" w:rsidRPr="00000000" w14:paraId="000000B4">
      <w:pPr>
        <w:spacing w:line="360" w:lineRule="auto"/>
        <w:jc w:val="both"/>
        <w:rPr>
          <w:sz w:val="18"/>
          <w:szCs w:val="18"/>
        </w:rPr>
      </w:pPr>
      <w:r w:rsidDel="00000000" w:rsidR="00000000" w:rsidRPr="00000000">
        <w:rPr>
          <w:sz w:val="18"/>
          <w:szCs w:val="18"/>
          <w:rtl w:val="0"/>
        </w:rPr>
        <w:t xml:space="preserve">(a, b) Box-plot showing the distribution (median and IQR) of CRB-65 score (a) and hospitalization days (b) in non-diabetic, type 2 diabetic, and all patients (available 1,516/1,692 for a) and 1,652/1,692 for b)). Whiskers represent the 2,5 - 97,5 percentile. Mann-Whitney statistical analysis was used. (c, d) Percentages of ICU admission within 28 days (c) and death within 180 days (d), both from any cause following CAP in non-diabetic vs type 2 diabetic patients, as well as all patients in the CAPNETZ 2 cohort (available n = 1,688/1,692 for c) and 1,692/1,692 for d)). Chi-square test was used to analyze the shown groups. *: p&lt;0,05 ; ****: p&lt;0,0001. ICU: intensive care unit, CRB-65: pneumonia severity index (see methods). Diabetes Type 2 was defined on a self-report basis. </w:t>
      </w:r>
    </w:p>
    <w:p w:rsidR="00000000" w:rsidDel="00000000" w:rsidP="00000000" w:rsidRDefault="00000000" w:rsidRPr="00000000" w14:paraId="000000B5">
      <w:pPr>
        <w:spacing w:line="360" w:lineRule="auto"/>
        <w:jc w:val="both"/>
        <w:rPr>
          <w:sz w:val="18"/>
          <w:szCs w:val="18"/>
          <w:highlight w:val="yellow"/>
        </w:rPr>
      </w:pPr>
      <w:r w:rsidDel="00000000" w:rsidR="00000000" w:rsidRPr="00000000">
        <w:rPr>
          <w:rtl w:val="0"/>
        </w:rPr>
      </w:r>
    </w:p>
    <w:p w:rsidR="00000000" w:rsidDel="00000000" w:rsidP="00000000" w:rsidRDefault="00000000" w:rsidRPr="00000000" w14:paraId="000000B6">
      <w:pPr>
        <w:spacing w:line="360" w:lineRule="auto"/>
        <w:jc w:val="both"/>
        <w:rPr>
          <w:sz w:val="18"/>
          <w:szCs w:val="18"/>
          <w:highlight w:val="yellow"/>
        </w:rPr>
      </w:pPr>
      <w:r w:rsidDel="00000000" w:rsidR="00000000" w:rsidRPr="00000000">
        <w:rPr>
          <w:rtl w:val="0"/>
        </w:rPr>
      </w:r>
    </w:p>
    <w:p w:rsidR="00000000" w:rsidDel="00000000" w:rsidP="00000000" w:rsidRDefault="00000000" w:rsidRPr="00000000" w14:paraId="000000B7">
      <w:pPr>
        <w:spacing w:line="360" w:lineRule="auto"/>
        <w:jc w:val="both"/>
        <w:rPr>
          <w:sz w:val="18"/>
          <w:szCs w:val="18"/>
          <w:highlight w:val="yellow"/>
        </w:rPr>
      </w:pPr>
      <w:r w:rsidDel="00000000" w:rsidR="00000000" w:rsidRPr="00000000">
        <w:rPr>
          <w:rtl w:val="0"/>
        </w:rPr>
      </w:r>
    </w:p>
    <w:p w:rsidR="00000000" w:rsidDel="00000000" w:rsidP="00000000" w:rsidRDefault="00000000" w:rsidRPr="00000000" w14:paraId="000000B8">
      <w:pPr>
        <w:spacing w:line="360" w:lineRule="auto"/>
        <w:jc w:val="both"/>
        <w:rPr>
          <w:sz w:val="18"/>
          <w:szCs w:val="18"/>
          <w:highlight w:val="yellow"/>
        </w:rPr>
      </w:pPr>
      <w:r w:rsidDel="00000000" w:rsidR="00000000" w:rsidRPr="00000000">
        <w:rPr>
          <w:sz w:val="18"/>
          <w:szCs w:val="18"/>
          <w:highlight w:val="yellow"/>
        </w:rPr>
        <w:drawing>
          <wp:inline distB="114300" distT="114300" distL="114300" distR="114300">
            <wp:extent cx="5399730" cy="4445000"/>
            <wp:effectExtent b="0" l="0" r="0" t="0"/>
            <wp:docPr id="5"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5399730" cy="4445000"/>
                    </a:xfrm>
                    <a:prstGeom prst="rect"/>
                    <a:ln/>
                  </pic:spPr>
                </pic:pic>
              </a:graphicData>
            </a:graphic>
          </wp:inline>
        </w:drawing>
      </w:r>
      <w:r w:rsidDel="00000000" w:rsidR="00000000" w:rsidRPr="00000000">
        <w:rPr>
          <w:rtl w:val="0"/>
        </w:rPr>
      </w:r>
    </w:p>
    <w:p w:rsidR="00000000" w:rsidDel="00000000" w:rsidP="00000000" w:rsidRDefault="00000000" w:rsidRPr="00000000" w14:paraId="000000B9">
      <w:pPr>
        <w:spacing w:line="360" w:lineRule="auto"/>
        <w:rPr>
          <w:b w:val="1"/>
        </w:rPr>
      </w:pPr>
      <w:r w:rsidDel="00000000" w:rsidR="00000000" w:rsidRPr="00000000">
        <w:rPr>
          <w:b w:val="1"/>
          <w:rtl w:val="0"/>
        </w:rPr>
        <w:t xml:space="preserve">Supplementary Fig. 2</w:t>
      </w:r>
      <w:r w:rsidDel="00000000" w:rsidR="00000000" w:rsidRPr="00000000">
        <w:rPr>
          <w:rtl w:val="0"/>
        </w:rPr>
        <w:t xml:space="preserve"> </w:t>
      </w:r>
      <w:r w:rsidDel="00000000" w:rsidR="00000000" w:rsidRPr="00000000">
        <w:rPr>
          <w:b w:val="1"/>
          <w:rtl w:val="0"/>
        </w:rPr>
        <w:t xml:space="preserve">Markers for organ failure in non-diabetic versus type 2 diabetic patients admitted in the ICU</w:t>
        <w:br w:type="textWrapping"/>
        <w:t xml:space="preserve"> </w:t>
      </w:r>
    </w:p>
    <w:p w:rsidR="00000000" w:rsidDel="00000000" w:rsidP="00000000" w:rsidRDefault="00000000" w:rsidRPr="00000000" w14:paraId="000000BA">
      <w:pPr>
        <w:spacing w:line="360" w:lineRule="auto"/>
        <w:jc w:val="both"/>
        <w:rPr>
          <w:sz w:val="18"/>
          <w:szCs w:val="18"/>
        </w:rPr>
      </w:pPr>
      <w:r w:rsidDel="00000000" w:rsidR="00000000" w:rsidRPr="00000000">
        <w:rPr>
          <w:sz w:val="18"/>
          <w:szCs w:val="18"/>
          <w:rtl w:val="0"/>
        </w:rPr>
        <w:t xml:space="preserve">(a) Percentage of confusion at the time of ICU admission in non-diabetic vs. type 2 diabetic patients. Fisher’s exact test was used to analyze the difference between both groups. (b–f) Box plots showing values of the Horovitz index (b), lactate (c), bilirubin (d), creatinine (e), and thrombocytes (f) from baseline blood samples collected within 48 hours after inclusion, comparing non-diabetic and type 2 diabetic patients. Whiskers represent the 2.5th to 97.5th percentiles. After ruling out normal distribution, the Mann–Whitney test was applied. Available data for non-diabetic and type 2 diabetic patients: (a) 105 and 49; (b) 84 and 41; (c) 56 and 31; (d) 93 and 40; (e) 107 and 49. *p &lt; 0.05. The Horovitz index (PaO₂/FiO₂ ratio) reflects pulmonary gas exchange efficiency and is used here as a marker of lung failure severity. Diabetes status and type was determined by self-report. </w:t>
      </w:r>
      <w:r w:rsidDel="00000000" w:rsidR="00000000" w:rsidRPr="00000000">
        <w:rPr>
          <w:b w:val="1"/>
          <w:sz w:val="18"/>
          <w:szCs w:val="18"/>
          <w:rtl w:val="0"/>
        </w:rPr>
        <w:t xml:space="preserve">Abbreviations</w:t>
      </w:r>
      <w:r w:rsidDel="00000000" w:rsidR="00000000" w:rsidRPr="00000000">
        <w:rPr>
          <w:sz w:val="18"/>
          <w:szCs w:val="18"/>
          <w:rtl w:val="0"/>
        </w:rPr>
        <w:t xml:space="preserve">: ns = not significant</w:t>
      </w:r>
    </w:p>
    <w:p w:rsidR="00000000" w:rsidDel="00000000" w:rsidP="00000000" w:rsidRDefault="00000000" w:rsidRPr="00000000" w14:paraId="000000BB">
      <w:pPr>
        <w:spacing w:line="360" w:lineRule="auto"/>
        <w:rPr>
          <w:b w:val="1"/>
        </w:rPr>
      </w:pPr>
      <w:r w:rsidDel="00000000" w:rsidR="00000000" w:rsidRPr="00000000">
        <w:rPr>
          <w:rtl w:val="0"/>
        </w:rPr>
      </w:r>
    </w:p>
    <w:p w:rsidR="00000000" w:rsidDel="00000000" w:rsidP="00000000" w:rsidRDefault="00000000" w:rsidRPr="00000000" w14:paraId="000000BC">
      <w:pPr>
        <w:spacing w:line="360" w:lineRule="auto"/>
        <w:rPr>
          <w:b w:val="1"/>
        </w:rPr>
      </w:pPr>
      <w:r w:rsidDel="00000000" w:rsidR="00000000" w:rsidRPr="00000000">
        <w:rPr>
          <w:rtl w:val="0"/>
        </w:rPr>
      </w:r>
    </w:p>
    <w:p w:rsidR="00000000" w:rsidDel="00000000" w:rsidP="00000000" w:rsidRDefault="00000000" w:rsidRPr="00000000" w14:paraId="000000BD">
      <w:pPr>
        <w:spacing w:line="360" w:lineRule="auto"/>
        <w:rPr>
          <w:b w:val="1"/>
        </w:rPr>
      </w:pPr>
      <w:r w:rsidDel="00000000" w:rsidR="00000000" w:rsidRPr="00000000">
        <w:rPr>
          <w:rtl w:val="0"/>
        </w:rPr>
      </w:r>
    </w:p>
    <w:p w:rsidR="00000000" w:rsidDel="00000000" w:rsidP="00000000" w:rsidRDefault="00000000" w:rsidRPr="00000000" w14:paraId="000000BE">
      <w:pPr>
        <w:spacing w:after="240" w:before="240" w:line="360" w:lineRule="auto"/>
        <w:jc w:val="center"/>
        <w:rPr>
          <w:sz w:val="24"/>
          <w:szCs w:val="24"/>
        </w:rPr>
      </w:pPr>
      <w:bookmarkStart w:colFirst="0" w:colLast="0" w:name="_heading=h.kakdy0jaxdbu" w:id="5"/>
      <w:bookmarkEnd w:id="5"/>
      <w:r w:rsidDel="00000000" w:rsidR="00000000" w:rsidRPr="00000000">
        <w:rPr>
          <w:sz w:val="24"/>
          <w:szCs w:val="24"/>
        </w:rPr>
        <w:drawing>
          <wp:inline distB="114300" distT="114300" distL="114300" distR="114300">
            <wp:extent cx="5731200" cy="3276600"/>
            <wp:effectExtent b="0" l="0" r="0" t="0"/>
            <wp:docPr id="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731200" cy="3276600"/>
                    </a:xfrm>
                    <a:prstGeom prst="rect"/>
                    <a:ln/>
                  </pic:spPr>
                </pic:pic>
              </a:graphicData>
            </a:graphic>
          </wp:inline>
        </w:drawing>
      </w:r>
      <w:r w:rsidDel="00000000" w:rsidR="00000000" w:rsidRPr="00000000">
        <w:rPr>
          <w:rtl w:val="0"/>
        </w:rPr>
      </w:r>
    </w:p>
    <w:p w:rsidR="00000000" w:rsidDel="00000000" w:rsidP="00000000" w:rsidRDefault="00000000" w:rsidRPr="00000000" w14:paraId="000000BF">
      <w:pPr>
        <w:spacing w:after="240" w:before="240" w:line="360" w:lineRule="auto"/>
        <w:jc w:val="both"/>
        <w:rPr/>
      </w:pPr>
      <w:r w:rsidDel="00000000" w:rsidR="00000000" w:rsidRPr="00000000">
        <w:rPr>
          <w:b w:val="1"/>
          <w:rtl w:val="0"/>
        </w:rPr>
        <w:t xml:space="preserve">Supplementary Fig.3 Relative frequencies of isolated pathogens in non-diabetic, pre-diabetic and diabetic patients based on HbA1c levels and self-reporting.</w:t>
      </w:r>
      <w:r w:rsidDel="00000000" w:rsidR="00000000" w:rsidRPr="00000000">
        <w:rPr>
          <w:rtl w:val="0"/>
        </w:rPr>
        <w:t xml:space="preserve"> </w:t>
      </w:r>
    </w:p>
    <w:p w:rsidR="00000000" w:rsidDel="00000000" w:rsidP="00000000" w:rsidRDefault="00000000" w:rsidRPr="00000000" w14:paraId="000000C0">
      <w:pPr>
        <w:spacing w:after="240" w:before="240" w:line="360" w:lineRule="auto"/>
        <w:jc w:val="both"/>
        <w:rPr>
          <w:sz w:val="18"/>
          <w:szCs w:val="18"/>
        </w:rPr>
      </w:pPr>
      <w:r w:rsidDel="00000000" w:rsidR="00000000" w:rsidRPr="00000000">
        <w:rPr>
          <w:sz w:val="18"/>
          <w:szCs w:val="18"/>
          <w:rtl w:val="0"/>
        </w:rPr>
        <w:t xml:space="preserve">Pathogen relative frequency summarized in seven biologically relevant groups and “others” in 104 non-diabetic, 75 pre-diabetic, and 54 diabetic patients based on available HbA1c data (see methods). n.d.: not detected.</w:t>
      </w:r>
    </w:p>
    <w:p w:rsidR="00000000" w:rsidDel="00000000" w:rsidP="00000000" w:rsidRDefault="00000000" w:rsidRPr="00000000" w14:paraId="000000C1">
      <w:pPr>
        <w:spacing w:after="240" w:before="240" w:line="360" w:lineRule="auto"/>
        <w:jc w:val="both"/>
        <w:rPr>
          <w:sz w:val="18"/>
          <w:szCs w:val="18"/>
        </w:rPr>
      </w:pPr>
      <w:r w:rsidDel="00000000" w:rsidR="00000000" w:rsidRPr="00000000">
        <w:rPr>
          <w:rtl w:val="0"/>
        </w:rPr>
      </w:r>
    </w:p>
    <w:p w:rsidR="00000000" w:rsidDel="00000000" w:rsidP="00000000" w:rsidRDefault="00000000" w:rsidRPr="00000000" w14:paraId="000000C2">
      <w:pPr>
        <w:spacing w:after="240" w:before="240" w:line="360" w:lineRule="auto"/>
        <w:jc w:val="both"/>
        <w:rPr>
          <w:rFonts w:ascii="Roboto" w:cs="Roboto" w:eastAsia="Roboto" w:hAnsi="Roboto"/>
          <w:color w:val="444746"/>
          <w:sz w:val="21"/>
          <w:szCs w:val="21"/>
        </w:rPr>
      </w:pPr>
      <w:r w:rsidDel="00000000" w:rsidR="00000000" w:rsidRPr="00000000">
        <w:rPr>
          <w:rtl w:val="0"/>
        </w:rPr>
      </w:r>
    </w:p>
    <w:sectPr>
      <w:footerReference r:id="rId10" w:type="default"/>
      <w:pgSz w:h="16834" w:w="11909" w:orient="portrait"/>
      <w:pgMar w:bottom="1701" w:top="1701" w:left="1701" w:right="1701" w:header="720" w:footer="720"/>
      <w:lnNumType w:countBy="1" w:start="0" w:restart="continuous"/>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paragraph" w:styleId="Kopfzeile">
    <w:name w:val="header"/>
    <w:basedOn w:val="Standard"/>
    <w:link w:val="KopfzeileZchn"/>
    <w:uiPriority w:val="99"/>
    <w:unhideWhenUsed w:val="1"/>
    <w:rsid w:val="00702E95"/>
    <w:pPr>
      <w:tabs>
        <w:tab w:val="center" w:pos="4536"/>
        <w:tab w:val="right" w:pos="9072"/>
      </w:tabs>
      <w:spacing w:line="240" w:lineRule="auto"/>
    </w:pPr>
  </w:style>
  <w:style w:type="character" w:styleId="KopfzeileZchn" w:customStyle="1">
    <w:name w:val="Kopfzeile Zchn"/>
    <w:basedOn w:val="Absatz-Standardschriftart"/>
    <w:link w:val="Kopfzeile"/>
    <w:uiPriority w:val="99"/>
    <w:rsid w:val="00702E95"/>
  </w:style>
  <w:style w:type="paragraph" w:styleId="Fuzeile">
    <w:name w:val="footer"/>
    <w:basedOn w:val="Standard"/>
    <w:link w:val="FuzeileZchn"/>
    <w:uiPriority w:val="99"/>
    <w:unhideWhenUsed w:val="1"/>
    <w:rsid w:val="00702E95"/>
    <w:pPr>
      <w:tabs>
        <w:tab w:val="center" w:pos="4536"/>
        <w:tab w:val="right" w:pos="9072"/>
      </w:tabs>
      <w:spacing w:line="240" w:lineRule="auto"/>
    </w:pPr>
  </w:style>
  <w:style w:type="character" w:styleId="FuzeileZchn" w:customStyle="1">
    <w:name w:val="Fußzeile Zchn"/>
    <w:basedOn w:val="Absatz-Standardschriftart"/>
    <w:link w:val="Fuzeile"/>
    <w:uiPriority w:val="99"/>
    <w:rsid w:val="00702E95"/>
  </w:style>
  <w:style w:type="character" w:styleId="Zeilennummer">
    <w:name w:val="line number"/>
    <w:basedOn w:val="Absatz-Standardschriftart"/>
    <w:uiPriority w:val="99"/>
    <w:semiHidden w:val="1"/>
    <w:unhideWhenUsed w:val="1"/>
    <w:rsid w:val="003B4176"/>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ruy5d9JrPCYtjFkKISjxOA1bYg==">CgMxLjAyDmguc3d2OWNlcjRhNHhrMg5oLnhkbjhvOGtjM3l6eTIOaC54ZjJxYXRyNHhlbWoyDmgubWdvZjZldHA5MDl4Mg5oLmxmamRpc3o1eDBqYTIOaC5rYWtkeTBqYXhkYnU4AHIhMXFKS05WMTNBcnpYSmpIZmt2UGllNFFBbk5qaDRoUllm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2025-07-25T13:53:00Z</dcterms:created>
  <dc:creator>Thibeault, Charlotte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0x010100E4A34C7845C88B4589819AB139DE35DD</vt:lpwstr>
  </property>
</Properties>
</file>