
<file path=[Content_Types].xml><?xml version="1.0" encoding="utf-8"?>
<Types xmlns="http://schemas.openxmlformats.org/package/2006/content-types">
  <Default Extension="rels" ContentType="application/vnd.openxmlformats-package.relationships+xml"/>
  <Default Extension="tif" ContentType="image/tiff"/>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2.xml" ContentType="application/vnd.openxmlformats-officedocument.themeOverrid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D496A2" w14:textId="77777777" w:rsidR="00BF3F08" w:rsidRDefault="00BF3F08" w:rsidP="00BF3F08">
      <w:pPr>
        <w:rPr>
          <w:b/>
          <w:lang w:val="en-US"/>
        </w:rPr>
      </w:pPr>
      <w:r>
        <w:rPr>
          <w:b/>
          <w:lang w:val="en-US"/>
        </w:rPr>
        <w:t>Appendix</w:t>
      </w:r>
    </w:p>
    <w:p w14:paraId="7FA39087" w14:textId="77777777" w:rsidR="00BF3F08" w:rsidRPr="00B83D06" w:rsidRDefault="00BF3F08" w:rsidP="00BF3F08">
      <w:pPr>
        <w:keepNext/>
        <w:spacing w:after="0" w:line="240" w:lineRule="auto"/>
      </w:pPr>
      <w:r w:rsidRPr="00B83D06">
        <w:rPr>
          <w:noProof/>
        </w:rPr>
        <w:drawing>
          <wp:inline distT="0" distB="0" distL="0" distR="0" wp14:anchorId="23BD6C65" wp14:editId="34F41D68">
            <wp:extent cx="5760720" cy="2973788"/>
            <wp:effectExtent l="0" t="0" r="0" b="0"/>
            <wp:docPr id="2" name="Diagramm 2">
              <a:extLst xmlns:a="http://schemas.openxmlformats.org/drawingml/2006/main">
                <a:ext uri="{FF2B5EF4-FFF2-40B4-BE49-F238E27FC236}">
                  <a16:creationId xmlns:a16="http://schemas.microsoft.com/office/drawing/2014/main" id="{A7A08ADD-E669-40A3-8B6F-E4CB4489929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
              </a:graphicData>
            </a:graphic>
          </wp:inline>
        </w:drawing>
      </w:r>
    </w:p>
    <w:p w14:paraId="40EC766A" w14:textId="77777777" w:rsidR="00BF3F08" w:rsidRPr="00B83D06" w:rsidRDefault="00BF3F08" w:rsidP="00BF3F08">
      <w:pPr>
        <w:spacing w:after="0" w:line="240" w:lineRule="auto"/>
        <w:rPr>
          <w:b/>
          <w:iCs/>
          <w:sz w:val="20"/>
          <w:szCs w:val="18"/>
          <w:lang w:val="en-US"/>
        </w:rPr>
      </w:pPr>
      <w:r w:rsidRPr="00B83D06">
        <w:rPr>
          <w:b/>
          <w:iCs/>
          <w:sz w:val="20"/>
          <w:szCs w:val="18"/>
          <w:lang w:val="en-US"/>
        </w:rPr>
        <w:t>Figure A</w:t>
      </w:r>
      <w:r w:rsidRPr="00B83D06">
        <w:rPr>
          <w:b/>
          <w:iCs/>
          <w:sz w:val="20"/>
          <w:szCs w:val="18"/>
        </w:rPr>
        <w:fldChar w:fldCharType="begin"/>
      </w:r>
      <w:r w:rsidRPr="00B83D06">
        <w:rPr>
          <w:b/>
          <w:iCs/>
          <w:sz w:val="20"/>
          <w:szCs w:val="18"/>
          <w:lang w:val="en-US"/>
        </w:rPr>
        <w:instrText xml:space="preserve"> SEQ Figure \* ARABIC </w:instrText>
      </w:r>
      <w:r w:rsidRPr="00B83D06">
        <w:rPr>
          <w:b/>
          <w:iCs/>
          <w:sz w:val="20"/>
          <w:szCs w:val="18"/>
        </w:rPr>
        <w:fldChar w:fldCharType="separate"/>
      </w:r>
      <w:r w:rsidRPr="00B83D06">
        <w:rPr>
          <w:b/>
          <w:iCs/>
          <w:noProof/>
          <w:sz w:val="20"/>
          <w:szCs w:val="18"/>
          <w:lang w:val="en-US"/>
        </w:rPr>
        <w:t>1</w:t>
      </w:r>
      <w:r w:rsidRPr="00B83D06">
        <w:rPr>
          <w:b/>
          <w:iCs/>
          <w:sz w:val="20"/>
          <w:szCs w:val="18"/>
        </w:rPr>
        <w:fldChar w:fldCharType="end"/>
      </w:r>
      <w:r w:rsidRPr="00B83D06">
        <w:rPr>
          <w:b/>
          <w:iCs/>
          <w:sz w:val="20"/>
          <w:szCs w:val="18"/>
          <w:lang w:val="en-US"/>
        </w:rPr>
        <w:t>: Sample distribution by household income compared to German population averages (N = 637)</w:t>
      </w:r>
    </w:p>
    <w:p w14:paraId="4A87A596" w14:textId="77777777" w:rsidR="00BF3F08" w:rsidRPr="00B83D06" w:rsidRDefault="00BF3F08" w:rsidP="00BF3F08">
      <w:pPr>
        <w:keepNext/>
        <w:spacing w:after="0" w:line="240" w:lineRule="auto"/>
      </w:pPr>
      <w:r w:rsidRPr="00B83D06">
        <w:rPr>
          <w:noProof/>
        </w:rPr>
        <w:drawing>
          <wp:inline distT="0" distB="0" distL="0" distR="0" wp14:anchorId="1418F9E6" wp14:editId="1D379B3D">
            <wp:extent cx="5760720" cy="4142630"/>
            <wp:effectExtent l="0" t="0" r="0" b="0"/>
            <wp:docPr id="3" name="Diagramm 3">
              <a:extLst xmlns:a="http://schemas.openxmlformats.org/drawingml/2006/main">
                <a:ext uri="{FF2B5EF4-FFF2-40B4-BE49-F238E27FC236}">
                  <a16:creationId xmlns:a16="http://schemas.microsoft.com/office/drawing/2014/main" id="{12426CEC-5295-4539-A200-036204DBD46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14:paraId="50E8469B" w14:textId="77777777" w:rsidR="00BF3F08" w:rsidRPr="00B83D06" w:rsidRDefault="00BF3F08" w:rsidP="00BF3F08">
      <w:pPr>
        <w:spacing w:after="0" w:line="240" w:lineRule="auto"/>
        <w:rPr>
          <w:b/>
          <w:iCs/>
          <w:sz w:val="20"/>
          <w:szCs w:val="18"/>
          <w:lang w:val="en-US"/>
        </w:rPr>
      </w:pPr>
      <w:r w:rsidRPr="00B83D06">
        <w:rPr>
          <w:b/>
          <w:iCs/>
          <w:sz w:val="20"/>
          <w:szCs w:val="18"/>
          <w:lang w:val="en-US"/>
        </w:rPr>
        <w:t>Figure A</w:t>
      </w:r>
      <w:r w:rsidRPr="00B83D06">
        <w:rPr>
          <w:b/>
          <w:iCs/>
          <w:sz w:val="20"/>
          <w:szCs w:val="18"/>
        </w:rPr>
        <w:fldChar w:fldCharType="begin"/>
      </w:r>
      <w:r w:rsidRPr="00B83D06">
        <w:rPr>
          <w:b/>
          <w:iCs/>
          <w:sz w:val="20"/>
          <w:szCs w:val="18"/>
          <w:lang w:val="en-US"/>
        </w:rPr>
        <w:instrText xml:space="preserve"> SEQ Figure \* ARABIC </w:instrText>
      </w:r>
      <w:r w:rsidRPr="00B83D06">
        <w:rPr>
          <w:b/>
          <w:iCs/>
          <w:sz w:val="20"/>
          <w:szCs w:val="18"/>
        </w:rPr>
        <w:fldChar w:fldCharType="separate"/>
      </w:r>
      <w:r w:rsidRPr="00B83D06">
        <w:rPr>
          <w:b/>
          <w:iCs/>
          <w:noProof/>
          <w:sz w:val="20"/>
          <w:szCs w:val="18"/>
          <w:lang w:val="en-US"/>
        </w:rPr>
        <w:t>2</w:t>
      </w:r>
      <w:r w:rsidRPr="00B83D06">
        <w:rPr>
          <w:b/>
          <w:iCs/>
          <w:sz w:val="20"/>
          <w:szCs w:val="18"/>
        </w:rPr>
        <w:fldChar w:fldCharType="end"/>
      </w:r>
      <w:r w:rsidRPr="00B83D06">
        <w:rPr>
          <w:b/>
          <w:iCs/>
          <w:sz w:val="20"/>
          <w:szCs w:val="18"/>
          <w:lang w:val="en-US"/>
        </w:rPr>
        <w:t>: Sample distribution by federal state compared to German population averages (N = 637)</w:t>
      </w:r>
    </w:p>
    <w:p w14:paraId="79E97D59" w14:textId="77777777" w:rsidR="00BF3F08" w:rsidRPr="00B83D06" w:rsidRDefault="00BF3F08" w:rsidP="00BF3F08">
      <w:pPr>
        <w:spacing w:line="360" w:lineRule="auto"/>
        <w:rPr>
          <w:lang w:val="en-US"/>
        </w:rPr>
      </w:pPr>
      <w:r w:rsidRPr="00B83D06">
        <w:rPr>
          <w:lang w:val="en-US"/>
        </w:rPr>
        <w:br w:type="page"/>
      </w:r>
    </w:p>
    <w:p w14:paraId="0D7AC5C2" w14:textId="77777777" w:rsidR="00BF3F08" w:rsidRPr="00B83D06" w:rsidRDefault="00BF3F08" w:rsidP="00BF3F08">
      <w:pPr>
        <w:spacing w:line="360" w:lineRule="auto"/>
        <w:rPr>
          <w:lang w:val="en-US"/>
        </w:rPr>
      </w:pPr>
      <w:r w:rsidRPr="00B83D06">
        <w:rPr>
          <w:lang w:val="en-US"/>
        </w:rPr>
        <w:lastRenderedPageBreak/>
        <w:t>Figures A3 and A4 present the scree plot of eigenvalues and parallel analysis results, which support the three-factor solution. The Kaiser criterion (eigenvalues &gt; 1), scree plot inspection, and parallel analysis consistently suggest a three-factor solution. The scree plot shows a clear elbow after the third component, with the first three factors having eigenvalues above 1 (left). This is further supported by the parallel analysis (right), where the observed eigenvalues exceed the random eigenvalues for the first three components, while subsequent components fall below the random data line.</w:t>
      </w:r>
    </w:p>
    <w:p w14:paraId="3A0151DC" w14:textId="77777777" w:rsidR="00BF3F08" w:rsidRPr="00B83D06" w:rsidRDefault="00BF3F08" w:rsidP="00BF3F08">
      <w:pPr>
        <w:keepNext/>
        <w:spacing w:after="0" w:line="240" w:lineRule="auto"/>
      </w:pPr>
      <w:r w:rsidRPr="00B83D06">
        <w:rPr>
          <w:b/>
          <w:noProof/>
          <w:lang w:val="en-US"/>
        </w:rPr>
        <w:drawing>
          <wp:inline distT="0" distB="0" distL="0" distR="0" wp14:anchorId="794B2CDA" wp14:editId="295E2C8B">
            <wp:extent cx="4333461" cy="3155516"/>
            <wp:effectExtent l="0" t="0" r="0" b="6985"/>
            <wp:docPr id="9" name="Grafik 9" descr="A graph with a l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Grafik 9" descr="A graph with a line&#10;&#10;AI-generated content may be incorrect."/>
                    <pic:cNvPicPr/>
                  </pic:nvPicPr>
                  <pic:blipFill>
                    <a:blip r:embed="rId6">
                      <a:extLst>
                        <a:ext uri="{28A0092B-C50C-407E-A947-70E740481C1C}">
                          <a14:useLocalDpi xmlns:a14="http://schemas.microsoft.com/office/drawing/2010/main" val="0"/>
                        </a:ext>
                      </a:extLst>
                    </a:blip>
                    <a:stretch>
                      <a:fillRect/>
                    </a:stretch>
                  </pic:blipFill>
                  <pic:spPr>
                    <a:xfrm>
                      <a:off x="0" y="0"/>
                      <a:ext cx="4351750" cy="3168834"/>
                    </a:xfrm>
                    <a:prstGeom prst="rect">
                      <a:avLst/>
                    </a:prstGeom>
                  </pic:spPr>
                </pic:pic>
              </a:graphicData>
            </a:graphic>
          </wp:inline>
        </w:drawing>
      </w:r>
    </w:p>
    <w:p w14:paraId="5FAE291B" w14:textId="77777777" w:rsidR="00BF3F08" w:rsidRPr="00B83D06" w:rsidRDefault="00BF3F08" w:rsidP="00BF3F08">
      <w:pPr>
        <w:spacing w:after="0" w:line="240" w:lineRule="auto"/>
        <w:rPr>
          <w:b/>
          <w:iCs/>
          <w:sz w:val="20"/>
          <w:szCs w:val="18"/>
        </w:rPr>
      </w:pPr>
      <w:r w:rsidRPr="00B83D06">
        <w:rPr>
          <w:b/>
          <w:iCs/>
          <w:sz w:val="20"/>
          <w:szCs w:val="18"/>
        </w:rPr>
        <w:t>Figure A3: Scree plot</w:t>
      </w:r>
    </w:p>
    <w:p w14:paraId="376BD5E3" w14:textId="77777777" w:rsidR="00BF3F08" w:rsidRPr="00B83D06" w:rsidRDefault="00BF3F08" w:rsidP="00BF3F08">
      <w:pPr>
        <w:spacing w:line="360" w:lineRule="auto"/>
      </w:pPr>
    </w:p>
    <w:p w14:paraId="3EF94094" w14:textId="77777777" w:rsidR="00BF3F08" w:rsidRPr="00B83D06" w:rsidRDefault="00BF3F08" w:rsidP="00BF3F08">
      <w:pPr>
        <w:keepNext/>
        <w:spacing w:after="0" w:line="240" w:lineRule="auto"/>
      </w:pPr>
      <w:r w:rsidRPr="00B83D06">
        <w:rPr>
          <w:b/>
          <w:noProof/>
          <w:lang w:val="en-US"/>
        </w:rPr>
        <w:drawing>
          <wp:inline distT="0" distB="0" distL="0" distR="0" wp14:anchorId="50CD8EDB" wp14:editId="665E2B87">
            <wp:extent cx="4333240" cy="3155355"/>
            <wp:effectExtent l="0" t="0" r="0" b="6985"/>
            <wp:docPr id="8" name="Grafik 8" descr="A graph of a func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rafik 8" descr="A graph of a function&#10;&#10;AI-generated content may be incorrect."/>
                    <pic:cNvPicPr/>
                  </pic:nvPicPr>
                  <pic:blipFill>
                    <a:blip r:embed="rId7">
                      <a:extLst>
                        <a:ext uri="{28A0092B-C50C-407E-A947-70E740481C1C}">
                          <a14:useLocalDpi xmlns:a14="http://schemas.microsoft.com/office/drawing/2010/main" val="0"/>
                        </a:ext>
                      </a:extLst>
                    </a:blip>
                    <a:stretch>
                      <a:fillRect/>
                    </a:stretch>
                  </pic:blipFill>
                  <pic:spPr>
                    <a:xfrm>
                      <a:off x="0" y="0"/>
                      <a:ext cx="4350450" cy="3167887"/>
                    </a:xfrm>
                    <a:prstGeom prst="rect">
                      <a:avLst/>
                    </a:prstGeom>
                  </pic:spPr>
                </pic:pic>
              </a:graphicData>
            </a:graphic>
          </wp:inline>
        </w:drawing>
      </w:r>
    </w:p>
    <w:p w14:paraId="7B2F42CE" w14:textId="77777777" w:rsidR="00BF3F08" w:rsidRPr="00B83D06" w:rsidRDefault="00BF3F08" w:rsidP="00BF3F08">
      <w:pPr>
        <w:spacing w:after="0" w:line="240" w:lineRule="auto"/>
        <w:rPr>
          <w:b/>
          <w:iCs/>
          <w:sz w:val="20"/>
          <w:szCs w:val="18"/>
        </w:rPr>
      </w:pPr>
      <w:r w:rsidRPr="00B83D06">
        <w:rPr>
          <w:b/>
          <w:iCs/>
          <w:sz w:val="20"/>
          <w:szCs w:val="18"/>
        </w:rPr>
        <w:t>Figure A4: Parallel Analysis</w:t>
      </w:r>
    </w:p>
    <w:p w14:paraId="5F22DF41" w14:textId="77777777" w:rsidR="00BF3F08" w:rsidRPr="00B83D06" w:rsidRDefault="00BF3F08" w:rsidP="00BF3F08">
      <w:pPr>
        <w:spacing w:line="360" w:lineRule="auto"/>
      </w:pPr>
    </w:p>
    <w:p w14:paraId="57DBBBB8" w14:textId="77777777" w:rsidR="00BF3F08" w:rsidRPr="00272CAA" w:rsidRDefault="00BF3F08" w:rsidP="00BF3F08">
      <w:pPr>
        <w:rPr>
          <w:b/>
          <w:lang w:val="en-US"/>
        </w:rPr>
      </w:pPr>
    </w:p>
    <w:p w14:paraId="063476F9" w14:textId="77777777" w:rsidR="00865217" w:rsidRDefault="00865217"/>
    <w:sectPr w:rsidR="00865217" w:rsidSect="00BF3F08">
      <w:footerReference w:type="default" r:id="rId8"/>
      <w:pgSz w:w="11906" w:h="16838"/>
      <w:pgMar w:top="1417" w:right="1417" w:bottom="1134" w:left="1417"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28584952"/>
      <w:docPartObj>
        <w:docPartGallery w:val="Page Numbers (Bottom of Page)"/>
        <w:docPartUnique/>
      </w:docPartObj>
    </w:sdtPr>
    <w:sdtContent>
      <w:p w14:paraId="6586AC4A" w14:textId="77777777" w:rsidR="00000000" w:rsidRDefault="00000000">
        <w:pPr>
          <w:pStyle w:val="Footer"/>
          <w:jc w:val="right"/>
        </w:pPr>
        <w:r>
          <w:fldChar w:fldCharType="begin"/>
        </w:r>
        <w:r>
          <w:instrText>PAGE   \* MERGEFORMAT</w:instrText>
        </w:r>
        <w:r>
          <w:fldChar w:fldCharType="separate"/>
        </w:r>
        <w:r>
          <w:t>2</w:t>
        </w:r>
        <w:r>
          <w:fldChar w:fldCharType="end"/>
        </w:r>
      </w:p>
    </w:sdtContent>
  </w:sdt>
  <w:p w14:paraId="7A8C6F6A" w14:textId="77777777" w:rsidR="00000000" w:rsidRDefault="00000000">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3F08"/>
    <w:rsid w:val="00264D98"/>
    <w:rsid w:val="002E281E"/>
    <w:rsid w:val="003201BB"/>
    <w:rsid w:val="00865217"/>
    <w:rsid w:val="00BF3F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AD7738"/>
  <w15:chartTrackingRefBased/>
  <w15:docId w15:val="{01509564-FC44-46EE-987D-64B65B25F0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F3F08"/>
    <w:pPr>
      <w:spacing w:line="480" w:lineRule="auto"/>
      <w:jc w:val="both"/>
    </w:pPr>
    <w:rPr>
      <w:rFonts w:ascii="Times New Roman" w:hAnsi="Times New Roman"/>
      <w:kern w:val="0"/>
      <w:sz w:val="22"/>
      <w:szCs w:val="22"/>
      <w:lang w:val="de-DE"/>
      <w14:ligatures w14:val="none"/>
    </w:rPr>
  </w:style>
  <w:style w:type="paragraph" w:styleId="Heading1">
    <w:name w:val="heading 1"/>
    <w:basedOn w:val="Normal"/>
    <w:next w:val="Normal"/>
    <w:link w:val="Heading1Char"/>
    <w:uiPriority w:val="9"/>
    <w:qFormat/>
    <w:rsid w:val="00BF3F08"/>
    <w:pPr>
      <w:keepNext/>
      <w:keepLines/>
      <w:spacing w:before="360" w:after="80" w:line="278" w:lineRule="auto"/>
      <w:jc w:val="left"/>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BF3F08"/>
    <w:pPr>
      <w:keepNext/>
      <w:keepLines/>
      <w:spacing w:before="160" w:after="80" w:line="278" w:lineRule="auto"/>
      <w:jc w:val="left"/>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BF3F08"/>
    <w:pPr>
      <w:keepNext/>
      <w:keepLines/>
      <w:spacing w:before="160" w:after="80" w:line="278" w:lineRule="auto"/>
      <w:jc w:val="left"/>
      <w:outlineLvl w:val="2"/>
    </w:pPr>
    <w:rPr>
      <w:rFonts w:asciiTheme="minorHAnsi" w:eastAsiaTheme="majorEastAsia" w:hAnsiTheme="minorHAnsi"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BF3F08"/>
    <w:pPr>
      <w:keepNext/>
      <w:keepLines/>
      <w:spacing w:before="80" w:after="40" w:line="278" w:lineRule="auto"/>
      <w:jc w:val="left"/>
      <w:outlineLvl w:val="3"/>
    </w:pPr>
    <w:rPr>
      <w:rFonts w:asciiTheme="minorHAnsi" w:eastAsiaTheme="majorEastAsia" w:hAnsiTheme="minorHAnsi" w:cstheme="majorBidi"/>
      <w:i/>
      <w:iCs/>
      <w:color w:val="0F4761" w:themeColor="accent1" w:themeShade="BF"/>
      <w:kern w:val="2"/>
      <w:sz w:val="24"/>
      <w:szCs w:val="24"/>
      <w:lang w:val="en-US"/>
      <w14:ligatures w14:val="standardContextual"/>
    </w:rPr>
  </w:style>
  <w:style w:type="paragraph" w:styleId="Heading5">
    <w:name w:val="heading 5"/>
    <w:basedOn w:val="Normal"/>
    <w:next w:val="Normal"/>
    <w:link w:val="Heading5Char"/>
    <w:uiPriority w:val="9"/>
    <w:semiHidden/>
    <w:unhideWhenUsed/>
    <w:qFormat/>
    <w:rsid w:val="00BF3F08"/>
    <w:pPr>
      <w:keepNext/>
      <w:keepLines/>
      <w:spacing w:before="80" w:after="40" w:line="278" w:lineRule="auto"/>
      <w:jc w:val="left"/>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paragraph" w:styleId="Heading6">
    <w:name w:val="heading 6"/>
    <w:basedOn w:val="Normal"/>
    <w:next w:val="Normal"/>
    <w:link w:val="Heading6Char"/>
    <w:uiPriority w:val="9"/>
    <w:semiHidden/>
    <w:unhideWhenUsed/>
    <w:qFormat/>
    <w:rsid w:val="00BF3F08"/>
    <w:pPr>
      <w:keepNext/>
      <w:keepLines/>
      <w:spacing w:before="40" w:after="0" w:line="278" w:lineRule="auto"/>
      <w:jc w:val="left"/>
      <w:outlineLvl w:val="5"/>
    </w:pPr>
    <w:rPr>
      <w:rFonts w:asciiTheme="minorHAnsi" w:eastAsiaTheme="majorEastAsia" w:hAnsiTheme="minorHAnsi" w:cstheme="majorBidi"/>
      <w:i/>
      <w:iCs/>
      <w:color w:val="595959" w:themeColor="text1" w:themeTint="A6"/>
      <w:kern w:val="2"/>
      <w:sz w:val="24"/>
      <w:szCs w:val="24"/>
      <w:lang w:val="en-US"/>
      <w14:ligatures w14:val="standardContextual"/>
    </w:rPr>
  </w:style>
  <w:style w:type="paragraph" w:styleId="Heading7">
    <w:name w:val="heading 7"/>
    <w:basedOn w:val="Normal"/>
    <w:next w:val="Normal"/>
    <w:link w:val="Heading7Char"/>
    <w:uiPriority w:val="9"/>
    <w:semiHidden/>
    <w:unhideWhenUsed/>
    <w:qFormat/>
    <w:rsid w:val="00BF3F08"/>
    <w:pPr>
      <w:keepNext/>
      <w:keepLines/>
      <w:spacing w:before="40" w:after="0" w:line="278" w:lineRule="auto"/>
      <w:jc w:val="left"/>
      <w:outlineLvl w:val="6"/>
    </w:pPr>
    <w:rPr>
      <w:rFonts w:asciiTheme="minorHAnsi" w:eastAsiaTheme="majorEastAsia" w:hAnsiTheme="minorHAnsi" w:cstheme="majorBidi"/>
      <w:color w:val="595959" w:themeColor="text1" w:themeTint="A6"/>
      <w:kern w:val="2"/>
      <w:sz w:val="24"/>
      <w:szCs w:val="24"/>
      <w:lang w:val="en-US"/>
      <w14:ligatures w14:val="standardContextual"/>
    </w:rPr>
  </w:style>
  <w:style w:type="paragraph" w:styleId="Heading8">
    <w:name w:val="heading 8"/>
    <w:basedOn w:val="Normal"/>
    <w:next w:val="Normal"/>
    <w:link w:val="Heading8Char"/>
    <w:uiPriority w:val="9"/>
    <w:semiHidden/>
    <w:unhideWhenUsed/>
    <w:qFormat/>
    <w:rsid w:val="00BF3F08"/>
    <w:pPr>
      <w:keepNext/>
      <w:keepLines/>
      <w:spacing w:after="0" w:line="278" w:lineRule="auto"/>
      <w:jc w:val="left"/>
      <w:outlineLvl w:val="7"/>
    </w:pPr>
    <w:rPr>
      <w:rFonts w:asciiTheme="minorHAnsi" w:eastAsiaTheme="majorEastAsia" w:hAnsiTheme="minorHAnsi" w:cstheme="majorBidi"/>
      <w:i/>
      <w:iCs/>
      <w:color w:val="272727" w:themeColor="text1" w:themeTint="D8"/>
      <w:kern w:val="2"/>
      <w:sz w:val="24"/>
      <w:szCs w:val="24"/>
      <w:lang w:val="en-US"/>
      <w14:ligatures w14:val="standardContextual"/>
    </w:rPr>
  </w:style>
  <w:style w:type="paragraph" w:styleId="Heading9">
    <w:name w:val="heading 9"/>
    <w:basedOn w:val="Normal"/>
    <w:next w:val="Normal"/>
    <w:link w:val="Heading9Char"/>
    <w:uiPriority w:val="9"/>
    <w:semiHidden/>
    <w:unhideWhenUsed/>
    <w:qFormat/>
    <w:rsid w:val="00BF3F08"/>
    <w:pPr>
      <w:keepNext/>
      <w:keepLines/>
      <w:spacing w:after="0" w:line="278" w:lineRule="auto"/>
      <w:jc w:val="left"/>
      <w:outlineLvl w:val="8"/>
    </w:pPr>
    <w:rPr>
      <w:rFonts w:asciiTheme="minorHAnsi" w:eastAsiaTheme="majorEastAsia" w:hAnsiTheme="minorHAnsi" w:cstheme="majorBidi"/>
      <w:color w:val="272727" w:themeColor="text1" w:themeTint="D8"/>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F3F0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F3F0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F3F0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F3F0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F3F0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F3F0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F3F0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F3F0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F3F08"/>
    <w:rPr>
      <w:rFonts w:eastAsiaTheme="majorEastAsia" w:cstheme="majorBidi"/>
      <w:color w:val="272727" w:themeColor="text1" w:themeTint="D8"/>
    </w:rPr>
  </w:style>
  <w:style w:type="paragraph" w:styleId="Title">
    <w:name w:val="Title"/>
    <w:basedOn w:val="Normal"/>
    <w:next w:val="Normal"/>
    <w:link w:val="TitleChar"/>
    <w:uiPriority w:val="10"/>
    <w:qFormat/>
    <w:rsid w:val="00BF3F08"/>
    <w:pPr>
      <w:spacing w:after="80" w:line="240" w:lineRule="auto"/>
      <w:contextualSpacing/>
      <w:jc w:val="left"/>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BF3F0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F3F08"/>
    <w:pPr>
      <w:numPr>
        <w:ilvl w:val="1"/>
      </w:numPr>
      <w:spacing w:line="278" w:lineRule="auto"/>
      <w:jc w:val="left"/>
    </w:pPr>
    <w:rPr>
      <w:rFonts w:asciiTheme="minorHAnsi" w:eastAsiaTheme="majorEastAsia" w:hAnsiTheme="minorHAnsi"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BF3F0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F3F08"/>
    <w:pPr>
      <w:spacing w:before="160" w:line="278" w:lineRule="auto"/>
      <w:jc w:val="center"/>
    </w:pPr>
    <w:rPr>
      <w:rFonts w:asciiTheme="minorHAnsi" w:hAnsiTheme="minorHAnsi"/>
      <w:i/>
      <w:iCs/>
      <w:color w:val="404040" w:themeColor="text1" w:themeTint="BF"/>
      <w:kern w:val="2"/>
      <w:sz w:val="24"/>
      <w:szCs w:val="24"/>
      <w:lang w:val="en-US"/>
      <w14:ligatures w14:val="standardContextual"/>
    </w:rPr>
  </w:style>
  <w:style w:type="character" w:customStyle="1" w:styleId="QuoteChar">
    <w:name w:val="Quote Char"/>
    <w:basedOn w:val="DefaultParagraphFont"/>
    <w:link w:val="Quote"/>
    <w:uiPriority w:val="29"/>
    <w:rsid w:val="00BF3F08"/>
    <w:rPr>
      <w:i/>
      <w:iCs/>
      <w:color w:val="404040" w:themeColor="text1" w:themeTint="BF"/>
    </w:rPr>
  </w:style>
  <w:style w:type="paragraph" w:styleId="ListParagraph">
    <w:name w:val="List Paragraph"/>
    <w:basedOn w:val="Normal"/>
    <w:uiPriority w:val="34"/>
    <w:qFormat/>
    <w:rsid w:val="00BF3F08"/>
    <w:pPr>
      <w:spacing w:line="278" w:lineRule="auto"/>
      <w:ind w:left="720"/>
      <w:contextualSpacing/>
      <w:jc w:val="left"/>
    </w:pPr>
    <w:rPr>
      <w:rFonts w:asciiTheme="minorHAnsi" w:hAnsiTheme="minorHAnsi"/>
      <w:kern w:val="2"/>
      <w:sz w:val="24"/>
      <w:szCs w:val="24"/>
      <w:lang w:val="en-US"/>
      <w14:ligatures w14:val="standardContextual"/>
    </w:rPr>
  </w:style>
  <w:style w:type="character" w:styleId="IntenseEmphasis">
    <w:name w:val="Intense Emphasis"/>
    <w:basedOn w:val="DefaultParagraphFont"/>
    <w:uiPriority w:val="21"/>
    <w:qFormat/>
    <w:rsid w:val="00BF3F08"/>
    <w:rPr>
      <w:i/>
      <w:iCs/>
      <w:color w:val="0F4761" w:themeColor="accent1" w:themeShade="BF"/>
    </w:rPr>
  </w:style>
  <w:style w:type="paragraph" w:styleId="IntenseQuote">
    <w:name w:val="Intense Quote"/>
    <w:basedOn w:val="Normal"/>
    <w:next w:val="Normal"/>
    <w:link w:val="IntenseQuoteChar"/>
    <w:uiPriority w:val="30"/>
    <w:qFormat/>
    <w:rsid w:val="00BF3F08"/>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hAnsiTheme="minorHAnsi"/>
      <w:i/>
      <w:iCs/>
      <w:color w:val="0F4761" w:themeColor="accent1" w:themeShade="BF"/>
      <w:kern w:val="2"/>
      <w:sz w:val="24"/>
      <w:szCs w:val="24"/>
      <w:lang w:val="en-US"/>
      <w14:ligatures w14:val="standardContextual"/>
    </w:rPr>
  </w:style>
  <w:style w:type="character" w:customStyle="1" w:styleId="IntenseQuoteChar">
    <w:name w:val="Intense Quote Char"/>
    <w:basedOn w:val="DefaultParagraphFont"/>
    <w:link w:val="IntenseQuote"/>
    <w:uiPriority w:val="30"/>
    <w:rsid w:val="00BF3F08"/>
    <w:rPr>
      <w:i/>
      <w:iCs/>
      <w:color w:val="0F4761" w:themeColor="accent1" w:themeShade="BF"/>
    </w:rPr>
  </w:style>
  <w:style w:type="character" w:styleId="IntenseReference">
    <w:name w:val="Intense Reference"/>
    <w:basedOn w:val="DefaultParagraphFont"/>
    <w:uiPriority w:val="32"/>
    <w:qFormat/>
    <w:rsid w:val="00BF3F08"/>
    <w:rPr>
      <w:b/>
      <w:bCs/>
      <w:smallCaps/>
      <w:color w:val="0F4761" w:themeColor="accent1" w:themeShade="BF"/>
      <w:spacing w:val="5"/>
    </w:rPr>
  </w:style>
  <w:style w:type="paragraph" w:styleId="Footer">
    <w:name w:val="footer"/>
    <w:basedOn w:val="Normal"/>
    <w:link w:val="FooterChar"/>
    <w:uiPriority w:val="99"/>
    <w:unhideWhenUsed/>
    <w:rsid w:val="00BF3F08"/>
    <w:pPr>
      <w:tabs>
        <w:tab w:val="center" w:pos="4536"/>
        <w:tab w:val="right" w:pos="9072"/>
      </w:tabs>
      <w:spacing w:after="0" w:line="240" w:lineRule="auto"/>
    </w:pPr>
  </w:style>
  <w:style w:type="character" w:customStyle="1" w:styleId="FooterChar">
    <w:name w:val="Footer Char"/>
    <w:basedOn w:val="DefaultParagraphFont"/>
    <w:link w:val="Footer"/>
    <w:uiPriority w:val="99"/>
    <w:rsid w:val="00BF3F08"/>
    <w:rPr>
      <w:rFonts w:ascii="Times New Roman" w:hAnsi="Times New Roman"/>
      <w:kern w:val="0"/>
      <w:sz w:val="22"/>
      <w:szCs w:val="22"/>
      <w:lang w:val="de-DE"/>
      <w14:ligatures w14:val="none"/>
    </w:rPr>
  </w:style>
  <w:style w:type="character" w:styleId="LineNumber">
    <w:name w:val="line number"/>
    <w:basedOn w:val="DefaultParagraphFont"/>
    <w:uiPriority w:val="99"/>
    <w:semiHidden/>
    <w:unhideWhenUsed/>
    <w:rsid w:val="00BF3F0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ti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Relationship Id="rId5" Type="http://schemas.openxmlformats.org/officeDocument/2006/relationships/chart" Target="charts/chart2.xml"/><Relationship Id="rId10" Type="http://schemas.openxmlformats.org/officeDocument/2006/relationships/theme" Target="theme/theme1.xml"/><Relationship Id="rId4" Type="http://schemas.openxmlformats.org/officeDocument/2006/relationships/chart" Target="charts/chart1.xml"/><Relationship Id="rId9" Type="http://schemas.openxmlformats.org/officeDocument/2006/relationships/fontTable" Target="fontTable.xml"/></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package" Target="../embeddings/Microsoft_Excel_Worksheet.xlsx"/></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package" Target="../embeddings/Microsoft_Excel_Worksheet1.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1"/>
    </mc:Choice>
    <mc:Fallback>
      <c:style val="1"/>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5.6549528531155829E-2"/>
          <c:y val="4.2194092827004218E-2"/>
          <c:w val="0.93242754377924986"/>
          <c:h val="0.7491293881705523"/>
        </c:manualLayout>
      </c:layout>
      <c:barChart>
        <c:barDir val="col"/>
        <c:grouping val="clustered"/>
        <c:varyColors val="0"/>
        <c:ser>
          <c:idx val="0"/>
          <c:order val="0"/>
          <c:tx>
            <c:strRef>
              <c:f>Repräsentativität!$J$43</c:f>
              <c:strCache>
                <c:ptCount val="1"/>
                <c:pt idx="0">
                  <c:v>Sample</c:v>
                </c:pt>
              </c:strCache>
            </c:strRef>
          </c:tx>
          <c:spPr>
            <a:solidFill>
              <a:schemeClr val="dk1">
                <a:tint val="88500"/>
              </a:schemeClr>
            </a:solidFill>
            <a:ln>
              <a:noFill/>
            </a:ln>
            <a:effectLst/>
          </c:spPr>
          <c:invertIfNegative val="0"/>
          <c:dLbls>
            <c:dLbl>
              <c:idx val="2"/>
              <c:layout>
                <c:manualLayout>
                  <c:x val="0"/>
                  <c:y val="-1.9179133103183737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191E-4C85-AA87-5CF637575DC6}"/>
                </c:ext>
              </c:extLst>
            </c:dLbl>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Repräsentativität!$I$44:$I$53</c:f>
              <c:strCache>
                <c:ptCount val="10"/>
                <c:pt idx="0">
                  <c:v>Less than 1,000 €</c:v>
                </c:pt>
                <c:pt idx="1">
                  <c:v>1,000-  1,499 €</c:v>
                </c:pt>
                <c:pt idx="2">
                  <c:v>1,500 - 1,999 €</c:v>
                </c:pt>
                <c:pt idx="3">
                  <c:v>2,000 - 2,499 €</c:v>
                </c:pt>
                <c:pt idx="4">
                  <c:v>2,500 - 2,999 €</c:v>
                </c:pt>
                <c:pt idx="5">
                  <c:v>3,000 - 3,499 €</c:v>
                </c:pt>
                <c:pt idx="6">
                  <c:v>3,500 - 3,999 €</c:v>
                </c:pt>
                <c:pt idx="7">
                  <c:v>4,000 - 4,499 €</c:v>
                </c:pt>
                <c:pt idx="8">
                  <c:v>4,500 - 4,999 €</c:v>
                </c:pt>
                <c:pt idx="9">
                  <c:v>More than 4,999 €</c:v>
                </c:pt>
              </c:strCache>
            </c:strRef>
          </c:cat>
          <c:val>
            <c:numRef>
              <c:f>Repräsentativität!$J$44:$J$53</c:f>
              <c:numCache>
                <c:formatCode>0%</c:formatCode>
                <c:ptCount val="10"/>
                <c:pt idx="0">
                  <c:v>8.0062794348508631E-2</c:v>
                </c:pt>
                <c:pt idx="1">
                  <c:v>0.14442700156985872</c:v>
                </c:pt>
                <c:pt idx="2">
                  <c:v>0.13186813186813187</c:v>
                </c:pt>
                <c:pt idx="3">
                  <c:v>0.10989010989010989</c:v>
                </c:pt>
                <c:pt idx="4">
                  <c:v>9.8901098901098897E-2</c:v>
                </c:pt>
                <c:pt idx="5">
                  <c:v>0.10832025117739404</c:v>
                </c:pt>
                <c:pt idx="6">
                  <c:v>8.6342229199372053E-2</c:v>
                </c:pt>
                <c:pt idx="7">
                  <c:v>7.6923076923076927E-2</c:v>
                </c:pt>
                <c:pt idx="8">
                  <c:v>6.2794348508634218E-2</c:v>
                </c:pt>
                <c:pt idx="9">
                  <c:v>0.10047095761381476</c:v>
                </c:pt>
              </c:numCache>
            </c:numRef>
          </c:val>
          <c:extLst>
            <c:ext xmlns:c16="http://schemas.microsoft.com/office/drawing/2014/chart" uri="{C3380CC4-5D6E-409C-BE32-E72D297353CC}">
              <c16:uniqueId val="{00000001-191E-4C85-AA87-5CF637575DC6}"/>
            </c:ext>
          </c:extLst>
        </c:ser>
        <c:ser>
          <c:idx val="1"/>
          <c:order val="1"/>
          <c:tx>
            <c:strRef>
              <c:f>Repräsentativität!$K$43</c:f>
              <c:strCache>
                <c:ptCount val="1"/>
                <c:pt idx="0">
                  <c:v>German Average</c:v>
                </c:pt>
              </c:strCache>
            </c:strRef>
          </c:tx>
          <c:spPr>
            <a:solidFill>
              <a:schemeClr val="dk1">
                <a:tint val="55000"/>
              </a:schemeClr>
            </a:solidFill>
            <a:ln>
              <a:noFill/>
            </a:ln>
            <a:effectLst/>
          </c:spPr>
          <c:invertIfNegative val="0"/>
          <c:dLbls>
            <c:dLbl>
              <c:idx val="4"/>
              <c:layout>
                <c:manualLayout>
                  <c:x val="0"/>
                  <c:y val="-2.3884682576112926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191E-4C85-AA87-5CF637575DC6}"/>
                </c:ext>
              </c:extLst>
            </c:dLbl>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Repräsentativität!$I$44:$I$53</c:f>
              <c:strCache>
                <c:ptCount val="10"/>
                <c:pt idx="0">
                  <c:v>Less than 1,000 €</c:v>
                </c:pt>
                <c:pt idx="1">
                  <c:v>1,000-  1,499 €</c:v>
                </c:pt>
                <c:pt idx="2">
                  <c:v>1,500 - 1,999 €</c:v>
                </c:pt>
                <c:pt idx="3">
                  <c:v>2,000 - 2,499 €</c:v>
                </c:pt>
                <c:pt idx="4">
                  <c:v>2,500 - 2,999 €</c:v>
                </c:pt>
                <c:pt idx="5">
                  <c:v>3,000 - 3,499 €</c:v>
                </c:pt>
                <c:pt idx="6">
                  <c:v>3,500 - 3,999 €</c:v>
                </c:pt>
                <c:pt idx="7">
                  <c:v>4,000 - 4,499 €</c:v>
                </c:pt>
                <c:pt idx="8">
                  <c:v>4,500 - 4,999 €</c:v>
                </c:pt>
                <c:pt idx="9">
                  <c:v>More than 4,999 €</c:v>
                </c:pt>
              </c:strCache>
            </c:strRef>
          </c:cat>
          <c:val>
            <c:numRef>
              <c:f>Repräsentativität!$K$44:$K$53</c:f>
              <c:numCache>
                <c:formatCode>0%</c:formatCode>
                <c:ptCount val="10"/>
                <c:pt idx="0">
                  <c:v>7.5830186852551065E-2</c:v>
                </c:pt>
                <c:pt idx="1">
                  <c:v>0.10533449511085294</c:v>
                </c:pt>
                <c:pt idx="2">
                  <c:v>0.12542356472068933</c:v>
                </c:pt>
                <c:pt idx="3">
                  <c:v>0.13210378545841805</c:v>
                </c:pt>
                <c:pt idx="4">
                  <c:v>0.10107464420563463</c:v>
                </c:pt>
                <c:pt idx="5">
                  <c:v>8.894859134475748E-2</c:v>
                </c:pt>
                <c:pt idx="6">
                  <c:v>7.4377964953044828E-2</c:v>
                </c:pt>
                <c:pt idx="7">
                  <c:v>6.8883725433246196E-2</c:v>
                </c:pt>
                <c:pt idx="8">
                  <c:v>4.5914415722722431E-2</c:v>
                </c:pt>
                <c:pt idx="9">
                  <c:v>0.18210862619808307</c:v>
                </c:pt>
              </c:numCache>
            </c:numRef>
          </c:val>
          <c:extLst>
            <c:ext xmlns:c16="http://schemas.microsoft.com/office/drawing/2014/chart" uri="{C3380CC4-5D6E-409C-BE32-E72D297353CC}">
              <c16:uniqueId val="{00000003-191E-4C85-AA87-5CF637575DC6}"/>
            </c:ext>
          </c:extLst>
        </c:ser>
        <c:dLbls>
          <c:showLegendKey val="0"/>
          <c:showVal val="0"/>
          <c:showCatName val="0"/>
          <c:showSerName val="0"/>
          <c:showPercent val="0"/>
          <c:showBubbleSize val="0"/>
        </c:dLbls>
        <c:gapWidth val="219"/>
        <c:overlap val="-27"/>
        <c:axId val="610072128"/>
        <c:axId val="610074096"/>
      </c:barChart>
      <c:catAx>
        <c:axId val="61007212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de-DE"/>
          </a:p>
        </c:txPr>
        <c:crossAx val="610074096"/>
        <c:crosses val="autoZero"/>
        <c:auto val="1"/>
        <c:lblAlgn val="ctr"/>
        <c:lblOffset val="100"/>
        <c:noMultiLvlLbl val="0"/>
      </c:catAx>
      <c:valAx>
        <c:axId val="610074096"/>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de-DE"/>
          </a:p>
        </c:txPr>
        <c:crossAx val="61007212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de-DE"/>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solidFill>
            <a:sysClr val="windowText" lastClr="000000"/>
          </a:solidFill>
          <a:latin typeface="Times New Roman" panose="02020603050405020304" pitchFamily="18" charset="0"/>
          <a:cs typeface="Times New Roman" panose="02020603050405020304" pitchFamily="18" charset="0"/>
        </a:defRPr>
      </a:pPr>
      <a:endParaRPr lang="de-DE"/>
    </a:p>
  </c:txPr>
  <c:externalData r:id="rId4">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1"/>
    </mc:Choice>
    <mc:Fallback>
      <c:style val="1"/>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Repräsentativität!$I$78</c:f>
              <c:strCache>
                <c:ptCount val="1"/>
                <c:pt idx="0">
                  <c:v>Sample</c:v>
                </c:pt>
              </c:strCache>
            </c:strRef>
          </c:tx>
          <c:spPr>
            <a:solidFill>
              <a:schemeClr val="dk1">
                <a:tint val="88500"/>
              </a:schemeClr>
            </a:solidFill>
            <a:ln>
              <a:noFill/>
            </a:ln>
            <a:effectLst/>
          </c:spPr>
          <c:invertIfNegative val="0"/>
          <c:dLbls>
            <c:dLbl>
              <c:idx val="1"/>
              <c:layout>
                <c:manualLayout>
                  <c:x val="-2.020846731431745E-17"/>
                  <c:y val="-9.1982216771424197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11B1-4A8D-9082-27A4F341EF10}"/>
                </c:ext>
              </c:extLst>
            </c:dLbl>
            <c:dLbl>
              <c:idx val="5"/>
              <c:layout>
                <c:manualLayout>
                  <c:x val="0"/>
                  <c:y val="-8.3125519534497094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11B1-4A8D-9082-27A4F341EF10}"/>
                </c:ext>
              </c:extLst>
            </c:dLbl>
            <c:dLbl>
              <c:idx val="6"/>
              <c:layout>
                <c:manualLayout>
                  <c:x val="0"/>
                  <c:y val="-9.1982216771424753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11B1-4A8D-9082-27A4F341EF10}"/>
                </c:ext>
              </c:extLst>
            </c:dLbl>
            <c:dLbl>
              <c:idx val="8"/>
              <c:layout>
                <c:manualLayout>
                  <c:x val="-4.4091710758377423E-3"/>
                  <c:y val="-5.0798341777635882E-17"/>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11B1-4A8D-9082-27A4F341EF10}"/>
                </c:ext>
              </c:extLst>
            </c:dLbl>
            <c:dLbl>
              <c:idx val="14"/>
              <c:layout>
                <c:manualLayout>
                  <c:x val="-1.616677385145396E-16"/>
                  <c:y val="-1.1083402604599613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11B1-4A8D-9082-27A4F341EF10}"/>
                </c:ext>
              </c:extLst>
            </c:dLbl>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Repräsentativität!$H$79:$H$94</c:f>
              <c:strCache>
                <c:ptCount val="16"/>
                <c:pt idx="0">
                  <c:v>Baden-Württemberg</c:v>
                </c:pt>
                <c:pt idx="1">
                  <c:v>Bavaria</c:v>
                </c:pt>
                <c:pt idx="2">
                  <c:v>Berlin</c:v>
                </c:pt>
                <c:pt idx="3">
                  <c:v>Brandenburg</c:v>
                </c:pt>
                <c:pt idx="4">
                  <c:v>Bremen</c:v>
                </c:pt>
                <c:pt idx="5">
                  <c:v>Hamburg</c:v>
                </c:pt>
                <c:pt idx="6">
                  <c:v>Hesse</c:v>
                </c:pt>
                <c:pt idx="7">
                  <c:v>Mecklenburg-Western Pomerania</c:v>
                </c:pt>
                <c:pt idx="8">
                  <c:v>Lower Saxony</c:v>
                </c:pt>
                <c:pt idx="9">
                  <c:v>North Rhine-Westphalia</c:v>
                </c:pt>
                <c:pt idx="10">
                  <c:v>Rhineland-Palatinate</c:v>
                </c:pt>
                <c:pt idx="11">
                  <c:v>Saarland</c:v>
                </c:pt>
                <c:pt idx="12">
                  <c:v>Saxony</c:v>
                </c:pt>
                <c:pt idx="13">
                  <c:v>Saxony-Anhalt</c:v>
                </c:pt>
                <c:pt idx="14">
                  <c:v>Schleswig-Holstein</c:v>
                </c:pt>
                <c:pt idx="15">
                  <c:v>Thuringia</c:v>
                </c:pt>
              </c:strCache>
            </c:strRef>
          </c:cat>
          <c:val>
            <c:numRef>
              <c:f>Repräsentativität!$I$79:$I$94</c:f>
              <c:numCache>
                <c:formatCode>0%</c:formatCode>
                <c:ptCount val="16"/>
                <c:pt idx="0">
                  <c:v>0.11145996860282574</c:v>
                </c:pt>
                <c:pt idx="1">
                  <c:v>0.16483516483516483</c:v>
                </c:pt>
                <c:pt idx="2">
                  <c:v>5.3375196232339092E-2</c:v>
                </c:pt>
                <c:pt idx="3">
                  <c:v>2.5117739403453691E-2</c:v>
                </c:pt>
                <c:pt idx="4">
                  <c:v>1.2558869701726845E-2</c:v>
                </c:pt>
                <c:pt idx="5">
                  <c:v>2.8257456828885402E-2</c:v>
                </c:pt>
                <c:pt idx="6">
                  <c:v>8.4772370486656201E-2</c:v>
                </c:pt>
                <c:pt idx="7">
                  <c:v>1.5698587127158554E-2</c:v>
                </c:pt>
                <c:pt idx="8">
                  <c:v>8.9481946624803771E-2</c:v>
                </c:pt>
                <c:pt idx="9">
                  <c:v>0.21350078492935637</c:v>
                </c:pt>
                <c:pt idx="10">
                  <c:v>6.1224489795918366E-2</c:v>
                </c:pt>
                <c:pt idx="11">
                  <c:v>1.098901098901099E-2</c:v>
                </c:pt>
                <c:pt idx="12">
                  <c:v>4.8665620094191522E-2</c:v>
                </c:pt>
                <c:pt idx="13">
                  <c:v>1.8838304552590265E-2</c:v>
                </c:pt>
                <c:pt idx="14">
                  <c:v>3.924646781789639E-2</c:v>
                </c:pt>
                <c:pt idx="15">
                  <c:v>2.197802197802198E-2</c:v>
                </c:pt>
              </c:numCache>
            </c:numRef>
          </c:val>
          <c:extLst>
            <c:ext xmlns:c16="http://schemas.microsoft.com/office/drawing/2014/chart" uri="{C3380CC4-5D6E-409C-BE32-E72D297353CC}">
              <c16:uniqueId val="{00000005-11B1-4A8D-9082-27A4F341EF10}"/>
            </c:ext>
          </c:extLst>
        </c:ser>
        <c:ser>
          <c:idx val="1"/>
          <c:order val="1"/>
          <c:tx>
            <c:strRef>
              <c:f>Repräsentativität!$J$78</c:f>
              <c:strCache>
                <c:ptCount val="1"/>
                <c:pt idx="0">
                  <c:v>German Average</c:v>
                </c:pt>
              </c:strCache>
            </c:strRef>
          </c:tx>
          <c:spPr>
            <a:solidFill>
              <a:schemeClr val="dk1">
                <a:tint val="55000"/>
              </a:schemeClr>
            </a:solidFill>
            <a:ln>
              <a:noFill/>
            </a:ln>
            <a:effectLst/>
          </c:spPr>
          <c:invertIfNegative val="0"/>
          <c:dLbls>
            <c:dLbl>
              <c:idx val="1"/>
              <c:layout>
                <c:manualLayout>
                  <c:x val="8.8183421516754654E-3"/>
                  <c:y val="2.7708506511498776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11B1-4A8D-9082-27A4F341EF10}"/>
                </c:ext>
              </c:extLst>
            </c:dLbl>
            <c:dLbl>
              <c:idx val="3"/>
              <c:layout>
                <c:manualLayout>
                  <c:x val="0"/>
                  <c:y val="-1.3854253255749516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11B1-4A8D-9082-27A4F341EF10}"/>
                </c:ext>
              </c:extLst>
            </c:dLbl>
            <c:dLbl>
              <c:idx val="7"/>
              <c:layout>
                <c:manualLayout>
                  <c:x val="0"/>
                  <c:y val="-1.3854253255749516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11B1-4A8D-9082-27A4F341EF10}"/>
                </c:ext>
              </c:extLst>
            </c:dLbl>
            <c:dLbl>
              <c:idx val="8"/>
              <c:layout>
                <c:manualLayout>
                  <c:x val="0"/>
                  <c:y val="-9.1982216771424197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9-11B1-4A8D-9082-27A4F341EF10}"/>
                </c:ext>
              </c:extLst>
            </c:dLbl>
            <c:dLbl>
              <c:idx val="9"/>
              <c:layout>
                <c:manualLayout>
                  <c:x val="-8.0833869257269799E-17"/>
                  <c:y val="-2.4528591139046457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A-11B1-4A8D-9082-27A4F341EF10}"/>
                </c:ext>
              </c:extLst>
            </c:dLbl>
            <c:dLbl>
              <c:idx val="10"/>
              <c:layout>
                <c:manualLayout>
                  <c:x val="4.4091710758376616E-3"/>
                  <c:y val="0"/>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B-11B1-4A8D-9082-27A4F341EF10}"/>
                </c:ext>
              </c:extLst>
            </c:dLbl>
            <c:dLbl>
              <c:idx val="12"/>
              <c:layout>
                <c:manualLayout>
                  <c:x val="1.3227513227513065E-2"/>
                  <c:y val="0"/>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C-11B1-4A8D-9082-27A4F341EF10}"/>
                </c:ext>
              </c:extLst>
            </c:dLbl>
            <c:dLbl>
              <c:idx val="14"/>
              <c:layout>
                <c:manualLayout>
                  <c:x val="6.6137566137566134E-3"/>
                  <c:y val="0"/>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D-11B1-4A8D-9082-27A4F341EF10}"/>
                </c:ext>
              </c:extLst>
            </c:dLbl>
            <c:dLbl>
              <c:idx val="15"/>
              <c:layout>
                <c:manualLayout>
                  <c:x val="2.2045855379187098E-3"/>
                  <c:y val="-1.9395954558049322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E-11B1-4A8D-9082-27A4F341EF10}"/>
                </c:ext>
              </c:extLst>
            </c:dLbl>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Repräsentativität!$H$79:$H$94</c:f>
              <c:strCache>
                <c:ptCount val="16"/>
                <c:pt idx="0">
                  <c:v>Baden-Württemberg</c:v>
                </c:pt>
                <c:pt idx="1">
                  <c:v>Bavaria</c:v>
                </c:pt>
                <c:pt idx="2">
                  <c:v>Berlin</c:v>
                </c:pt>
                <c:pt idx="3">
                  <c:v>Brandenburg</c:v>
                </c:pt>
                <c:pt idx="4">
                  <c:v>Bremen</c:v>
                </c:pt>
                <c:pt idx="5">
                  <c:v>Hamburg</c:v>
                </c:pt>
                <c:pt idx="6">
                  <c:v>Hesse</c:v>
                </c:pt>
                <c:pt idx="7">
                  <c:v>Mecklenburg-Western Pomerania</c:v>
                </c:pt>
                <c:pt idx="8">
                  <c:v>Lower Saxony</c:v>
                </c:pt>
                <c:pt idx="9">
                  <c:v>North Rhine-Westphalia</c:v>
                </c:pt>
                <c:pt idx="10">
                  <c:v>Rhineland-Palatinate</c:v>
                </c:pt>
                <c:pt idx="11">
                  <c:v>Saarland</c:v>
                </c:pt>
                <c:pt idx="12">
                  <c:v>Saxony</c:v>
                </c:pt>
                <c:pt idx="13">
                  <c:v>Saxony-Anhalt</c:v>
                </c:pt>
                <c:pt idx="14">
                  <c:v>Schleswig-Holstein</c:v>
                </c:pt>
                <c:pt idx="15">
                  <c:v>Thuringia</c:v>
                </c:pt>
              </c:strCache>
            </c:strRef>
          </c:cat>
          <c:val>
            <c:numRef>
              <c:f>Repräsentativität!$J$79:$J$94</c:f>
              <c:numCache>
                <c:formatCode>0%</c:formatCode>
                <c:ptCount val="16"/>
                <c:pt idx="0">
                  <c:v>0.13392406123558845</c:v>
                </c:pt>
                <c:pt idx="1">
                  <c:v>0.15867685069324869</c:v>
                </c:pt>
                <c:pt idx="2">
                  <c:v>4.4670274096666365E-2</c:v>
                </c:pt>
                <c:pt idx="3">
                  <c:v>3.0491172210346872E-2</c:v>
                </c:pt>
                <c:pt idx="4">
                  <c:v>8.169463874083514E-3</c:v>
                </c:pt>
                <c:pt idx="5">
                  <c:v>2.256023627730307E-2</c:v>
                </c:pt>
                <c:pt idx="6">
                  <c:v>7.5833000017030958E-2</c:v>
                </c:pt>
                <c:pt idx="7">
                  <c:v>1.9245033319386526E-2</c:v>
                </c:pt>
                <c:pt idx="8">
                  <c:v>9.6398322575521625E-2</c:v>
                </c:pt>
                <c:pt idx="9">
                  <c:v>0.21484075590728099</c:v>
                </c:pt>
                <c:pt idx="10">
                  <c:v>4.930133729894106E-2</c:v>
                </c:pt>
                <c:pt idx="11">
                  <c:v>1.1744796456747511E-2</c:v>
                </c:pt>
                <c:pt idx="12">
                  <c:v>4.8299274284999034E-2</c:v>
                </c:pt>
                <c:pt idx="13">
                  <c:v>2.5752513962376409E-2</c:v>
                </c:pt>
                <c:pt idx="14">
                  <c:v>3.5026746285898157E-2</c:v>
                </c:pt>
                <c:pt idx="15">
                  <c:v>2.5066161504580773E-2</c:v>
                </c:pt>
              </c:numCache>
            </c:numRef>
          </c:val>
          <c:extLst>
            <c:ext xmlns:c16="http://schemas.microsoft.com/office/drawing/2014/chart" uri="{C3380CC4-5D6E-409C-BE32-E72D297353CC}">
              <c16:uniqueId val="{0000000F-11B1-4A8D-9082-27A4F341EF10}"/>
            </c:ext>
          </c:extLst>
        </c:ser>
        <c:dLbls>
          <c:showLegendKey val="0"/>
          <c:showVal val="0"/>
          <c:showCatName val="0"/>
          <c:showSerName val="0"/>
          <c:showPercent val="0"/>
          <c:showBubbleSize val="0"/>
        </c:dLbls>
        <c:gapWidth val="219"/>
        <c:overlap val="-27"/>
        <c:axId val="644608416"/>
        <c:axId val="644609072"/>
      </c:barChart>
      <c:catAx>
        <c:axId val="64460841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de-DE"/>
          </a:p>
        </c:txPr>
        <c:crossAx val="644609072"/>
        <c:crosses val="autoZero"/>
        <c:auto val="1"/>
        <c:lblAlgn val="ctr"/>
        <c:lblOffset val="100"/>
        <c:noMultiLvlLbl val="0"/>
      </c:catAx>
      <c:valAx>
        <c:axId val="644609072"/>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de-DE"/>
          </a:p>
        </c:txPr>
        <c:crossAx val="64460841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de-DE"/>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solidFill>
            <a:sysClr val="windowText" lastClr="000000"/>
          </a:solidFill>
          <a:latin typeface="Times New Roman" panose="02020603050405020304" pitchFamily="18" charset="0"/>
          <a:cs typeface="Times New Roman" panose="02020603050405020304" pitchFamily="18" charset="0"/>
        </a:defRPr>
      </a:pPr>
      <a:endParaRPr lang="de-DE"/>
    </a:p>
  </c:txPr>
  <c:externalData r:id="rId4">
    <c:autoUpdate val="0"/>
  </c:externalData>
</c:chartSpace>
</file>

<file path=word/charts/colors1.xml><?xml version="1.0" encoding="utf-8"?>
<cs:colorStyle xmlns:cs="http://schemas.microsoft.com/office/drawing/2012/chartStyle" xmlns:a="http://schemas.openxmlformats.org/drawingml/2006/main" meth="cycle" id="20">
  <a:schemeClr val="dk1"/>
  <cs:variation>
    <a:tint val="88500"/>
  </cs:variation>
  <cs:variation>
    <a:tint val="55000"/>
  </cs:variation>
  <cs:variation>
    <a:tint val="75000"/>
  </cs:variation>
  <cs:variation>
    <a:tint val="98500"/>
  </cs:variation>
  <cs:variation>
    <a:tint val="30000"/>
  </cs:variation>
  <cs:variation>
    <a:tint val="60000"/>
  </cs:variation>
  <cs:variation>
    <a:tint val="80000"/>
  </cs:variation>
</cs:colorStyle>
</file>

<file path=word/charts/colors2.xml><?xml version="1.0" encoding="utf-8"?>
<cs:colorStyle xmlns:cs="http://schemas.microsoft.com/office/drawing/2012/chartStyle" xmlns:a="http://schemas.openxmlformats.org/drawingml/2006/main" meth="cycle" id="20">
  <a:schemeClr val="dk1"/>
  <cs:variation>
    <a:tint val="88500"/>
  </cs:variation>
  <cs:variation>
    <a:tint val="55000"/>
  </cs:variation>
  <cs:variation>
    <a:tint val="75000"/>
  </cs:variation>
  <cs:variation>
    <a:tint val="98500"/>
  </cs:variation>
  <cs:variation>
    <a:tint val="30000"/>
  </cs:variation>
  <cs:variation>
    <a:tint val="60000"/>
  </cs:variation>
  <cs:variation>
    <a:tint val="8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docProps/app.xml><?xml version="1.0" encoding="utf-8"?>
<Properties xmlns="http://schemas.openxmlformats.org/officeDocument/2006/extended-properties" xmlns:vt="http://schemas.openxmlformats.org/officeDocument/2006/docPropsVTypes">
  <Template>Normal.dotm</Template>
  <TotalTime>1</TotalTime>
  <Pages>3</Pages>
  <Words>137</Words>
  <Characters>783</Characters>
  <Application>Microsoft Office Word</Application>
  <DocSecurity>0</DocSecurity>
  <Lines>6</Lines>
  <Paragraphs>1</Paragraphs>
  <ScaleCrop>false</ScaleCrop>
  <Company>Springer Nature</Company>
  <LinksUpToDate>false</LinksUpToDate>
  <CharactersWithSpaces>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2025-08-19T06:46:00Z</dcterms:created>
  <dcterms:modified xsi:type="dcterms:W3CDTF">2025-08-19T06:47:00Z</dcterms:modified>
</cp:coreProperties>
</file>