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A83" w:rsidRPr="00171A83" w:rsidRDefault="00171A83" w:rsidP="00171A83">
      <w:pPr>
        <w:rPr>
          <w:rFonts w:ascii="Times New Roman" w:hAnsi="Times New Roman" w:cs="Times New Roman"/>
          <w:b/>
          <w:sz w:val="28"/>
        </w:rPr>
      </w:pPr>
      <w:r w:rsidRPr="00171A83">
        <w:rPr>
          <w:rFonts w:ascii="Times New Roman" w:hAnsi="Times New Roman" w:cs="Times New Roman"/>
          <w:b/>
          <w:sz w:val="28"/>
        </w:rPr>
        <w:t>Supplementary data</w:t>
      </w:r>
    </w:p>
    <w:p w:rsidR="00CC764E" w:rsidRPr="00171A83" w:rsidRDefault="00CC764E">
      <w:pPr>
        <w:rPr>
          <w:rFonts w:ascii="Times New Roman" w:hAnsi="Times New Roman" w:cs="Times New Roman"/>
        </w:rPr>
      </w:pPr>
    </w:p>
    <w:p w:rsidR="00171A83" w:rsidRPr="00171A83" w:rsidRDefault="00171A83" w:rsidP="00171A83">
      <w:pPr>
        <w:snapToGrid w:val="0"/>
        <w:spacing w:line="480" w:lineRule="auto"/>
        <w:rPr>
          <w:rFonts w:ascii="Times New Roman" w:hAnsi="Times New Roman" w:cs="Times New Roman"/>
          <w:color w:val="000000" w:themeColor="text1"/>
          <w:sz w:val="24"/>
        </w:rPr>
      </w:pPr>
      <w:r w:rsidRPr="00171A83">
        <w:rPr>
          <w:rFonts w:ascii="Times New Roman" w:hAnsi="Times New Roman" w:cs="Times New Roman"/>
          <w:b/>
          <w:color w:val="000000" w:themeColor="text1"/>
          <w:sz w:val="24"/>
        </w:rPr>
        <w:t xml:space="preserve">Thermo-sensitive </w:t>
      </w:r>
      <w:proofErr w:type="spellStart"/>
      <w:r w:rsidRPr="00171A83">
        <w:rPr>
          <w:rFonts w:ascii="Times New Roman" w:hAnsi="Times New Roman" w:cs="Times New Roman"/>
          <w:b/>
          <w:color w:val="000000" w:themeColor="text1"/>
          <w:sz w:val="24"/>
        </w:rPr>
        <w:t>electroactive</w:t>
      </w:r>
      <w:proofErr w:type="spellEnd"/>
      <w:r w:rsidRPr="00171A83">
        <w:rPr>
          <w:rFonts w:ascii="Times New Roman" w:hAnsi="Times New Roman" w:cs="Times New Roman"/>
          <w:b/>
          <w:color w:val="000000" w:themeColor="text1"/>
          <w:sz w:val="24"/>
        </w:rPr>
        <w:t xml:space="preserve"> hydrogel combined with electrical stimulation for repair of spinal cord injury</w:t>
      </w:r>
    </w:p>
    <w:p w:rsidR="00171A83" w:rsidRPr="00BE41EA" w:rsidRDefault="00171A83" w:rsidP="00171A83">
      <w:pPr>
        <w:snapToGrid w:val="0"/>
        <w:spacing w:line="480" w:lineRule="auto"/>
        <w:rPr>
          <w:rFonts w:ascii="Arial" w:hAnsi="Arial" w:cs="Arial"/>
          <w:color w:val="000000" w:themeColor="text1"/>
          <w:sz w:val="24"/>
        </w:rPr>
      </w:pPr>
    </w:p>
    <w:p w:rsidR="00171A83" w:rsidRPr="00171A83" w:rsidRDefault="00171A83" w:rsidP="00171A83">
      <w:pPr>
        <w:snapToGrid w:val="0"/>
        <w:spacing w:line="480" w:lineRule="auto"/>
        <w:rPr>
          <w:rFonts w:ascii="Times New Roman" w:hAnsi="Times New Roman" w:cs="Times New Roman"/>
          <w:color w:val="000000" w:themeColor="text1"/>
          <w:sz w:val="24"/>
        </w:rPr>
      </w:pPr>
      <w:r w:rsidRPr="00171A83">
        <w:rPr>
          <w:rFonts w:ascii="Times New Roman" w:hAnsi="Times New Roman" w:cs="Times New Roman"/>
          <w:color w:val="000000" w:themeColor="text1"/>
          <w:sz w:val="24"/>
        </w:rPr>
        <w:t xml:space="preserve">Wei </w:t>
      </w:r>
      <w:proofErr w:type="spellStart"/>
      <w:r w:rsidRPr="00171A83">
        <w:rPr>
          <w:rFonts w:ascii="Times New Roman" w:hAnsi="Times New Roman" w:cs="Times New Roman"/>
          <w:color w:val="000000" w:themeColor="text1"/>
          <w:sz w:val="24"/>
        </w:rPr>
        <w:t>Liu</w:t>
      </w:r>
      <w:r w:rsidRPr="00171A83">
        <w:rPr>
          <w:rFonts w:ascii="Times New Roman" w:eastAsia="DengXian" w:hAnsi="Times New Roman" w:cs="Times New Roman"/>
          <w:bCs/>
          <w:color w:val="000000" w:themeColor="text1"/>
          <w:sz w:val="24"/>
          <w:vertAlign w:val="superscript"/>
        </w:rPr>
        <w:t>a,b</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Yiqian</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Luo</w:t>
      </w:r>
      <w:r w:rsidRPr="00171A83">
        <w:rPr>
          <w:rFonts w:ascii="Times New Roman" w:eastAsia="DengXian" w:hAnsi="Times New Roman" w:cs="Times New Roman"/>
          <w:bCs/>
          <w:color w:val="000000" w:themeColor="text1"/>
          <w:sz w:val="24"/>
          <w:vertAlign w:val="superscript"/>
        </w:rPr>
        <w:t>a</w:t>
      </w:r>
      <w:proofErr w:type="spellEnd"/>
      <w:r w:rsidRPr="00171A83">
        <w:rPr>
          <w:rFonts w:ascii="Times New Roman" w:hAnsi="Times New Roman" w:cs="Times New Roman"/>
          <w:color w:val="000000" w:themeColor="text1"/>
          <w:sz w:val="24"/>
        </w:rPr>
        <w:t xml:space="preserve">, Cong </w:t>
      </w:r>
      <w:proofErr w:type="spellStart"/>
      <w:r w:rsidRPr="00171A83">
        <w:rPr>
          <w:rFonts w:ascii="Times New Roman" w:hAnsi="Times New Roman" w:cs="Times New Roman"/>
          <w:color w:val="000000" w:themeColor="text1"/>
          <w:sz w:val="24"/>
        </w:rPr>
        <w:t>Ning</w:t>
      </w:r>
      <w:r w:rsidRPr="00171A83">
        <w:rPr>
          <w:rFonts w:ascii="Times New Roman" w:hAnsi="Times New Roman" w:cs="Times New Roman"/>
          <w:color w:val="000000" w:themeColor="text1"/>
          <w:sz w:val="24"/>
          <w:vertAlign w:val="superscript"/>
        </w:rPr>
        <w:t>a</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Wenjing</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Zhang</w:t>
      </w:r>
      <w:r w:rsidRPr="00171A83">
        <w:rPr>
          <w:rFonts w:ascii="Times New Roman" w:hAnsi="Times New Roman" w:cs="Times New Roman"/>
          <w:color w:val="000000" w:themeColor="text1"/>
          <w:sz w:val="24"/>
          <w:vertAlign w:val="superscript"/>
        </w:rPr>
        <w:t>c</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Qingzheng</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Zhang</w:t>
      </w:r>
      <w:r w:rsidRPr="00171A83">
        <w:rPr>
          <w:rFonts w:ascii="Times New Roman" w:hAnsi="Times New Roman" w:cs="Times New Roman"/>
          <w:color w:val="000000" w:themeColor="text1"/>
          <w:sz w:val="24"/>
          <w:vertAlign w:val="superscript"/>
        </w:rPr>
        <w:t>a</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Haifeng</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Zou</w:t>
      </w:r>
      <w:r w:rsidRPr="00171A83">
        <w:rPr>
          <w:rFonts w:ascii="Times New Roman" w:eastAsia="DengXian" w:hAnsi="Times New Roman" w:cs="Times New Roman"/>
          <w:bCs/>
          <w:color w:val="000000" w:themeColor="text1"/>
          <w:sz w:val="24"/>
          <w:vertAlign w:val="superscript"/>
        </w:rPr>
        <w:t>a</w:t>
      </w:r>
      <w:proofErr w:type="spellEnd"/>
      <w:r w:rsidRPr="00171A83">
        <w:rPr>
          <w:rFonts w:ascii="Times New Roman" w:hAnsi="Times New Roman" w:cs="Times New Roman"/>
          <w:color w:val="000000" w:themeColor="text1"/>
          <w:sz w:val="24"/>
          <w:vertAlign w:val="superscript"/>
        </w:rPr>
        <w:t>,</w:t>
      </w:r>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Changfeng</w:t>
      </w:r>
      <w:proofErr w:type="spellEnd"/>
      <w:r w:rsidRPr="00171A83">
        <w:rPr>
          <w:rFonts w:ascii="Times New Roman" w:hAnsi="Times New Roman" w:cs="Times New Roman"/>
          <w:color w:val="000000" w:themeColor="text1"/>
          <w:sz w:val="24"/>
        </w:rPr>
        <w:t xml:space="preserve"> </w:t>
      </w:r>
      <w:proofErr w:type="spellStart"/>
      <w:r w:rsidRPr="00171A83">
        <w:rPr>
          <w:rFonts w:ascii="Times New Roman" w:hAnsi="Times New Roman" w:cs="Times New Roman"/>
          <w:color w:val="000000" w:themeColor="text1"/>
          <w:sz w:val="24"/>
        </w:rPr>
        <w:t>Fu</w:t>
      </w:r>
      <w:r w:rsidRPr="00171A83">
        <w:rPr>
          <w:rFonts w:ascii="Times New Roman" w:hAnsi="Times New Roman" w:cs="Times New Roman"/>
          <w:color w:val="000000" w:themeColor="text1"/>
          <w:sz w:val="24"/>
          <w:vertAlign w:val="superscript"/>
        </w:rPr>
        <w:t>b</w:t>
      </w:r>
      <w:proofErr w:type="spellEnd"/>
      <w:r w:rsidRPr="00171A83">
        <w:rPr>
          <w:rFonts w:ascii="Times New Roman" w:hAnsi="Times New Roman" w:cs="Times New Roman"/>
          <w:color w:val="000000" w:themeColor="text1"/>
          <w:sz w:val="24"/>
          <w:vertAlign w:val="superscript"/>
        </w:rPr>
        <w:t>,</w:t>
      </w:r>
      <w:r w:rsidRPr="00171A83">
        <w:rPr>
          <w:rFonts w:ascii="Times New Roman" w:hAnsi="Times New Roman" w:cs="Times New Roman"/>
          <w:color w:val="000000" w:themeColor="text1"/>
          <w:sz w:val="24"/>
        </w:rPr>
        <w:t>*</w:t>
      </w:r>
    </w:p>
    <w:p w:rsidR="00171A83" w:rsidRPr="000C6303" w:rsidRDefault="00171A83" w:rsidP="00171A83">
      <w:pPr>
        <w:autoSpaceDE w:val="0"/>
        <w:autoSpaceDN w:val="0"/>
        <w:adjustRightInd w:val="0"/>
        <w:snapToGrid w:val="0"/>
        <w:spacing w:line="480" w:lineRule="auto"/>
        <w:rPr>
          <w:rFonts w:ascii="Arial" w:eastAsia="DengXian" w:hAnsi="Arial" w:cs="Arial"/>
          <w:bCs/>
          <w:color w:val="000000" w:themeColor="text1"/>
          <w:sz w:val="24"/>
          <w:vertAlign w:val="superscript"/>
        </w:rPr>
      </w:pPr>
    </w:p>
    <w:p w:rsidR="00171A83" w:rsidRPr="00171A83" w:rsidRDefault="00171A83" w:rsidP="00171A83">
      <w:pPr>
        <w:autoSpaceDE w:val="0"/>
        <w:autoSpaceDN w:val="0"/>
        <w:adjustRightInd w:val="0"/>
        <w:snapToGrid w:val="0"/>
        <w:spacing w:line="480" w:lineRule="auto"/>
        <w:rPr>
          <w:rFonts w:ascii="Times New Roman" w:eastAsia="DengXian" w:hAnsi="Times New Roman" w:cs="Times New Roman"/>
          <w:bCs/>
          <w:color w:val="000000" w:themeColor="text1"/>
          <w:sz w:val="24"/>
        </w:rPr>
      </w:pPr>
      <w:r w:rsidRPr="00171A83">
        <w:rPr>
          <w:rFonts w:ascii="Times New Roman" w:eastAsia="DengXian" w:hAnsi="Times New Roman" w:cs="Times New Roman"/>
          <w:bCs/>
          <w:color w:val="000000" w:themeColor="text1"/>
          <w:sz w:val="24"/>
          <w:vertAlign w:val="superscript"/>
        </w:rPr>
        <w:t>a</w:t>
      </w:r>
      <w:r w:rsidRPr="00171A83">
        <w:rPr>
          <w:rFonts w:ascii="Times New Roman" w:eastAsia="DengXian" w:hAnsi="Times New Roman" w:cs="Times New Roman"/>
          <w:bCs/>
          <w:color w:val="000000" w:themeColor="text1"/>
          <w:sz w:val="24"/>
        </w:rPr>
        <w:t xml:space="preserve"> </w:t>
      </w:r>
      <w:r w:rsidRPr="00171A83">
        <w:rPr>
          <w:rFonts w:ascii="Times New Roman" w:eastAsia="DengXian" w:hAnsi="Times New Roman" w:cs="Times New Roman"/>
          <w:bCs/>
          <w:i/>
          <w:color w:val="000000" w:themeColor="text1"/>
          <w:sz w:val="24"/>
        </w:rPr>
        <w:t xml:space="preserve">Department of Spine Surgery, The First Hospital of Jilin University, 1 </w:t>
      </w:r>
      <w:proofErr w:type="spellStart"/>
      <w:r w:rsidRPr="00171A83">
        <w:rPr>
          <w:rFonts w:ascii="Times New Roman" w:eastAsia="DengXian" w:hAnsi="Times New Roman" w:cs="Times New Roman"/>
          <w:bCs/>
          <w:i/>
          <w:color w:val="000000" w:themeColor="text1"/>
          <w:sz w:val="24"/>
        </w:rPr>
        <w:t>Xinmin</w:t>
      </w:r>
      <w:proofErr w:type="spellEnd"/>
      <w:r w:rsidRPr="00171A83">
        <w:rPr>
          <w:rFonts w:ascii="Times New Roman" w:eastAsia="DengXian" w:hAnsi="Times New Roman" w:cs="Times New Roman"/>
          <w:bCs/>
          <w:i/>
          <w:color w:val="000000" w:themeColor="text1"/>
          <w:sz w:val="24"/>
        </w:rPr>
        <w:t xml:space="preserve"> Street, Changchun 130021, </w:t>
      </w:r>
      <w:r w:rsidRPr="00171A83">
        <w:rPr>
          <w:rFonts w:ascii="Times New Roman" w:eastAsia="宋体" w:hAnsi="Times New Roman" w:cs="Times New Roman"/>
          <w:i/>
          <w:color w:val="000000" w:themeColor="text1"/>
          <w:sz w:val="24"/>
        </w:rPr>
        <w:t xml:space="preserve">P. R. </w:t>
      </w:r>
      <w:r w:rsidRPr="00171A83">
        <w:rPr>
          <w:rFonts w:ascii="Times New Roman" w:eastAsia="DengXian" w:hAnsi="Times New Roman" w:cs="Times New Roman"/>
          <w:bCs/>
          <w:i/>
          <w:color w:val="000000" w:themeColor="text1"/>
          <w:sz w:val="24"/>
        </w:rPr>
        <w:t>China</w:t>
      </w:r>
    </w:p>
    <w:p w:rsidR="00171A83" w:rsidRPr="00171A83" w:rsidRDefault="00171A83" w:rsidP="00171A83">
      <w:pPr>
        <w:autoSpaceDE w:val="0"/>
        <w:autoSpaceDN w:val="0"/>
        <w:adjustRightInd w:val="0"/>
        <w:snapToGrid w:val="0"/>
        <w:spacing w:line="480" w:lineRule="auto"/>
        <w:rPr>
          <w:rFonts w:ascii="Times New Roman" w:eastAsia="仿宋_GB2312" w:hAnsi="Times New Roman" w:cs="Times New Roman"/>
          <w:color w:val="000000" w:themeColor="text1"/>
          <w:sz w:val="24"/>
        </w:rPr>
      </w:pPr>
      <w:r w:rsidRPr="00171A83">
        <w:rPr>
          <w:rFonts w:ascii="Times New Roman" w:eastAsia="DengXian" w:hAnsi="Times New Roman" w:cs="Times New Roman"/>
          <w:bCs/>
          <w:color w:val="000000" w:themeColor="text1"/>
          <w:sz w:val="24"/>
          <w:vertAlign w:val="superscript"/>
        </w:rPr>
        <w:t>b</w:t>
      </w:r>
      <w:r w:rsidRPr="00171A83">
        <w:rPr>
          <w:rFonts w:ascii="Times New Roman" w:eastAsia="DengXian" w:hAnsi="Times New Roman" w:cs="Times New Roman"/>
          <w:bCs/>
          <w:color w:val="000000" w:themeColor="text1"/>
          <w:sz w:val="24"/>
        </w:rPr>
        <w:t xml:space="preserve"> </w:t>
      </w:r>
      <w:r w:rsidRPr="00171A83">
        <w:rPr>
          <w:rFonts w:ascii="Times New Roman" w:eastAsia="DengXian" w:hAnsi="Times New Roman" w:cs="Times New Roman"/>
          <w:bCs/>
          <w:i/>
          <w:color w:val="000000" w:themeColor="text1"/>
          <w:sz w:val="24"/>
        </w:rPr>
        <w:t xml:space="preserve">College of Chemistry, Jilin University, 2699 </w:t>
      </w:r>
      <w:proofErr w:type="spellStart"/>
      <w:r w:rsidRPr="00171A83">
        <w:rPr>
          <w:rFonts w:ascii="Times New Roman" w:eastAsia="DengXian" w:hAnsi="Times New Roman" w:cs="Times New Roman"/>
          <w:bCs/>
          <w:i/>
          <w:color w:val="000000" w:themeColor="text1"/>
          <w:sz w:val="24"/>
        </w:rPr>
        <w:t>Qianjin</w:t>
      </w:r>
      <w:proofErr w:type="spellEnd"/>
      <w:r w:rsidRPr="00171A83">
        <w:rPr>
          <w:rFonts w:ascii="Times New Roman" w:eastAsia="DengXian" w:hAnsi="Times New Roman" w:cs="Times New Roman"/>
          <w:bCs/>
          <w:i/>
          <w:color w:val="000000" w:themeColor="text1"/>
          <w:sz w:val="24"/>
        </w:rPr>
        <w:t xml:space="preserve"> Street, Changchun 130012, P. R. China</w:t>
      </w:r>
    </w:p>
    <w:p w:rsidR="00171A83" w:rsidRPr="00171A83" w:rsidRDefault="00171A83" w:rsidP="00171A83">
      <w:pPr>
        <w:autoSpaceDE w:val="0"/>
        <w:autoSpaceDN w:val="0"/>
        <w:adjustRightInd w:val="0"/>
        <w:snapToGrid w:val="0"/>
        <w:spacing w:line="480" w:lineRule="auto"/>
        <w:rPr>
          <w:rFonts w:ascii="Times New Roman" w:eastAsia="DengXian" w:hAnsi="Times New Roman" w:cs="Times New Roman"/>
          <w:bCs/>
          <w:color w:val="000000" w:themeColor="text1"/>
          <w:sz w:val="24"/>
        </w:rPr>
      </w:pPr>
      <w:r w:rsidRPr="00171A83">
        <w:rPr>
          <w:rFonts w:ascii="Times New Roman" w:eastAsia="DengXian" w:hAnsi="Times New Roman" w:cs="Times New Roman"/>
          <w:bCs/>
          <w:color w:val="000000" w:themeColor="text1"/>
          <w:sz w:val="24"/>
          <w:vertAlign w:val="superscript"/>
        </w:rPr>
        <w:t>c</w:t>
      </w:r>
      <w:r w:rsidRPr="00171A83">
        <w:rPr>
          <w:rFonts w:ascii="Times New Roman" w:eastAsia="DengXian" w:hAnsi="Times New Roman" w:cs="Times New Roman"/>
          <w:bCs/>
          <w:color w:val="000000" w:themeColor="text1"/>
          <w:sz w:val="24"/>
        </w:rPr>
        <w:t xml:space="preserve"> </w:t>
      </w:r>
      <w:r w:rsidRPr="00171A83">
        <w:rPr>
          <w:rFonts w:ascii="Times New Roman" w:eastAsia="仿宋_GB2312" w:hAnsi="Times New Roman" w:cs="Times New Roman"/>
          <w:i/>
          <w:color w:val="000000" w:themeColor="text1"/>
          <w:sz w:val="24"/>
        </w:rPr>
        <w:t xml:space="preserve">Department of Anesthesia, China-Japan Union Hospital of Jilin University, 126 </w:t>
      </w:r>
      <w:proofErr w:type="spellStart"/>
      <w:r w:rsidRPr="00171A83">
        <w:rPr>
          <w:rFonts w:ascii="Times New Roman" w:eastAsia="仿宋_GB2312" w:hAnsi="Times New Roman" w:cs="Times New Roman"/>
          <w:i/>
          <w:color w:val="000000" w:themeColor="text1"/>
          <w:sz w:val="24"/>
        </w:rPr>
        <w:t>Xiantai</w:t>
      </w:r>
      <w:proofErr w:type="spellEnd"/>
      <w:r w:rsidRPr="00171A83">
        <w:rPr>
          <w:rFonts w:ascii="Times New Roman" w:eastAsia="仿宋_GB2312" w:hAnsi="Times New Roman" w:cs="Times New Roman"/>
          <w:i/>
          <w:color w:val="000000" w:themeColor="text1"/>
          <w:sz w:val="24"/>
        </w:rPr>
        <w:t xml:space="preserve"> Street, Changchun, 130033, P. R. China</w:t>
      </w:r>
    </w:p>
    <w:p w:rsidR="00171A83" w:rsidRPr="00171A83" w:rsidRDefault="00171A83" w:rsidP="00171A83">
      <w:pPr>
        <w:autoSpaceDE w:val="0"/>
        <w:autoSpaceDN w:val="0"/>
        <w:adjustRightInd w:val="0"/>
        <w:snapToGrid w:val="0"/>
        <w:spacing w:line="480" w:lineRule="auto"/>
        <w:rPr>
          <w:rFonts w:ascii="Times New Roman" w:eastAsia="DengXian" w:hAnsi="Times New Roman" w:cs="Times New Roman"/>
          <w:bCs/>
          <w:color w:val="000000" w:themeColor="text1"/>
          <w:sz w:val="24"/>
        </w:rPr>
      </w:pPr>
    </w:p>
    <w:p w:rsidR="00171A83" w:rsidRPr="00171A83" w:rsidRDefault="00171A83" w:rsidP="00171A83">
      <w:pPr>
        <w:autoSpaceDE w:val="0"/>
        <w:autoSpaceDN w:val="0"/>
        <w:adjustRightInd w:val="0"/>
        <w:snapToGrid w:val="0"/>
        <w:spacing w:line="480" w:lineRule="auto"/>
        <w:rPr>
          <w:rFonts w:ascii="Times New Roman" w:eastAsia="DengXian" w:hAnsi="Times New Roman" w:cs="Times New Roman"/>
          <w:bCs/>
          <w:color w:val="000000" w:themeColor="text1"/>
          <w:sz w:val="24"/>
        </w:rPr>
      </w:pPr>
      <w:r w:rsidRPr="00171A83">
        <w:rPr>
          <w:rFonts w:ascii="Times New Roman" w:eastAsia="DengXian" w:hAnsi="Times New Roman" w:cs="Times New Roman"/>
          <w:bCs/>
          <w:color w:val="000000" w:themeColor="text1"/>
          <w:sz w:val="24"/>
        </w:rPr>
        <w:t>*Corresponding authors.</w:t>
      </w:r>
    </w:p>
    <w:p w:rsidR="00171A83" w:rsidRPr="00171A83" w:rsidRDefault="00171A83" w:rsidP="00171A83">
      <w:pPr>
        <w:autoSpaceDE w:val="0"/>
        <w:autoSpaceDN w:val="0"/>
        <w:adjustRightInd w:val="0"/>
        <w:snapToGrid w:val="0"/>
        <w:spacing w:line="480" w:lineRule="auto"/>
        <w:rPr>
          <w:rFonts w:ascii="Times New Roman" w:eastAsia="仿宋_GB2312" w:hAnsi="Times New Roman" w:cs="Times New Roman"/>
          <w:color w:val="000000" w:themeColor="text1"/>
          <w:sz w:val="24"/>
        </w:rPr>
      </w:pPr>
      <w:r w:rsidRPr="00171A83">
        <w:rPr>
          <w:rFonts w:ascii="Times New Roman" w:eastAsia="仿宋_GB2312" w:hAnsi="Times New Roman" w:cs="Times New Roman"/>
          <w:i/>
          <w:color w:val="000000" w:themeColor="text1"/>
          <w:sz w:val="24"/>
        </w:rPr>
        <w:t>E-mail addresses:</w:t>
      </w:r>
      <w:r w:rsidRPr="00171A83">
        <w:rPr>
          <w:rFonts w:ascii="Times New Roman" w:eastAsia="仿宋_GB2312" w:hAnsi="Times New Roman" w:cs="Times New Roman"/>
          <w:color w:val="000000" w:themeColor="text1"/>
          <w:sz w:val="24"/>
        </w:rPr>
        <w:t xml:space="preserve"> fucf@jlu.edu.cn (C. Fu), </w:t>
      </w:r>
      <w:r w:rsidRPr="00DD7419">
        <w:rPr>
          <w:rStyle w:val="a5"/>
          <w:rFonts w:ascii="Times New Roman" w:eastAsia="仿宋_GB2312" w:hAnsi="Times New Roman" w:cs="Times New Roman"/>
          <w:color w:val="000000" w:themeColor="text1"/>
          <w:sz w:val="24"/>
          <w:u w:val="none"/>
        </w:rPr>
        <w:t>zouhf@jlu.edu.cn</w:t>
      </w:r>
      <w:r w:rsidRPr="00DD7419">
        <w:rPr>
          <w:rFonts w:ascii="Times New Roman" w:eastAsia="仿宋_GB2312" w:hAnsi="Times New Roman" w:cs="Times New Roman"/>
          <w:color w:val="000000" w:themeColor="text1"/>
          <w:sz w:val="24"/>
        </w:rPr>
        <w:t xml:space="preserve"> </w:t>
      </w:r>
      <w:r w:rsidRPr="00171A83">
        <w:rPr>
          <w:rFonts w:ascii="Times New Roman" w:eastAsia="仿宋_GB2312" w:hAnsi="Times New Roman" w:cs="Times New Roman"/>
          <w:color w:val="000000" w:themeColor="text1"/>
          <w:sz w:val="24"/>
        </w:rPr>
        <w:t>(H. Zou).</w:t>
      </w:r>
    </w:p>
    <w:p w:rsidR="00171A83" w:rsidRDefault="00171A83">
      <w:pPr>
        <w:widowControl/>
        <w:jc w:val="left"/>
      </w:pPr>
      <w:r>
        <w:br w:type="page"/>
      </w:r>
      <w:bookmarkStart w:id="0" w:name="_GoBack"/>
      <w:bookmarkEnd w:id="0"/>
    </w:p>
    <w:p w:rsidR="00171A83" w:rsidRDefault="00171A83" w:rsidP="00171A83">
      <w:pPr>
        <w:spacing w:line="480" w:lineRule="auto"/>
        <w:rPr>
          <w:rFonts w:ascii="Times New Roman" w:hAnsi="Times New Roman" w:cs="Times New Roman"/>
          <w:b/>
          <w:bCs/>
          <w:sz w:val="24"/>
          <w:szCs w:val="24"/>
        </w:rPr>
      </w:pPr>
      <w:r w:rsidRPr="004E2BA2">
        <w:rPr>
          <w:rFonts w:ascii="Times New Roman" w:hAnsi="Times New Roman" w:cs="Times New Roman"/>
          <w:b/>
          <w:bCs/>
          <w:sz w:val="24"/>
          <w:szCs w:val="24"/>
        </w:rPr>
        <w:lastRenderedPageBreak/>
        <w:t>1. Experimental</w:t>
      </w:r>
    </w:p>
    <w:p w:rsidR="00E52F58" w:rsidRPr="00E52F58" w:rsidRDefault="00E52F58" w:rsidP="00171A83">
      <w:pPr>
        <w:spacing w:line="480" w:lineRule="auto"/>
        <w:rPr>
          <w:rFonts w:ascii="Times New Roman" w:hAnsi="Times New Roman" w:cs="Times New Roman"/>
          <w:i/>
          <w:iCs/>
          <w:color w:val="000000" w:themeColor="text1"/>
          <w:kern w:val="44"/>
          <w:sz w:val="24"/>
          <w:szCs w:val="24"/>
        </w:rPr>
      </w:pPr>
      <w:r w:rsidRPr="004E2BA2">
        <w:rPr>
          <w:rFonts w:ascii="Times New Roman" w:hAnsi="Times New Roman" w:cs="Times New Roman"/>
          <w:i/>
          <w:iCs/>
          <w:color w:val="000000" w:themeColor="text1"/>
          <w:kern w:val="44"/>
          <w:sz w:val="24"/>
          <w:szCs w:val="24"/>
        </w:rPr>
        <w:t>1.1. Characterizations</w:t>
      </w:r>
    </w:p>
    <w:p w:rsidR="00171A83" w:rsidRPr="00134ECA" w:rsidRDefault="00E52F58" w:rsidP="00134ECA">
      <w:pPr>
        <w:rPr>
          <w:rFonts w:ascii="Times New Roman" w:hAnsi="Times New Roman" w:cs="Times New Roman"/>
          <w:sz w:val="24"/>
          <w:szCs w:val="24"/>
        </w:rPr>
      </w:pPr>
      <w:r>
        <w:rPr>
          <w:rFonts w:ascii="Times New Roman" w:hAnsi="Times New Roman" w:cs="Times New Roman" w:hint="eastAsia"/>
          <w:sz w:val="24"/>
          <w:szCs w:val="24"/>
        </w:rPr>
        <w:t>Nuclear magnetic resonance (</w:t>
      </w:r>
      <w:r w:rsidRPr="004E2BA2">
        <w:rPr>
          <w:rFonts w:ascii="Times New Roman" w:hAnsi="Times New Roman" w:cs="Times New Roman"/>
          <w:sz w:val="24"/>
          <w:szCs w:val="24"/>
        </w:rPr>
        <w:t>NMR</w:t>
      </w:r>
      <w:r>
        <w:rPr>
          <w:rFonts w:ascii="Times New Roman" w:hAnsi="Times New Roman" w:cs="Times New Roman" w:hint="eastAsia"/>
          <w:sz w:val="24"/>
          <w:szCs w:val="24"/>
        </w:rPr>
        <w:t>)</w:t>
      </w:r>
      <w:r w:rsidRPr="004E2BA2">
        <w:rPr>
          <w:rFonts w:ascii="Times New Roman" w:hAnsi="Times New Roman" w:cs="Times New Roman"/>
          <w:sz w:val="24"/>
          <w:szCs w:val="24"/>
        </w:rPr>
        <w:t xml:space="preserve"> spectra were recorded on AV-300 spectrometer (</w:t>
      </w:r>
      <w:proofErr w:type="spellStart"/>
      <w:r w:rsidRPr="004E2BA2">
        <w:rPr>
          <w:rFonts w:ascii="Times New Roman" w:hAnsi="Times New Roman" w:cs="Times New Roman"/>
          <w:sz w:val="24"/>
          <w:szCs w:val="24"/>
        </w:rPr>
        <w:t>Bruker</w:t>
      </w:r>
      <w:proofErr w:type="spellEnd"/>
      <w:r w:rsidRPr="004E2BA2">
        <w:rPr>
          <w:rFonts w:ascii="Times New Roman" w:hAnsi="Times New Roman" w:cs="Times New Roman"/>
          <w:sz w:val="24"/>
          <w:szCs w:val="24"/>
        </w:rPr>
        <w:t xml:space="preserve">) at room temperature in </w:t>
      </w:r>
      <w:proofErr w:type="spellStart"/>
      <w:r w:rsidRPr="004E2BA2">
        <w:rPr>
          <w:rFonts w:ascii="Times New Roman" w:hAnsi="Times New Roman" w:cs="Times New Roman"/>
          <w:sz w:val="24"/>
          <w:szCs w:val="24"/>
        </w:rPr>
        <w:t>trifluoroacetic</w:t>
      </w:r>
      <w:proofErr w:type="spellEnd"/>
      <w:r w:rsidRPr="004E2BA2">
        <w:rPr>
          <w:rFonts w:ascii="Times New Roman" w:hAnsi="Times New Roman" w:cs="Times New Roman"/>
          <w:sz w:val="24"/>
          <w:szCs w:val="24"/>
        </w:rPr>
        <w:t xml:space="preserve"> acid-</w:t>
      </w:r>
      <w:r w:rsidRPr="004E2BA2">
        <w:rPr>
          <w:rFonts w:ascii="Times New Roman" w:hAnsi="Times New Roman" w:cs="Times New Roman"/>
          <w:i/>
          <w:iCs/>
          <w:sz w:val="24"/>
          <w:szCs w:val="24"/>
        </w:rPr>
        <w:t>d</w:t>
      </w:r>
      <w:r w:rsidRPr="004E2BA2">
        <w:rPr>
          <w:rFonts w:ascii="Times New Roman" w:hAnsi="Times New Roman" w:cs="Times New Roman"/>
          <w:sz w:val="24"/>
          <w:szCs w:val="24"/>
        </w:rPr>
        <w:t xml:space="preserve"> (TFA-</w:t>
      </w:r>
      <w:r w:rsidRPr="004E2BA2">
        <w:rPr>
          <w:rFonts w:ascii="Times New Roman" w:hAnsi="Times New Roman" w:cs="Times New Roman"/>
          <w:i/>
          <w:iCs/>
          <w:sz w:val="24"/>
          <w:szCs w:val="24"/>
        </w:rPr>
        <w:t>d</w:t>
      </w:r>
      <w:r w:rsidRPr="004E2BA2">
        <w:rPr>
          <w:rFonts w:ascii="Times New Roman" w:hAnsi="Times New Roman" w:cs="Times New Roman"/>
          <w:sz w:val="24"/>
          <w:szCs w:val="24"/>
        </w:rPr>
        <w:t>) or D</w:t>
      </w:r>
      <w:r w:rsidRPr="004E2BA2">
        <w:rPr>
          <w:rFonts w:ascii="Times New Roman" w:hAnsi="Times New Roman" w:cs="Times New Roman"/>
          <w:sz w:val="24"/>
          <w:szCs w:val="24"/>
          <w:vertAlign w:val="subscript"/>
        </w:rPr>
        <w:t>2</w:t>
      </w:r>
      <w:r w:rsidRPr="004E2BA2">
        <w:rPr>
          <w:rFonts w:ascii="Times New Roman" w:hAnsi="Times New Roman" w:cs="Times New Roman"/>
          <w:sz w:val="24"/>
          <w:szCs w:val="24"/>
        </w:rPr>
        <w:t xml:space="preserve">O. </w:t>
      </w:r>
      <w:r w:rsidR="00134ECA">
        <w:rPr>
          <w:rFonts w:ascii="Times New Roman" w:hAnsi="Times New Roman" w:cs="Times New Roman" w:hint="eastAsia"/>
          <w:sz w:val="24"/>
          <w:szCs w:val="24"/>
        </w:rPr>
        <w:t>S</w:t>
      </w:r>
      <w:r w:rsidR="00134ECA" w:rsidRPr="00134ECA">
        <w:rPr>
          <w:rFonts w:ascii="Times New Roman" w:hAnsi="Times New Roman" w:cs="Times New Roman"/>
          <w:sz w:val="24"/>
          <w:szCs w:val="24"/>
        </w:rPr>
        <w:t xml:space="preserve">canning electron microscopy (SEM) </w:t>
      </w:r>
      <w:r w:rsidR="00134ECA">
        <w:rPr>
          <w:rFonts w:ascii="Times New Roman" w:hAnsi="Times New Roman" w:cs="Times New Roman" w:hint="eastAsia"/>
          <w:sz w:val="24"/>
          <w:szCs w:val="24"/>
        </w:rPr>
        <w:t xml:space="preserve">was texted by </w:t>
      </w:r>
      <w:r w:rsidR="00134ECA">
        <w:rPr>
          <w:rFonts w:ascii="Times New Roman" w:hAnsi="Times New Roman" w:cs="Times New Roman"/>
          <w:sz w:val="24"/>
          <w:szCs w:val="24"/>
        </w:rPr>
        <w:t>XL30</w:t>
      </w:r>
      <w:r w:rsidR="00134ECA">
        <w:rPr>
          <w:rFonts w:ascii="Times New Roman" w:hAnsi="Times New Roman" w:cs="Times New Roman" w:hint="eastAsia"/>
          <w:sz w:val="24"/>
          <w:szCs w:val="24"/>
        </w:rPr>
        <w:t xml:space="preserve"> </w:t>
      </w:r>
      <w:r w:rsidR="00134ECA" w:rsidRPr="00134ECA">
        <w:rPr>
          <w:rFonts w:ascii="Times New Roman" w:hAnsi="Times New Roman" w:cs="Times New Roman"/>
          <w:sz w:val="24"/>
          <w:szCs w:val="24"/>
        </w:rPr>
        <w:t xml:space="preserve">SEM </w:t>
      </w:r>
      <w:r w:rsidR="00134ECA">
        <w:rPr>
          <w:rFonts w:ascii="Times New Roman" w:hAnsi="Times New Roman" w:cs="Times New Roman" w:hint="eastAsia"/>
          <w:sz w:val="24"/>
          <w:szCs w:val="24"/>
        </w:rPr>
        <w:t>(</w:t>
      </w:r>
      <w:r w:rsidR="00134ECA">
        <w:rPr>
          <w:rFonts w:ascii="Times New Roman" w:hAnsi="Times New Roman" w:cs="Times New Roman"/>
          <w:sz w:val="24"/>
          <w:szCs w:val="24"/>
        </w:rPr>
        <w:t>Philips</w:t>
      </w:r>
      <w:r w:rsidR="00134ECA">
        <w:rPr>
          <w:rFonts w:ascii="Times New Roman" w:hAnsi="Times New Roman" w:cs="Times New Roman" w:hint="eastAsia"/>
          <w:sz w:val="24"/>
          <w:szCs w:val="24"/>
        </w:rPr>
        <w:t>)</w:t>
      </w:r>
      <w:r w:rsidR="00134ECA" w:rsidRPr="00134ECA">
        <w:rPr>
          <w:rFonts w:ascii="Times New Roman" w:hAnsi="Times New Roman" w:cs="Times New Roman"/>
          <w:sz w:val="24"/>
          <w:szCs w:val="24"/>
        </w:rPr>
        <w:t xml:space="preserve"> at an acceleration voltage of 10 kV.</w:t>
      </w:r>
      <w:r w:rsidR="00134ECA">
        <w:rPr>
          <w:rFonts w:ascii="Times New Roman" w:hAnsi="Times New Roman" w:cs="Times New Roman" w:hint="eastAsia"/>
          <w:sz w:val="24"/>
          <w:szCs w:val="24"/>
        </w:rPr>
        <w:t xml:space="preserve"> </w:t>
      </w:r>
      <w:r w:rsidRPr="004E2BA2">
        <w:rPr>
          <w:rFonts w:ascii="Times New Roman" w:hAnsi="Times New Roman" w:cs="Times New Roman"/>
          <w:sz w:val="24"/>
          <w:szCs w:val="24"/>
        </w:rPr>
        <w:t>Fourier-transform infrared (FT−IR) spectra were recorded on a Bio-Rad Win-IR instrument using potassium bromide method.</w:t>
      </w:r>
      <w:r w:rsidRPr="00E52F58">
        <w:rPr>
          <w:rFonts w:ascii="Times New Roman" w:hAnsi="Times New Roman" w:cs="Times New Roman"/>
          <w:sz w:val="24"/>
          <w:szCs w:val="24"/>
        </w:rPr>
        <w:t xml:space="preserve"> Gel filtration chromatography (GFC) measurements were conducted on a waters GFC system </w:t>
      </w:r>
      <w:r w:rsidRPr="00134ECA">
        <w:rPr>
          <w:rFonts w:ascii="Times New Roman" w:hAnsi="Times New Roman" w:cs="Times New Roman"/>
          <w:sz w:val="24"/>
          <w:szCs w:val="24"/>
        </w:rPr>
        <w:t xml:space="preserve">(Waters </w:t>
      </w:r>
      <w:proofErr w:type="spellStart"/>
      <w:r w:rsidRPr="00134ECA">
        <w:rPr>
          <w:rFonts w:ascii="Times New Roman" w:hAnsi="Times New Roman" w:cs="Times New Roman"/>
          <w:sz w:val="24"/>
          <w:szCs w:val="24"/>
        </w:rPr>
        <w:t>Ultrapydrogel</w:t>
      </w:r>
      <w:proofErr w:type="spellEnd"/>
      <w:r w:rsidRPr="00134ECA">
        <w:rPr>
          <w:rFonts w:ascii="Times New Roman" w:hAnsi="Times New Roman" w:cs="Times New Roman"/>
          <w:sz w:val="24"/>
          <w:szCs w:val="24"/>
        </w:rPr>
        <w:t xml:space="preserve"> Linear column, 1515 HPLC pump with 2414 Refractive Index detector) using phosphate buffer (0.2 M, pH 7.4) as eluent (flow rate: 0.8 mL min−1, 35°C, and polyethylene glycol as standards). The change of particle size was determined by dynamic laser scattering (DLS) on </w:t>
      </w:r>
      <w:proofErr w:type="spellStart"/>
      <w:r w:rsidRPr="00134ECA">
        <w:rPr>
          <w:rFonts w:ascii="Times New Roman" w:hAnsi="Times New Roman" w:cs="Times New Roman"/>
          <w:sz w:val="24"/>
          <w:szCs w:val="24"/>
        </w:rPr>
        <w:t>Zetasizer</w:t>
      </w:r>
      <w:proofErr w:type="spellEnd"/>
      <w:r w:rsidRPr="00134ECA">
        <w:rPr>
          <w:rFonts w:ascii="Times New Roman" w:hAnsi="Times New Roman" w:cs="Times New Roman"/>
          <w:sz w:val="24"/>
          <w:szCs w:val="24"/>
        </w:rPr>
        <w:t xml:space="preserve"> Pro (Malvern Instrument, UK).</w:t>
      </w:r>
    </w:p>
    <w:p w:rsidR="00E52F58" w:rsidRPr="00134ECA" w:rsidRDefault="00E52F58" w:rsidP="00134ECA">
      <w:pPr>
        <w:rPr>
          <w:rFonts w:ascii="Times New Roman" w:hAnsi="Times New Roman" w:cs="Times New Roman"/>
          <w:sz w:val="24"/>
          <w:szCs w:val="24"/>
        </w:rPr>
      </w:pPr>
    </w:p>
    <w:p w:rsidR="00134ECA" w:rsidRPr="00134ECA" w:rsidRDefault="00134ECA" w:rsidP="00134ECA">
      <w:pPr>
        <w:spacing w:line="480" w:lineRule="auto"/>
        <w:rPr>
          <w:rFonts w:ascii="Times New Roman" w:hAnsi="Times New Roman" w:cs="Times New Roman"/>
          <w:i/>
          <w:iCs/>
          <w:color w:val="000000" w:themeColor="text1"/>
          <w:kern w:val="44"/>
          <w:sz w:val="24"/>
          <w:szCs w:val="24"/>
        </w:rPr>
      </w:pPr>
      <w:r>
        <w:rPr>
          <w:rFonts w:ascii="Times New Roman" w:hAnsi="Times New Roman" w:cs="Times New Roman" w:hint="eastAsia"/>
          <w:i/>
          <w:iCs/>
          <w:color w:val="000000" w:themeColor="text1"/>
          <w:kern w:val="44"/>
          <w:sz w:val="24"/>
          <w:szCs w:val="24"/>
        </w:rPr>
        <w:t>1.2</w:t>
      </w:r>
      <w:r w:rsidRPr="00134ECA">
        <w:rPr>
          <w:rFonts w:ascii="Times New Roman" w:hAnsi="Times New Roman" w:cs="Times New Roman"/>
          <w:i/>
          <w:iCs/>
          <w:color w:val="000000" w:themeColor="text1"/>
          <w:kern w:val="44"/>
          <w:sz w:val="24"/>
          <w:szCs w:val="24"/>
        </w:rPr>
        <w:t>. Cytotoxicity assessment</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 xml:space="preserve">The cytotoxicity of the hydrogel was assessed by live–dead staining and the </w:t>
      </w:r>
      <w:r w:rsidRPr="00134ECA">
        <w:rPr>
          <w:rFonts w:ascii="Times New Roman" w:eastAsia="仿宋_GB2312" w:hAnsi="Times New Roman" w:cs="Times New Roman"/>
          <w:color w:val="000000" w:themeColor="text1"/>
          <w:sz w:val="24"/>
          <w:szCs w:val="24"/>
        </w:rPr>
        <w:t>3-(4</w:t>
      </w:r>
      <w:proofErr w:type="gramStart"/>
      <w:r w:rsidRPr="00134ECA">
        <w:rPr>
          <w:rFonts w:ascii="Times New Roman" w:eastAsia="仿宋_GB2312" w:hAnsi="Times New Roman" w:cs="Times New Roman"/>
          <w:color w:val="000000" w:themeColor="text1"/>
          <w:sz w:val="24"/>
          <w:szCs w:val="24"/>
        </w:rPr>
        <w:t>,5</w:t>
      </w:r>
      <w:proofErr w:type="gramEnd"/>
      <w:r w:rsidRPr="00134ECA">
        <w:rPr>
          <w:rFonts w:ascii="Times New Roman" w:eastAsia="仿宋_GB2312" w:hAnsi="Times New Roman" w:cs="Times New Roman"/>
          <w:color w:val="000000" w:themeColor="text1"/>
          <w:sz w:val="24"/>
          <w:szCs w:val="24"/>
        </w:rPr>
        <w:t>-dimethylthiazol-2-yl)-2,5-diphenyltetrazolium bromide</w:t>
      </w:r>
      <w:r w:rsidRPr="00134ECA">
        <w:rPr>
          <w:rFonts w:ascii="Times New Roman" w:hAnsi="Times New Roman" w:cs="Times New Roman"/>
          <w:color w:val="000000" w:themeColor="text1"/>
          <w:sz w:val="24"/>
          <w:szCs w:val="24"/>
        </w:rPr>
        <w:t xml:space="preserve"> (MTT) assay. Briefly, </w:t>
      </w:r>
      <w:proofErr w:type="spellStart"/>
      <w:r w:rsidRPr="00134ECA">
        <w:rPr>
          <w:rFonts w:ascii="Times New Roman" w:hAnsi="Times New Roman" w:cs="Times New Roman"/>
          <w:color w:val="000000" w:themeColor="text1"/>
          <w:sz w:val="24"/>
          <w:szCs w:val="24"/>
        </w:rPr>
        <w:t>pheochromocytoma</w:t>
      </w:r>
      <w:proofErr w:type="spellEnd"/>
      <w:r w:rsidRPr="00134ECA">
        <w:rPr>
          <w:rFonts w:ascii="Times New Roman" w:hAnsi="Times New Roman" w:cs="Times New Roman"/>
          <w:color w:val="000000" w:themeColor="text1"/>
          <w:sz w:val="24"/>
          <w:szCs w:val="24"/>
        </w:rPr>
        <w:t xml:space="preserve"> (PC-12) cells were seeded on the </w:t>
      </w:r>
      <w:proofErr w:type="spellStart"/>
      <w:r w:rsidRPr="00134ECA">
        <w:rPr>
          <w:rFonts w:ascii="Times New Roman" w:hAnsi="Times New Roman" w:cs="Times New Roman"/>
          <w:color w:val="000000" w:themeColor="text1"/>
          <w:sz w:val="24"/>
          <w:szCs w:val="24"/>
        </w:rPr>
        <w:t>electroactive</w:t>
      </w:r>
      <w:proofErr w:type="spellEnd"/>
      <w:r w:rsidRPr="00134ECA">
        <w:rPr>
          <w:rFonts w:ascii="Times New Roman" w:hAnsi="Times New Roman" w:cs="Times New Roman"/>
          <w:color w:val="000000" w:themeColor="text1"/>
          <w:sz w:val="24"/>
          <w:szCs w:val="24"/>
        </w:rPr>
        <w:t xml:space="preserve"> hydrogel in a 24-well plate and cultured for 1, 3, or 5 days. The culture medium was replaced with a solution of 2 </w:t>
      </w:r>
      <w:proofErr w:type="spellStart"/>
      <w:r w:rsidRPr="00134ECA">
        <w:rPr>
          <w:rFonts w:ascii="Times New Roman" w:hAnsi="Times New Roman" w:cs="Times New Roman"/>
          <w:color w:val="000000" w:themeColor="text1"/>
          <w:sz w:val="24"/>
          <w:szCs w:val="24"/>
        </w:rPr>
        <w:t>μM</w:t>
      </w:r>
      <w:proofErr w:type="spellEnd"/>
      <w:r w:rsidRPr="00134ECA">
        <w:rPr>
          <w:rFonts w:ascii="Times New Roman" w:hAnsi="Times New Roman" w:cs="Times New Roman"/>
          <w:color w:val="000000" w:themeColor="text1"/>
          <w:sz w:val="24"/>
          <w:szCs w:val="24"/>
        </w:rPr>
        <w:t xml:space="preserve"> </w:t>
      </w:r>
      <w:proofErr w:type="spellStart"/>
      <w:r w:rsidRPr="00134ECA">
        <w:rPr>
          <w:rFonts w:ascii="Times New Roman" w:hAnsi="Times New Roman" w:cs="Times New Roman"/>
          <w:color w:val="000000" w:themeColor="text1"/>
          <w:sz w:val="24"/>
          <w:szCs w:val="24"/>
        </w:rPr>
        <w:t>calcein</w:t>
      </w:r>
      <w:proofErr w:type="spellEnd"/>
      <w:r w:rsidRPr="00134ECA">
        <w:rPr>
          <w:rFonts w:ascii="Times New Roman" w:hAnsi="Times New Roman" w:cs="Times New Roman"/>
          <w:color w:val="000000" w:themeColor="text1"/>
          <w:sz w:val="24"/>
          <w:szCs w:val="24"/>
        </w:rPr>
        <w:t xml:space="preserve"> AM and </w:t>
      </w:r>
      <w:proofErr w:type="gramStart"/>
      <w:r w:rsidRPr="00134ECA">
        <w:rPr>
          <w:rFonts w:ascii="Times New Roman" w:hAnsi="Times New Roman" w:cs="Times New Roman"/>
          <w:color w:val="000000" w:themeColor="text1"/>
          <w:sz w:val="24"/>
          <w:szCs w:val="24"/>
        </w:rPr>
        <w:t xml:space="preserve">4.5 </w:t>
      </w:r>
      <w:proofErr w:type="spellStart"/>
      <w:r w:rsidRPr="00134ECA">
        <w:rPr>
          <w:rFonts w:ascii="Times New Roman" w:hAnsi="Times New Roman" w:cs="Times New Roman"/>
          <w:color w:val="000000" w:themeColor="text1"/>
          <w:sz w:val="24"/>
          <w:szCs w:val="24"/>
        </w:rPr>
        <w:t>μM</w:t>
      </w:r>
      <w:proofErr w:type="spellEnd"/>
      <w:r w:rsidRPr="00134ECA">
        <w:rPr>
          <w:rFonts w:ascii="Times New Roman" w:hAnsi="Times New Roman" w:cs="Times New Roman"/>
          <w:color w:val="000000" w:themeColor="text1"/>
          <w:sz w:val="24"/>
          <w:szCs w:val="24"/>
        </w:rPr>
        <w:t xml:space="preserve"> </w:t>
      </w:r>
      <w:proofErr w:type="spellStart"/>
      <w:r w:rsidRPr="00134ECA">
        <w:rPr>
          <w:rFonts w:ascii="Times New Roman" w:eastAsia="仿宋_GB2312" w:hAnsi="Times New Roman" w:cs="Times New Roman"/>
          <w:color w:val="000000" w:themeColor="text1"/>
          <w:sz w:val="24"/>
          <w:szCs w:val="24"/>
        </w:rPr>
        <w:t>proidium</w:t>
      </w:r>
      <w:proofErr w:type="spellEnd"/>
      <w:r w:rsidRPr="00134ECA">
        <w:rPr>
          <w:rFonts w:ascii="Times New Roman" w:eastAsia="仿宋_GB2312" w:hAnsi="Times New Roman" w:cs="Times New Roman"/>
          <w:color w:val="000000" w:themeColor="text1"/>
          <w:sz w:val="24"/>
          <w:szCs w:val="24"/>
        </w:rPr>
        <w:t xml:space="preserve"> iodide</w:t>
      </w:r>
      <w:r w:rsidRPr="00134ECA" w:rsidDel="008E1C5D">
        <w:rPr>
          <w:rFonts w:ascii="Times New Roman" w:hAnsi="Times New Roman" w:cs="Times New Roman"/>
          <w:color w:val="000000" w:themeColor="text1"/>
          <w:sz w:val="24"/>
          <w:szCs w:val="24"/>
        </w:rPr>
        <w:t xml:space="preserve"> </w:t>
      </w:r>
      <w:r w:rsidRPr="00134ECA">
        <w:rPr>
          <w:rFonts w:ascii="Times New Roman" w:hAnsi="Times New Roman" w:cs="Times New Roman"/>
          <w:color w:val="000000" w:themeColor="text1"/>
          <w:sz w:val="24"/>
          <w:szCs w:val="24"/>
        </w:rPr>
        <w:t>(PI) (</w:t>
      </w:r>
      <w:proofErr w:type="spellStart"/>
      <w:r w:rsidRPr="00134ECA">
        <w:rPr>
          <w:rFonts w:ascii="Times New Roman" w:hAnsi="Times New Roman" w:cs="Times New Roman"/>
          <w:color w:val="000000" w:themeColor="text1"/>
          <w:sz w:val="24"/>
          <w:szCs w:val="24"/>
        </w:rPr>
        <w:t>Calcein</w:t>
      </w:r>
      <w:proofErr w:type="spellEnd"/>
      <w:r w:rsidRPr="00134ECA">
        <w:rPr>
          <w:rFonts w:ascii="Times New Roman" w:hAnsi="Times New Roman" w:cs="Times New Roman"/>
          <w:color w:val="000000" w:themeColor="text1"/>
          <w:sz w:val="24"/>
          <w:szCs w:val="24"/>
        </w:rPr>
        <w:t xml:space="preserve">-AM/PI Double Stain Kit; </w:t>
      </w:r>
      <w:proofErr w:type="spellStart"/>
      <w:r w:rsidRPr="00134ECA">
        <w:rPr>
          <w:rFonts w:ascii="Times New Roman" w:hAnsi="Times New Roman" w:cs="Times New Roman"/>
          <w:color w:val="000000" w:themeColor="text1"/>
          <w:sz w:val="24"/>
          <w:szCs w:val="24"/>
        </w:rPr>
        <w:t>Yeasen</w:t>
      </w:r>
      <w:proofErr w:type="spellEnd"/>
      <w:r w:rsidRPr="00134ECA">
        <w:rPr>
          <w:rFonts w:ascii="Times New Roman" w:hAnsi="Times New Roman" w:cs="Times New Roman"/>
          <w:color w:val="000000" w:themeColor="text1"/>
          <w:sz w:val="24"/>
          <w:szCs w:val="24"/>
        </w:rPr>
        <w:t>, Shanghai, China) in PBS, followed by incubation for 30 min</w:t>
      </w:r>
      <w:proofErr w:type="gramEnd"/>
      <w:r w:rsidRPr="00134ECA">
        <w:rPr>
          <w:rFonts w:ascii="Times New Roman" w:hAnsi="Times New Roman" w:cs="Times New Roman"/>
          <w:color w:val="000000" w:themeColor="text1"/>
          <w:sz w:val="24"/>
          <w:szCs w:val="24"/>
        </w:rPr>
        <w:t xml:space="preserve">. The cells were observed by confocal laser scanning microscopy (CLSM). Living cells were stained green by </w:t>
      </w:r>
      <w:proofErr w:type="spellStart"/>
      <w:r w:rsidRPr="00134ECA">
        <w:rPr>
          <w:rFonts w:ascii="Times New Roman" w:hAnsi="Times New Roman" w:cs="Times New Roman"/>
          <w:color w:val="000000" w:themeColor="text1"/>
          <w:sz w:val="24"/>
          <w:szCs w:val="24"/>
        </w:rPr>
        <w:t>calcein</w:t>
      </w:r>
      <w:proofErr w:type="spellEnd"/>
      <w:r w:rsidRPr="00134ECA">
        <w:rPr>
          <w:rFonts w:ascii="Times New Roman" w:hAnsi="Times New Roman" w:cs="Times New Roman"/>
          <w:color w:val="000000" w:themeColor="text1"/>
          <w:sz w:val="24"/>
          <w:szCs w:val="24"/>
        </w:rPr>
        <w:t xml:space="preserve"> AM and dead cells were stained red by PI </w:t>
      </w:r>
      <w:r w:rsidRPr="00134ECA">
        <w:rPr>
          <w:rFonts w:ascii="Times New Roman" w:hAnsi="Times New Roman" w:cs="Times New Roman"/>
          <w:color w:val="000000" w:themeColor="text1"/>
          <w:sz w:val="24"/>
          <w:szCs w:val="24"/>
        </w:rPr>
        <w:fldChar w:fldCharType="begin"/>
      </w:r>
      <w:r w:rsidRPr="00134ECA">
        <w:rPr>
          <w:rFonts w:ascii="Times New Roman" w:hAnsi="Times New Roman" w:cs="Times New Roman"/>
          <w:color w:val="000000" w:themeColor="text1"/>
          <w:sz w:val="24"/>
          <w:szCs w:val="24"/>
        </w:rPr>
        <w:instrText xml:space="preserve"> ADDIN EN.CITE &lt;EndNote&gt;&lt;Cite&gt;&lt;Author&gt;Fan&lt;/Author&gt;&lt;Year&gt;2017&lt;/Year&gt;&lt;RecNum&gt;44&lt;/RecNum&gt;&lt;DisplayText&gt;[26]&lt;/DisplayText&gt;&lt;record&gt;&lt;rec-number&gt;44&lt;/rec-number&gt;&lt;foreign-keys&gt;&lt;key app="EN" db-id="fxw5xr5vmat9saewa0e5tsww9v0trrzwzspt"&gt;44&lt;/key&gt;&lt;/foreign-keys&gt;&lt;ref-type name="Journal Article"&gt;17&lt;/ref-type&gt;&lt;contributors&gt;&lt;authors&gt;&lt;author&gt;Fan, Z. Y.&lt;/author&gt;&lt;author&gt;Ren, L.&lt;/author&gt;&lt;author&gt;Zhang, W. J.&lt;/author&gt;&lt;author&gt;Li, D. D.&lt;/author&gt;&lt;author&gt;Zhao, G. Q.&lt;/author&gt;&lt;author&gt;Yu, J. H.&lt;/author&gt;&lt;/authors&gt;&lt;/contributors&gt;&lt;titles&gt;&lt;title&gt;AIE luminogen-functionalised mesoporous silica nanoparticles as nanotheranostic agents for imaging guided synergetic chemo-/photothermal therapy&lt;/title&gt;&lt;secondary-title&gt;Inorganic Chemistry Frontiers&lt;/secondary-title&gt;&lt;short-title&gt;38&lt;/short-title&gt;&lt;/titles&gt;&lt;periodical&gt;&lt;full-title&gt;Inorganic Chemistry Frontiers&lt;/full-title&gt;&lt;/periodical&gt;&lt;pages&gt;833-839&lt;/pages&gt;&lt;volume&gt;4&lt;/volume&gt;&lt;number&gt;5&lt;/number&gt;&lt;dates&gt;&lt;year&gt;2017&lt;/year&gt;&lt;pub-dates&gt;&lt;date&gt;May&lt;/date&gt;&lt;/pub-dates&gt;&lt;/dates&gt;&lt;isbn&gt;2052-1553&lt;/isbn&gt;&lt;accession-num&gt;WOS:000401554000012&lt;/accession-num&gt;&lt;urls&gt;&lt;related-urls&gt;&lt;url&gt;&amp;lt;Go to ISI&amp;gt;://WOS:000401554000012&lt;/url&gt;&lt;/related-urls&gt;&lt;/urls&gt;&lt;electronic-resource-num&gt;10.1039/c7qi00046d&lt;/electronic-resource-num&gt;&lt;/record&gt;&lt;/Cite&gt;&lt;/EndNote&gt;</w:instrText>
      </w:r>
      <w:r w:rsidRPr="00134ECA">
        <w:rPr>
          <w:rFonts w:ascii="Times New Roman" w:hAnsi="Times New Roman" w:cs="Times New Roman"/>
          <w:color w:val="000000" w:themeColor="text1"/>
          <w:sz w:val="24"/>
          <w:szCs w:val="24"/>
        </w:rPr>
        <w:fldChar w:fldCharType="separate"/>
      </w:r>
      <w:r w:rsidR="00F63808">
        <w:rPr>
          <w:rFonts w:ascii="Times New Roman" w:hAnsi="Times New Roman" w:cs="Times New Roman"/>
          <w:noProof/>
          <w:color w:val="000000" w:themeColor="text1"/>
          <w:sz w:val="24"/>
          <w:szCs w:val="24"/>
        </w:rPr>
        <w:t>[</w:t>
      </w:r>
      <w:r w:rsidR="00F63808">
        <w:rPr>
          <w:rFonts w:ascii="Times New Roman" w:hAnsi="Times New Roman" w:cs="Times New Roman" w:hint="eastAsia"/>
          <w:noProof/>
          <w:color w:val="000000" w:themeColor="text1"/>
          <w:sz w:val="24"/>
          <w:szCs w:val="24"/>
        </w:rPr>
        <w:t>1</w:t>
      </w:r>
      <w:r w:rsidRPr="00134ECA">
        <w:rPr>
          <w:rFonts w:ascii="Times New Roman" w:hAnsi="Times New Roman" w:cs="Times New Roman"/>
          <w:noProof/>
          <w:color w:val="000000" w:themeColor="text1"/>
          <w:sz w:val="24"/>
          <w:szCs w:val="24"/>
        </w:rPr>
        <w:t>]</w:t>
      </w:r>
      <w:r w:rsidRPr="00134ECA">
        <w:rPr>
          <w:rFonts w:ascii="Times New Roman" w:hAnsi="Times New Roman" w:cs="Times New Roman"/>
          <w:color w:val="000000" w:themeColor="text1"/>
          <w:sz w:val="24"/>
          <w:szCs w:val="24"/>
        </w:rPr>
        <w:fldChar w:fldCharType="end"/>
      </w:r>
      <w:r w:rsidRPr="00134ECA">
        <w:rPr>
          <w:rFonts w:ascii="Times New Roman" w:hAnsi="Times New Roman" w:cs="Times New Roman"/>
          <w:color w:val="000000" w:themeColor="text1"/>
          <w:sz w:val="24"/>
          <w:szCs w:val="24"/>
        </w:rPr>
        <w:t>.</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For the MTT assay, PC-12 cells were seeded at a density of 8×10</w:t>
      </w:r>
      <w:r w:rsidRPr="00134ECA">
        <w:rPr>
          <w:rFonts w:ascii="Times New Roman" w:hAnsi="Times New Roman" w:cs="Times New Roman"/>
          <w:color w:val="000000" w:themeColor="text1"/>
          <w:sz w:val="24"/>
          <w:szCs w:val="24"/>
          <w:vertAlign w:val="superscript"/>
        </w:rPr>
        <w:t>3</w:t>
      </w:r>
      <w:r w:rsidRPr="00134ECA">
        <w:rPr>
          <w:rFonts w:ascii="Times New Roman" w:hAnsi="Times New Roman" w:cs="Times New Roman"/>
          <w:color w:val="000000" w:themeColor="text1"/>
          <w:sz w:val="24"/>
          <w:szCs w:val="24"/>
        </w:rPr>
        <w:t xml:space="preserve"> cells/well in a 96-well plate in 180.0 µL Dulbecco’s modified Eagle’s medium (DMEM; </w:t>
      </w:r>
      <w:proofErr w:type="spellStart"/>
      <w:r w:rsidRPr="00134ECA">
        <w:rPr>
          <w:rFonts w:ascii="Times New Roman" w:hAnsi="Times New Roman" w:cs="Times New Roman"/>
          <w:color w:val="000000" w:themeColor="text1"/>
          <w:sz w:val="24"/>
          <w:szCs w:val="24"/>
        </w:rPr>
        <w:t>Gibco</w:t>
      </w:r>
      <w:proofErr w:type="spellEnd"/>
      <w:r w:rsidRPr="00134ECA">
        <w:rPr>
          <w:rFonts w:ascii="Times New Roman" w:hAnsi="Times New Roman" w:cs="Times New Roman"/>
          <w:color w:val="000000" w:themeColor="text1"/>
          <w:sz w:val="24"/>
          <w:szCs w:val="24"/>
        </w:rPr>
        <w:t xml:space="preserve">, Grand Island, NY, USA). After incubation for 24 h, 20.0 µL of copolymer solution at different concentrations (31.3–500.0 µg/mL) was added. The cells were incubated for another 24 or 48 h, and 20.0 </w:t>
      </w:r>
      <w:proofErr w:type="spellStart"/>
      <w:r w:rsidRPr="00134ECA">
        <w:rPr>
          <w:rFonts w:ascii="Times New Roman" w:hAnsi="Times New Roman" w:cs="Times New Roman"/>
          <w:color w:val="000000" w:themeColor="text1"/>
          <w:sz w:val="24"/>
          <w:szCs w:val="24"/>
        </w:rPr>
        <w:t>μL</w:t>
      </w:r>
      <w:proofErr w:type="spellEnd"/>
      <w:r w:rsidRPr="00134ECA">
        <w:rPr>
          <w:rFonts w:ascii="Times New Roman" w:hAnsi="Times New Roman" w:cs="Times New Roman"/>
          <w:color w:val="000000" w:themeColor="text1"/>
          <w:sz w:val="24"/>
          <w:szCs w:val="24"/>
        </w:rPr>
        <w:t xml:space="preserve"> of PBS containing MTT (0.05 mg/mL) was added, followed by incubation for 4 h. The medium was replaced with 160.0 µL of dimethyl </w:t>
      </w:r>
      <w:proofErr w:type="spellStart"/>
      <w:r w:rsidRPr="00134ECA">
        <w:rPr>
          <w:rFonts w:ascii="Times New Roman" w:hAnsi="Times New Roman" w:cs="Times New Roman"/>
          <w:color w:val="000000" w:themeColor="text1"/>
          <w:sz w:val="24"/>
          <w:szCs w:val="24"/>
        </w:rPr>
        <w:t>sulfoxide</w:t>
      </w:r>
      <w:proofErr w:type="spellEnd"/>
      <w:r w:rsidRPr="00134ECA">
        <w:rPr>
          <w:rFonts w:ascii="Times New Roman" w:hAnsi="Times New Roman" w:cs="Times New Roman"/>
          <w:color w:val="000000" w:themeColor="text1"/>
          <w:sz w:val="24"/>
          <w:szCs w:val="24"/>
        </w:rPr>
        <w:t xml:space="preserve"> (DMSO). The absorbance of the solution was measured at 490 nm on a </w:t>
      </w:r>
      <w:proofErr w:type="spellStart"/>
      <w:r w:rsidRPr="00134ECA">
        <w:rPr>
          <w:rFonts w:ascii="Times New Roman" w:hAnsi="Times New Roman" w:cs="Times New Roman"/>
          <w:color w:val="000000" w:themeColor="text1"/>
          <w:sz w:val="24"/>
          <w:szCs w:val="24"/>
        </w:rPr>
        <w:t>microplate</w:t>
      </w:r>
      <w:proofErr w:type="spellEnd"/>
      <w:r w:rsidRPr="00134ECA">
        <w:rPr>
          <w:rFonts w:ascii="Times New Roman" w:hAnsi="Times New Roman" w:cs="Times New Roman"/>
          <w:color w:val="000000" w:themeColor="text1"/>
          <w:sz w:val="24"/>
          <w:szCs w:val="24"/>
        </w:rPr>
        <w:t xml:space="preserve"> reader (model 680; Bio-Rad, Hercules, CA, USA). Cell viability (%) was calculated using equation (1):</w:t>
      </w:r>
    </w:p>
    <w:p w:rsidR="00134ECA" w:rsidRPr="00134ECA" w:rsidRDefault="00134ECA" w:rsidP="00134ECA">
      <w:pPr>
        <w:snapToGrid w:val="0"/>
        <w:ind w:firstLineChars="150" w:firstLine="360"/>
        <w:jc w:val="center"/>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 xml:space="preserve">Cell viability = </w:t>
      </w:r>
      <w:proofErr w:type="spellStart"/>
      <w:r w:rsidRPr="00134ECA">
        <w:rPr>
          <w:rFonts w:ascii="Times New Roman" w:hAnsi="Times New Roman" w:cs="Times New Roman"/>
          <w:i/>
          <w:color w:val="000000" w:themeColor="text1"/>
          <w:sz w:val="24"/>
          <w:szCs w:val="24"/>
        </w:rPr>
        <w:t>A</w:t>
      </w:r>
      <w:r w:rsidRPr="00134ECA">
        <w:rPr>
          <w:rFonts w:ascii="Times New Roman" w:hAnsi="Times New Roman" w:cs="Times New Roman"/>
          <w:color w:val="000000" w:themeColor="text1"/>
          <w:sz w:val="24"/>
          <w:szCs w:val="24"/>
          <w:vertAlign w:val="subscript"/>
        </w:rPr>
        <w:t>sample</w:t>
      </w:r>
      <w:proofErr w:type="spellEnd"/>
      <w:r w:rsidRPr="00134ECA">
        <w:rPr>
          <w:rFonts w:ascii="Times New Roman" w:hAnsi="Times New Roman" w:cs="Times New Roman"/>
          <w:color w:val="000000" w:themeColor="text1"/>
          <w:sz w:val="24"/>
          <w:szCs w:val="24"/>
        </w:rPr>
        <w:t xml:space="preserve"> / </w:t>
      </w:r>
      <w:proofErr w:type="spellStart"/>
      <w:r w:rsidRPr="00134ECA">
        <w:rPr>
          <w:rFonts w:ascii="Times New Roman" w:hAnsi="Times New Roman" w:cs="Times New Roman"/>
          <w:i/>
          <w:color w:val="000000" w:themeColor="text1"/>
          <w:sz w:val="24"/>
          <w:szCs w:val="24"/>
        </w:rPr>
        <w:t>A</w:t>
      </w:r>
      <w:r w:rsidRPr="00134ECA">
        <w:rPr>
          <w:rFonts w:ascii="Times New Roman" w:hAnsi="Times New Roman" w:cs="Times New Roman"/>
          <w:color w:val="000000" w:themeColor="text1"/>
          <w:sz w:val="24"/>
          <w:szCs w:val="24"/>
          <w:vertAlign w:val="subscript"/>
        </w:rPr>
        <w:t>control</w:t>
      </w:r>
      <w:proofErr w:type="spellEnd"/>
      <w:r w:rsidRPr="00134ECA">
        <w:rPr>
          <w:rFonts w:ascii="Times New Roman" w:hAnsi="Times New Roman" w:cs="Times New Roman"/>
          <w:color w:val="000000" w:themeColor="text1"/>
          <w:sz w:val="24"/>
          <w:szCs w:val="24"/>
        </w:rPr>
        <w:t xml:space="preserve"> × 100                                 (1)</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proofErr w:type="gramStart"/>
      <w:r w:rsidRPr="00134ECA">
        <w:rPr>
          <w:rFonts w:ascii="Times New Roman" w:hAnsi="Times New Roman" w:cs="Times New Roman"/>
          <w:color w:val="000000" w:themeColor="text1"/>
          <w:sz w:val="24"/>
          <w:szCs w:val="24"/>
        </w:rPr>
        <w:t>where</w:t>
      </w:r>
      <w:proofErr w:type="gramEnd"/>
      <w:r w:rsidRPr="00134ECA">
        <w:rPr>
          <w:rFonts w:ascii="Times New Roman" w:hAnsi="Times New Roman" w:cs="Times New Roman"/>
          <w:color w:val="000000" w:themeColor="text1"/>
          <w:sz w:val="24"/>
          <w:szCs w:val="24"/>
        </w:rPr>
        <w:t xml:space="preserve"> </w:t>
      </w:r>
      <w:proofErr w:type="spellStart"/>
      <w:r w:rsidRPr="00134ECA">
        <w:rPr>
          <w:rFonts w:ascii="Times New Roman" w:hAnsi="Times New Roman" w:cs="Times New Roman"/>
          <w:i/>
          <w:color w:val="000000" w:themeColor="text1"/>
          <w:sz w:val="24"/>
          <w:szCs w:val="24"/>
        </w:rPr>
        <w:t>A</w:t>
      </w:r>
      <w:r w:rsidRPr="00134ECA">
        <w:rPr>
          <w:rFonts w:ascii="Times New Roman" w:hAnsi="Times New Roman" w:cs="Times New Roman"/>
          <w:color w:val="000000" w:themeColor="text1"/>
          <w:sz w:val="24"/>
          <w:szCs w:val="24"/>
          <w:vertAlign w:val="subscript"/>
        </w:rPr>
        <w:t>sample</w:t>
      </w:r>
      <w:proofErr w:type="spellEnd"/>
      <w:r w:rsidRPr="00134ECA">
        <w:rPr>
          <w:rFonts w:ascii="Times New Roman" w:hAnsi="Times New Roman" w:cs="Times New Roman"/>
          <w:color w:val="000000" w:themeColor="text1"/>
          <w:sz w:val="24"/>
          <w:szCs w:val="24"/>
        </w:rPr>
        <w:t xml:space="preserve"> and </w:t>
      </w:r>
      <w:proofErr w:type="spellStart"/>
      <w:r w:rsidRPr="00134ECA">
        <w:rPr>
          <w:rFonts w:ascii="Times New Roman" w:hAnsi="Times New Roman" w:cs="Times New Roman"/>
          <w:i/>
          <w:color w:val="000000" w:themeColor="text1"/>
          <w:sz w:val="24"/>
          <w:szCs w:val="24"/>
        </w:rPr>
        <w:t>A</w:t>
      </w:r>
      <w:r w:rsidRPr="00134ECA">
        <w:rPr>
          <w:rFonts w:ascii="Times New Roman" w:hAnsi="Times New Roman" w:cs="Times New Roman"/>
          <w:color w:val="000000" w:themeColor="text1"/>
          <w:sz w:val="24"/>
          <w:szCs w:val="24"/>
          <w:vertAlign w:val="subscript"/>
        </w:rPr>
        <w:t>control</w:t>
      </w:r>
      <w:proofErr w:type="spellEnd"/>
      <w:r w:rsidRPr="00134ECA">
        <w:rPr>
          <w:rFonts w:ascii="Times New Roman" w:hAnsi="Times New Roman" w:cs="Times New Roman"/>
          <w:color w:val="000000" w:themeColor="text1"/>
          <w:sz w:val="24"/>
          <w:szCs w:val="24"/>
        </w:rPr>
        <w:t xml:space="preserve"> are the absorbance values of the sample and control wells, respectively.</w:t>
      </w:r>
    </w:p>
    <w:p w:rsidR="00134ECA" w:rsidRPr="00134ECA" w:rsidRDefault="00134ECA" w:rsidP="00134ECA">
      <w:pPr>
        <w:spacing w:line="480" w:lineRule="auto"/>
        <w:rPr>
          <w:rFonts w:ascii="Times New Roman" w:hAnsi="Times New Roman" w:cs="Times New Roman"/>
          <w:i/>
          <w:iCs/>
          <w:color w:val="000000" w:themeColor="text1"/>
          <w:kern w:val="44"/>
          <w:sz w:val="24"/>
          <w:szCs w:val="24"/>
        </w:rPr>
      </w:pPr>
      <w:r>
        <w:rPr>
          <w:rFonts w:ascii="Times New Roman" w:hAnsi="Times New Roman" w:cs="Times New Roman" w:hint="eastAsia"/>
          <w:i/>
          <w:iCs/>
          <w:color w:val="000000" w:themeColor="text1"/>
          <w:kern w:val="44"/>
          <w:sz w:val="24"/>
          <w:szCs w:val="24"/>
        </w:rPr>
        <w:t>1.3</w:t>
      </w:r>
      <w:r w:rsidRPr="00134ECA">
        <w:rPr>
          <w:rFonts w:ascii="Times New Roman" w:hAnsi="Times New Roman" w:cs="Times New Roman"/>
          <w:i/>
          <w:iCs/>
          <w:color w:val="000000" w:themeColor="text1"/>
          <w:kern w:val="44"/>
          <w:sz w:val="24"/>
          <w:szCs w:val="24"/>
        </w:rPr>
        <w:t>. Functional recovery assessment</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Functional recovery after SCI was evaluated starting at 12 weeks after the operation</w:t>
      </w:r>
      <w:r w:rsidRPr="00134ECA" w:rsidDel="00CE42D1">
        <w:rPr>
          <w:rFonts w:ascii="Times New Roman" w:hAnsi="Times New Roman" w:cs="Times New Roman"/>
          <w:color w:val="000000" w:themeColor="text1"/>
          <w:sz w:val="24"/>
          <w:szCs w:val="24"/>
        </w:rPr>
        <w:t xml:space="preserve"> </w:t>
      </w:r>
      <w:r w:rsidRPr="00134ECA">
        <w:rPr>
          <w:rFonts w:ascii="Times New Roman" w:hAnsi="Times New Roman" w:cs="Times New Roman"/>
          <w:color w:val="000000" w:themeColor="text1"/>
          <w:sz w:val="24"/>
          <w:szCs w:val="24"/>
        </w:rPr>
        <w:t xml:space="preserve">with the </w:t>
      </w:r>
      <w:r w:rsidRPr="00134ECA">
        <w:rPr>
          <w:rFonts w:ascii="Times New Roman" w:eastAsia="仿宋_GB2312" w:hAnsi="Times New Roman" w:cs="Times New Roman"/>
          <w:color w:val="000000" w:themeColor="text1"/>
          <w:sz w:val="24"/>
          <w:szCs w:val="24"/>
        </w:rPr>
        <w:t xml:space="preserve">Basso, Beattie, and </w:t>
      </w:r>
      <w:proofErr w:type="spellStart"/>
      <w:r w:rsidRPr="00134ECA">
        <w:rPr>
          <w:rFonts w:ascii="Times New Roman" w:eastAsia="仿宋_GB2312" w:hAnsi="Times New Roman" w:cs="Times New Roman"/>
          <w:color w:val="000000" w:themeColor="text1"/>
          <w:sz w:val="24"/>
          <w:szCs w:val="24"/>
        </w:rPr>
        <w:t>Bresnahan</w:t>
      </w:r>
      <w:proofErr w:type="spellEnd"/>
      <w:r w:rsidRPr="00134ECA">
        <w:rPr>
          <w:rFonts w:ascii="Times New Roman" w:hAnsi="Times New Roman" w:cs="Times New Roman"/>
          <w:color w:val="000000" w:themeColor="text1"/>
          <w:sz w:val="24"/>
          <w:szCs w:val="24"/>
        </w:rPr>
        <w:t xml:space="preserve"> (BBB) score, footprint test, and by </w:t>
      </w:r>
      <w:proofErr w:type="spellStart"/>
      <w:r w:rsidRPr="00134ECA">
        <w:rPr>
          <w:rFonts w:ascii="Times New Roman" w:hAnsi="Times New Roman" w:cs="Times New Roman"/>
          <w:color w:val="000000" w:themeColor="text1"/>
          <w:sz w:val="24"/>
          <w:szCs w:val="24"/>
        </w:rPr>
        <w:t>electrophysiologic</w:t>
      </w:r>
      <w:proofErr w:type="spellEnd"/>
      <w:r w:rsidRPr="00134ECA">
        <w:rPr>
          <w:rFonts w:ascii="Times New Roman" w:hAnsi="Times New Roman" w:cs="Times New Roman"/>
          <w:color w:val="000000" w:themeColor="text1"/>
          <w:sz w:val="24"/>
          <w:szCs w:val="24"/>
        </w:rPr>
        <w:t xml:space="preserve"> recording. The recovery of right lower limb function was evaluated weekly using the BBB score </w:t>
      </w:r>
      <w:r w:rsidRPr="00134ECA">
        <w:rPr>
          <w:rFonts w:ascii="Times New Roman" w:hAnsi="Times New Roman" w:cs="Times New Roman"/>
          <w:color w:val="000000" w:themeColor="text1"/>
          <w:sz w:val="24"/>
          <w:szCs w:val="24"/>
        </w:rPr>
        <w:fldChar w:fldCharType="begin"/>
      </w:r>
      <w:r w:rsidRPr="00134ECA">
        <w:rPr>
          <w:rFonts w:ascii="Times New Roman" w:hAnsi="Times New Roman" w:cs="Times New Roman"/>
          <w:color w:val="000000" w:themeColor="text1"/>
          <w:sz w:val="24"/>
          <w:szCs w:val="24"/>
        </w:rPr>
        <w:instrText xml:space="preserve"> ADDIN EN.CITE &lt;EndNote&gt;&lt;Cite&gt;&lt;Author&gt;Scheff&lt;/Author&gt;&lt;Year&gt;2002&lt;/Year&gt;&lt;RecNum&gt;34&lt;/RecNum&gt;&lt;DisplayText&gt;[22]&lt;/DisplayText&gt;&lt;record&gt;&lt;rec-number&gt;34&lt;/rec-number&gt;&lt;foreign-keys&gt;&lt;key app="EN" db-id="fxw5xr5vmat9saewa0e5tsww9v0trrzwzspt"&gt;34&lt;/key&gt;&lt;/foreign-keys&gt;&lt;ref-type name="Journal Article"&gt;17&lt;/ref-type&gt;&lt;contributors&gt;&lt;authors&gt;&lt;author&gt;Scheff, S. W.&lt;/author&gt;&lt;author&gt;Saucier, D. A.&lt;/author&gt;&lt;author&gt;Cain, M. E.&lt;/author&gt;&lt;/authors&gt;&lt;/contributors&gt;&lt;auth-address&gt;Sanders-Brown Center on Aging, University of Kentucky, Lexington 40536, USA. sscheff@uky.edu&lt;/auth-address&gt;&lt;titles&gt;&lt;title&gt;A statistical method for analyzing rating scale data: the BBB locomotor score&lt;/title&gt;&lt;secondary-title&gt;J Neurotrauma&lt;/secondary-title&gt;&lt;alt-title&gt;Journal of neurotrauma&lt;/alt-title&gt;&lt;short-title&gt;27&lt;/short-title&gt;&lt;/titles&gt;&lt;periodical&gt;&lt;full-title&gt;J Neurotrauma&lt;/full-title&gt;&lt;abbr-1&gt;Journal of neurotrauma&lt;/abbr-1&gt;&lt;/periodical&gt;&lt;alt-periodical&gt;&lt;full-title&gt;J Neurotrauma&lt;/full-title&gt;&lt;abbr-1&gt;Journal of neurotrauma&lt;/abbr-1&gt;&lt;/alt-periodical&gt;&lt;pages&gt;1251-60&lt;/pages&gt;&lt;volume&gt;19&lt;/volume&gt;&lt;number&gt;10&lt;/number&gt;&lt;edition&gt;2002/11/13&lt;/edition&gt;&lt;keywords&gt;&lt;keyword&gt;*Analysis of Variance&lt;/keyword&gt;&lt;keyword&gt;Animals&lt;/keyword&gt;&lt;keyword&gt;*Motor Activity&lt;/keyword&gt;&lt;keyword&gt;Rats&lt;/keyword&gt;&lt;keyword&gt;Recovery of Function&lt;/keyword&gt;&lt;keyword&gt;Spinal Cord Injuries/*diagnosis/physiopathology&lt;/keyword&gt;&lt;keyword&gt;*Trauma Severity Indices&lt;/keyword&gt;&lt;/keywords&gt;&lt;dates&gt;&lt;year&gt;2002&lt;/year&gt;&lt;pub-dates&gt;&lt;date&gt;Oct&lt;/date&gt;&lt;/pub-dates&gt;&lt;/dates&gt;&lt;isbn&gt;0897-7151 (Print)&amp;#xD;0897-7151&lt;/isbn&gt;&lt;accession-num&gt;12427332&lt;/accession-num&gt;&lt;urls&gt;&lt;/urls&gt;&lt;electronic-resource-num&gt;10.1089/08977150260338038&lt;/electronic-resource-num&gt;&lt;remote-database-provider&gt;Nlm&lt;/remote-database-provider&gt;&lt;language&gt;eng&lt;/language&gt;&lt;/record&gt;&lt;/Cite&gt;&lt;/EndNote&gt;</w:instrText>
      </w:r>
      <w:r w:rsidRPr="00134ECA">
        <w:rPr>
          <w:rFonts w:ascii="Times New Roman" w:hAnsi="Times New Roman" w:cs="Times New Roman"/>
          <w:color w:val="000000" w:themeColor="text1"/>
          <w:sz w:val="24"/>
          <w:szCs w:val="24"/>
        </w:rPr>
        <w:fldChar w:fldCharType="separate"/>
      </w:r>
      <w:r w:rsidRPr="00134ECA">
        <w:rPr>
          <w:rFonts w:ascii="Times New Roman" w:hAnsi="Times New Roman" w:cs="Times New Roman"/>
          <w:noProof/>
          <w:color w:val="000000" w:themeColor="text1"/>
          <w:sz w:val="24"/>
          <w:szCs w:val="24"/>
        </w:rPr>
        <w:t>[</w:t>
      </w:r>
      <w:r w:rsidR="00F63808">
        <w:rPr>
          <w:rFonts w:ascii="Times New Roman" w:hAnsi="Times New Roman" w:cs="Times New Roman" w:hint="eastAsia"/>
          <w:sz w:val="24"/>
          <w:szCs w:val="24"/>
        </w:rPr>
        <w:t>2</w:t>
      </w:r>
      <w:r w:rsidRPr="00134ECA">
        <w:rPr>
          <w:rFonts w:ascii="Times New Roman" w:hAnsi="Times New Roman" w:cs="Times New Roman"/>
          <w:noProof/>
          <w:color w:val="000000" w:themeColor="text1"/>
          <w:sz w:val="24"/>
          <w:szCs w:val="24"/>
        </w:rPr>
        <w:t>]</w:t>
      </w:r>
      <w:r w:rsidRPr="00134ECA">
        <w:rPr>
          <w:rFonts w:ascii="Times New Roman" w:hAnsi="Times New Roman" w:cs="Times New Roman"/>
          <w:color w:val="000000" w:themeColor="text1"/>
          <w:sz w:val="24"/>
          <w:szCs w:val="24"/>
        </w:rPr>
        <w:fldChar w:fldCharType="end"/>
      </w:r>
      <w:r w:rsidRPr="00134ECA">
        <w:rPr>
          <w:rFonts w:ascii="Times New Roman" w:hAnsi="Times New Roman" w:cs="Times New Roman"/>
          <w:color w:val="000000" w:themeColor="text1"/>
          <w:sz w:val="24"/>
          <w:szCs w:val="24"/>
        </w:rPr>
        <w:t>. The footprint test was conducted as follows. The plantar surface of both hind limbs of each rat was colored blue (left) and red (right) with nontoxic ink. The rat was allowed to run toward a dark tunnel on a white paper (21×59.4 cm</w:t>
      </w:r>
      <w:r w:rsidRPr="00134ECA">
        <w:rPr>
          <w:rFonts w:ascii="Times New Roman" w:hAnsi="Times New Roman" w:cs="Times New Roman"/>
          <w:color w:val="000000" w:themeColor="text1"/>
          <w:sz w:val="24"/>
          <w:szCs w:val="24"/>
          <w:vertAlign w:val="superscript"/>
        </w:rPr>
        <w:t>2</w:t>
      </w:r>
      <w:r w:rsidRPr="00134ECA">
        <w:rPr>
          <w:rFonts w:ascii="Times New Roman" w:hAnsi="Times New Roman" w:cs="Times New Roman"/>
          <w:color w:val="000000" w:themeColor="text1"/>
          <w:sz w:val="24"/>
          <w:szCs w:val="24"/>
        </w:rPr>
        <w:t xml:space="preserve">). Stride length (distance between the centers of adjacent </w:t>
      </w:r>
      <w:proofErr w:type="spellStart"/>
      <w:r w:rsidRPr="00134ECA">
        <w:rPr>
          <w:rFonts w:ascii="Times New Roman" w:hAnsi="Times New Roman" w:cs="Times New Roman"/>
          <w:color w:val="000000" w:themeColor="text1"/>
          <w:sz w:val="24"/>
          <w:szCs w:val="24"/>
        </w:rPr>
        <w:t>ipsilateral</w:t>
      </w:r>
      <w:proofErr w:type="spellEnd"/>
      <w:r w:rsidRPr="00134ECA">
        <w:rPr>
          <w:rFonts w:ascii="Times New Roman" w:hAnsi="Times New Roman" w:cs="Times New Roman"/>
          <w:color w:val="000000" w:themeColor="text1"/>
          <w:sz w:val="24"/>
          <w:szCs w:val="24"/>
        </w:rPr>
        <w:t xml:space="preserve"> </w:t>
      </w:r>
      <w:r w:rsidRPr="00134ECA">
        <w:rPr>
          <w:rFonts w:ascii="Times New Roman" w:hAnsi="Times New Roman" w:cs="Times New Roman"/>
          <w:color w:val="000000" w:themeColor="text1"/>
          <w:sz w:val="24"/>
          <w:szCs w:val="24"/>
        </w:rPr>
        <w:lastRenderedPageBreak/>
        <w:t>footprints) and sway distance (perpendicular distance between the centers of left and right hind limbs) were measured, and the average of five steps in each animal was used for statistical comparisons.</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 xml:space="preserve">Motor evoked potential (MEP) was conducted 12 weeks postoperatively. Rats were anesthetized with 2% </w:t>
      </w:r>
      <w:proofErr w:type="spellStart"/>
      <w:r w:rsidRPr="00134ECA">
        <w:rPr>
          <w:rFonts w:ascii="Times New Roman" w:hAnsi="Times New Roman" w:cs="Times New Roman"/>
          <w:color w:val="000000" w:themeColor="text1"/>
          <w:sz w:val="24"/>
          <w:szCs w:val="24"/>
        </w:rPr>
        <w:t>isoflurane</w:t>
      </w:r>
      <w:proofErr w:type="spellEnd"/>
      <w:r w:rsidRPr="00134ECA">
        <w:rPr>
          <w:rFonts w:ascii="Times New Roman" w:hAnsi="Times New Roman" w:cs="Times New Roman"/>
          <w:color w:val="000000" w:themeColor="text1"/>
          <w:sz w:val="24"/>
          <w:szCs w:val="24"/>
        </w:rPr>
        <w:t xml:space="preserve"> in oxygen and placed on a stereotactic apparatus. The skin of the posterior part of the skull was sterilized with </w:t>
      </w:r>
      <w:proofErr w:type="spellStart"/>
      <w:r w:rsidRPr="00134ECA">
        <w:rPr>
          <w:rFonts w:ascii="Times New Roman" w:hAnsi="Times New Roman" w:cs="Times New Roman"/>
          <w:color w:val="000000" w:themeColor="text1"/>
          <w:sz w:val="24"/>
          <w:szCs w:val="24"/>
        </w:rPr>
        <w:t>iodophor</w:t>
      </w:r>
      <w:proofErr w:type="spellEnd"/>
      <w:r w:rsidRPr="00134ECA">
        <w:rPr>
          <w:rFonts w:ascii="Times New Roman" w:hAnsi="Times New Roman" w:cs="Times New Roman"/>
          <w:color w:val="000000" w:themeColor="text1"/>
          <w:sz w:val="24"/>
          <w:szCs w:val="24"/>
        </w:rPr>
        <w:t xml:space="preserve"> and cut and the </w:t>
      </w:r>
      <w:proofErr w:type="spellStart"/>
      <w:r w:rsidRPr="00134ECA">
        <w:rPr>
          <w:rFonts w:ascii="Times New Roman" w:hAnsi="Times New Roman" w:cs="Times New Roman"/>
          <w:color w:val="000000" w:themeColor="text1"/>
          <w:sz w:val="24"/>
          <w:szCs w:val="24"/>
        </w:rPr>
        <w:t>periosteum</w:t>
      </w:r>
      <w:proofErr w:type="spellEnd"/>
      <w:r w:rsidRPr="00134ECA">
        <w:rPr>
          <w:rFonts w:ascii="Times New Roman" w:hAnsi="Times New Roman" w:cs="Times New Roman"/>
          <w:color w:val="000000" w:themeColor="text1"/>
          <w:sz w:val="24"/>
          <w:szCs w:val="24"/>
        </w:rPr>
        <w:t xml:space="preserve"> was removed. A dental drill was used to create a blind hole in the skull above the central posterior </w:t>
      </w:r>
      <w:proofErr w:type="spellStart"/>
      <w:r w:rsidRPr="00134ECA">
        <w:rPr>
          <w:rFonts w:ascii="Times New Roman" w:hAnsi="Times New Roman" w:cs="Times New Roman"/>
          <w:color w:val="000000" w:themeColor="text1"/>
          <w:sz w:val="24"/>
          <w:szCs w:val="24"/>
        </w:rPr>
        <w:t>gyrus</w:t>
      </w:r>
      <w:proofErr w:type="spellEnd"/>
      <w:r w:rsidRPr="00134ECA">
        <w:rPr>
          <w:rFonts w:ascii="Times New Roman" w:hAnsi="Times New Roman" w:cs="Times New Roman"/>
          <w:color w:val="000000" w:themeColor="text1"/>
          <w:sz w:val="24"/>
          <w:szCs w:val="24"/>
        </w:rPr>
        <w:t xml:space="preserve"> of the right cortex (3 mm behind the coronal suture and 1 mm beside the sagittal suture). The skin of the left lower limb was cut and the sciatic nerve was exposed. The positive electrode was placed in the cerebral cortex; the negative electrode was placed under the scalp; the recording electrode was placed in the sciatic nerve; and the reference electrode was placed on the skin of the hip. Stimulation parameters were as follows: crude voltage intensity, 3 V; wave width, 1 </w:t>
      </w:r>
      <w:proofErr w:type="spellStart"/>
      <w:proofErr w:type="gramStart"/>
      <w:r w:rsidRPr="00134ECA">
        <w:rPr>
          <w:rFonts w:ascii="Times New Roman" w:hAnsi="Times New Roman" w:cs="Times New Roman"/>
          <w:color w:val="000000" w:themeColor="text1"/>
          <w:sz w:val="24"/>
          <w:szCs w:val="24"/>
        </w:rPr>
        <w:t>ms</w:t>
      </w:r>
      <w:proofErr w:type="spellEnd"/>
      <w:proofErr w:type="gramEnd"/>
      <w:r w:rsidRPr="00134ECA">
        <w:rPr>
          <w:rFonts w:ascii="Times New Roman" w:hAnsi="Times New Roman" w:cs="Times New Roman"/>
          <w:color w:val="000000" w:themeColor="text1"/>
          <w:sz w:val="24"/>
          <w:szCs w:val="24"/>
        </w:rPr>
        <w:t>, frequency, 10 Hz, gain, 20×, and filter, 300 Hz.</w:t>
      </w:r>
    </w:p>
    <w:p w:rsidR="00134ECA" w:rsidRPr="00134ECA" w:rsidRDefault="00134ECA" w:rsidP="00134ECA">
      <w:pPr>
        <w:spacing w:line="480" w:lineRule="auto"/>
        <w:rPr>
          <w:rFonts w:ascii="Times New Roman" w:hAnsi="Times New Roman" w:cs="Times New Roman"/>
          <w:i/>
          <w:iCs/>
          <w:color w:val="000000" w:themeColor="text1"/>
          <w:kern w:val="44"/>
          <w:sz w:val="24"/>
          <w:szCs w:val="24"/>
        </w:rPr>
      </w:pPr>
      <w:r>
        <w:rPr>
          <w:rFonts w:ascii="Times New Roman" w:hAnsi="Times New Roman" w:cs="Times New Roman" w:hint="eastAsia"/>
          <w:i/>
          <w:iCs/>
          <w:color w:val="000000" w:themeColor="text1"/>
          <w:kern w:val="44"/>
          <w:sz w:val="24"/>
          <w:szCs w:val="24"/>
        </w:rPr>
        <w:t>1.4</w:t>
      </w:r>
      <w:r w:rsidRPr="00134ECA">
        <w:rPr>
          <w:rFonts w:ascii="Times New Roman" w:hAnsi="Times New Roman" w:cs="Times New Roman"/>
          <w:i/>
          <w:iCs/>
          <w:color w:val="000000" w:themeColor="text1"/>
          <w:kern w:val="44"/>
          <w:sz w:val="24"/>
          <w:szCs w:val="24"/>
        </w:rPr>
        <w:t>. Tissue dissection and H&amp;E staining</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 xml:space="preserve">Rats were deeply anaesthetized by </w:t>
      </w:r>
      <w:proofErr w:type="spellStart"/>
      <w:r w:rsidRPr="00134ECA">
        <w:rPr>
          <w:rFonts w:ascii="Times New Roman" w:hAnsi="Times New Roman" w:cs="Times New Roman"/>
          <w:color w:val="000000" w:themeColor="text1"/>
          <w:sz w:val="24"/>
          <w:szCs w:val="24"/>
        </w:rPr>
        <w:t>intraperitoneal</w:t>
      </w:r>
      <w:proofErr w:type="spellEnd"/>
      <w:r w:rsidRPr="00134ECA">
        <w:rPr>
          <w:rFonts w:ascii="Times New Roman" w:hAnsi="Times New Roman" w:cs="Times New Roman"/>
          <w:color w:val="000000" w:themeColor="text1"/>
          <w:sz w:val="24"/>
          <w:szCs w:val="24"/>
        </w:rPr>
        <w:t xml:space="preserve"> injection of pentobarbital sodium (50 mg/kg). Conventional perfusion fixation with 4% (</w:t>
      </w:r>
      <w:r w:rsidRPr="00134ECA">
        <w:rPr>
          <w:rFonts w:ascii="Times New Roman" w:hAnsi="Times New Roman" w:cs="Times New Roman"/>
          <w:i/>
          <w:color w:val="000000" w:themeColor="text1"/>
          <w:sz w:val="24"/>
          <w:szCs w:val="24"/>
        </w:rPr>
        <w:t>w/v</w:t>
      </w:r>
      <w:r w:rsidRPr="00134ECA">
        <w:rPr>
          <w:rFonts w:ascii="Times New Roman" w:hAnsi="Times New Roman" w:cs="Times New Roman"/>
          <w:color w:val="000000" w:themeColor="text1"/>
          <w:sz w:val="24"/>
          <w:szCs w:val="24"/>
        </w:rPr>
        <w:t xml:space="preserve">) paraformaldehyde was carried out and the full length of the SC was exposed and photographed. T9–T11 was dissected and fixed overnight with 4% (w/v) paraformaldehyde, dehydrated in gradient ethanol, and embedded in paraffin. The tissue blocks were cut into sections at a thickness of 4 </w:t>
      </w:r>
      <w:bookmarkStart w:id="1" w:name="OLE_LINK15"/>
      <w:bookmarkStart w:id="2" w:name="OLE_LINK46"/>
      <w:proofErr w:type="spellStart"/>
      <w:r w:rsidRPr="00134ECA">
        <w:rPr>
          <w:rFonts w:ascii="Times New Roman" w:hAnsi="Times New Roman" w:cs="Times New Roman"/>
          <w:color w:val="000000" w:themeColor="text1"/>
          <w:sz w:val="24"/>
          <w:szCs w:val="24"/>
        </w:rPr>
        <w:t>μ</w:t>
      </w:r>
      <w:bookmarkEnd w:id="1"/>
      <w:bookmarkEnd w:id="2"/>
      <w:r w:rsidRPr="00134ECA">
        <w:rPr>
          <w:rFonts w:ascii="Times New Roman" w:hAnsi="Times New Roman" w:cs="Times New Roman"/>
          <w:color w:val="000000" w:themeColor="text1"/>
          <w:sz w:val="24"/>
          <w:szCs w:val="24"/>
        </w:rPr>
        <w:t>m</w:t>
      </w:r>
      <w:proofErr w:type="spellEnd"/>
      <w:r w:rsidRPr="00134ECA">
        <w:rPr>
          <w:rFonts w:ascii="Times New Roman" w:hAnsi="Times New Roman" w:cs="Times New Roman"/>
          <w:color w:val="000000" w:themeColor="text1"/>
          <w:sz w:val="24"/>
          <w:szCs w:val="24"/>
        </w:rPr>
        <w:t xml:space="preserve"> that were stained with H&amp;E for histologic analysis.</w:t>
      </w:r>
    </w:p>
    <w:p w:rsidR="00134ECA" w:rsidRPr="00134ECA" w:rsidRDefault="00134ECA" w:rsidP="00134ECA">
      <w:pPr>
        <w:spacing w:line="480" w:lineRule="auto"/>
        <w:rPr>
          <w:rFonts w:ascii="Times New Roman" w:hAnsi="Times New Roman" w:cs="Times New Roman"/>
          <w:i/>
          <w:iCs/>
          <w:color w:val="000000" w:themeColor="text1"/>
          <w:kern w:val="44"/>
          <w:sz w:val="24"/>
          <w:szCs w:val="24"/>
        </w:rPr>
      </w:pPr>
      <w:r>
        <w:rPr>
          <w:rFonts w:ascii="Times New Roman" w:hAnsi="Times New Roman" w:cs="Times New Roman" w:hint="eastAsia"/>
          <w:i/>
          <w:iCs/>
          <w:color w:val="000000" w:themeColor="text1"/>
          <w:kern w:val="44"/>
          <w:sz w:val="24"/>
          <w:szCs w:val="24"/>
        </w:rPr>
        <w:t>1.5</w:t>
      </w:r>
      <w:r w:rsidRPr="00134ECA">
        <w:rPr>
          <w:rFonts w:ascii="Times New Roman" w:hAnsi="Times New Roman" w:cs="Times New Roman"/>
          <w:i/>
          <w:iCs/>
          <w:color w:val="000000" w:themeColor="text1"/>
          <w:kern w:val="44"/>
          <w:sz w:val="24"/>
          <w:szCs w:val="24"/>
        </w:rPr>
        <w:t>. Analysis of spinal ultrastructure</w:t>
      </w:r>
    </w:p>
    <w:p w:rsidR="00134ECA" w:rsidRPr="00134ECA" w:rsidRDefault="00134ECA" w:rsidP="00134ECA">
      <w:pPr>
        <w:snapToGrid w:val="0"/>
        <w:ind w:firstLineChars="150" w:firstLine="360"/>
        <w:rPr>
          <w:rFonts w:ascii="Times New Roman" w:hAnsi="Times New Roman" w:cs="Times New Roman"/>
          <w:i/>
          <w:color w:val="000000" w:themeColor="text1"/>
          <w:sz w:val="24"/>
          <w:szCs w:val="24"/>
        </w:rPr>
      </w:pPr>
      <w:r w:rsidRPr="00134ECA">
        <w:rPr>
          <w:rFonts w:ascii="Times New Roman" w:hAnsi="Times New Roman" w:cs="Times New Roman"/>
          <w:color w:val="000000" w:themeColor="text1"/>
          <w:sz w:val="24"/>
          <w:szCs w:val="24"/>
        </w:rPr>
        <w:t xml:space="preserve">At 12 weeks after surgery, three rats from each group were randomly selected and sacrificed by anesthetic overdose. After cardiac perfusion with a mixture of 4% paraformaldehyde and 2% </w:t>
      </w:r>
      <w:proofErr w:type="spellStart"/>
      <w:r w:rsidRPr="00134ECA">
        <w:rPr>
          <w:rFonts w:ascii="Times New Roman" w:hAnsi="Times New Roman" w:cs="Times New Roman"/>
          <w:color w:val="000000" w:themeColor="text1"/>
          <w:sz w:val="24"/>
          <w:szCs w:val="24"/>
        </w:rPr>
        <w:t>glutaraldehyde</w:t>
      </w:r>
      <w:proofErr w:type="spellEnd"/>
      <w:r w:rsidRPr="00134ECA">
        <w:rPr>
          <w:rFonts w:ascii="Times New Roman" w:hAnsi="Times New Roman" w:cs="Times New Roman"/>
          <w:color w:val="000000" w:themeColor="text1"/>
          <w:sz w:val="24"/>
          <w:szCs w:val="24"/>
        </w:rPr>
        <w:t xml:space="preserve"> (w/v), the SC was dissected and then fixed in a mixture of 4% paraformaldehyde and 2% </w:t>
      </w:r>
      <w:proofErr w:type="spellStart"/>
      <w:r w:rsidRPr="00134ECA">
        <w:rPr>
          <w:rFonts w:ascii="Times New Roman" w:hAnsi="Times New Roman" w:cs="Times New Roman"/>
          <w:color w:val="000000" w:themeColor="text1"/>
          <w:sz w:val="24"/>
          <w:szCs w:val="24"/>
        </w:rPr>
        <w:t>glutaraldehyde</w:t>
      </w:r>
      <w:proofErr w:type="spellEnd"/>
      <w:r w:rsidRPr="00134ECA">
        <w:rPr>
          <w:rFonts w:ascii="Times New Roman" w:hAnsi="Times New Roman" w:cs="Times New Roman"/>
          <w:color w:val="000000" w:themeColor="text1"/>
          <w:sz w:val="24"/>
          <w:szCs w:val="24"/>
        </w:rPr>
        <w:t xml:space="preserve"> at 4 °C for 6 h. The regenerated tissue was immersed in 1% osmium tetroxide for 2 h, then washed several times with 0.075 M PBS, dehydrated in gradient ethanol and acetone, and embedded in epoxy resin. </w:t>
      </w:r>
      <w:proofErr w:type="spellStart"/>
      <w:r w:rsidRPr="00134ECA">
        <w:rPr>
          <w:rFonts w:ascii="Times New Roman" w:hAnsi="Times New Roman" w:cs="Times New Roman"/>
          <w:color w:val="000000" w:themeColor="text1"/>
          <w:sz w:val="24"/>
          <w:szCs w:val="24"/>
        </w:rPr>
        <w:t>Semithin</w:t>
      </w:r>
      <w:proofErr w:type="spellEnd"/>
      <w:r w:rsidRPr="00134ECA">
        <w:rPr>
          <w:rFonts w:ascii="Times New Roman" w:hAnsi="Times New Roman" w:cs="Times New Roman"/>
          <w:color w:val="000000" w:themeColor="text1"/>
          <w:sz w:val="24"/>
          <w:szCs w:val="24"/>
        </w:rPr>
        <w:t xml:space="preserve"> sections were cut at a thickness of 1 </w:t>
      </w:r>
      <w:proofErr w:type="spellStart"/>
      <w:r w:rsidRPr="00134ECA">
        <w:rPr>
          <w:rFonts w:ascii="Times New Roman" w:hAnsi="Times New Roman" w:cs="Times New Roman"/>
          <w:color w:val="000000" w:themeColor="text1"/>
          <w:sz w:val="24"/>
          <w:szCs w:val="24"/>
        </w:rPr>
        <w:t>μm</w:t>
      </w:r>
      <w:proofErr w:type="spellEnd"/>
      <w:r w:rsidRPr="00134ECA">
        <w:rPr>
          <w:rFonts w:ascii="Times New Roman" w:hAnsi="Times New Roman" w:cs="Times New Roman"/>
          <w:color w:val="000000" w:themeColor="text1"/>
          <w:sz w:val="24"/>
          <w:szCs w:val="24"/>
        </w:rPr>
        <w:t xml:space="preserve">, stained with </w:t>
      </w:r>
      <w:proofErr w:type="spellStart"/>
      <w:r w:rsidRPr="00134ECA">
        <w:rPr>
          <w:rFonts w:ascii="Times New Roman" w:hAnsi="Times New Roman" w:cs="Times New Roman"/>
          <w:color w:val="000000" w:themeColor="text1"/>
          <w:sz w:val="24"/>
          <w:szCs w:val="24"/>
        </w:rPr>
        <w:t>hematoxylin</w:t>
      </w:r>
      <w:proofErr w:type="spellEnd"/>
      <w:r w:rsidRPr="00134ECA">
        <w:rPr>
          <w:rFonts w:ascii="Times New Roman" w:hAnsi="Times New Roman" w:cs="Times New Roman"/>
          <w:color w:val="000000" w:themeColor="text1"/>
          <w:sz w:val="24"/>
          <w:szCs w:val="24"/>
        </w:rPr>
        <w:t xml:space="preserve">, and observed under a light microscope to select areas suitable for ultrathin sectioning; the latter sections were stained with </w:t>
      </w:r>
      <w:proofErr w:type="spellStart"/>
      <w:r w:rsidRPr="00134ECA">
        <w:rPr>
          <w:rFonts w:ascii="Times New Roman" w:hAnsi="Times New Roman" w:cs="Times New Roman"/>
          <w:color w:val="000000" w:themeColor="text1"/>
          <w:sz w:val="24"/>
          <w:szCs w:val="24"/>
        </w:rPr>
        <w:t>uranyl</w:t>
      </w:r>
      <w:proofErr w:type="spellEnd"/>
      <w:r w:rsidRPr="00134ECA">
        <w:rPr>
          <w:rFonts w:ascii="Times New Roman" w:hAnsi="Times New Roman" w:cs="Times New Roman"/>
          <w:color w:val="000000" w:themeColor="text1"/>
          <w:sz w:val="24"/>
          <w:szCs w:val="24"/>
        </w:rPr>
        <w:t xml:space="preserve"> acetate and lead citrate and SC ultrastructure was examined by transmission electron microscopy (TEM, model JEM-1011; JEOL, </w:t>
      </w:r>
      <w:proofErr w:type="spellStart"/>
      <w:r w:rsidRPr="00134ECA">
        <w:rPr>
          <w:rFonts w:ascii="Times New Roman" w:hAnsi="Times New Roman" w:cs="Times New Roman"/>
          <w:color w:val="000000" w:themeColor="text1"/>
          <w:sz w:val="24"/>
          <w:szCs w:val="24"/>
        </w:rPr>
        <w:t>Toyko</w:t>
      </w:r>
      <w:proofErr w:type="spellEnd"/>
      <w:r w:rsidRPr="00134ECA">
        <w:rPr>
          <w:rFonts w:ascii="Times New Roman" w:hAnsi="Times New Roman" w:cs="Times New Roman"/>
          <w:color w:val="000000" w:themeColor="text1"/>
          <w:sz w:val="24"/>
          <w:szCs w:val="24"/>
        </w:rPr>
        <w:t>, Japan).</w:t>
      </w:r>
    </w:p>
    <w:p w:rsidR="00134ECA" w:rsidRPr="00134ECA" w:rsidRDefault="00134ECA" w:rsidP="00134ECA">
      <w:pPr>
        <w:spacing w:line="480" w:lineRule="auto"/>
        <w:rPr>
          <w:rFonts w:ascii="Times New Roman" w:hAnsi="Times New Roman" w:cs="Times New Roman"/>
          <w:i/>
          <w:color w:val="000000" w:themeColor="text1"/>
          <w:sz w:val="24"/>
          <w:szCs w:val="24"/>
        </w:rPr>
      </w:pPr>
      <w:r>
        <w:rPr>
          <w:rFonts w:ascii="Times New Roman" w:hAnsi="Times New Roman" w:cs="Times New Roman" w:hint="eastAsia"/>
          <w:i/>
          <w:iCs/>
          <w:color w:val="000000" w:themeColor="text1"/>
          <w:kern w:val="44"/>
          <w:sz w:val="24"/>
          <w:szCs w:val="24"/>
        </w:rPr>
        <w:t>1.6</w:t>
      </w:r>
      <w:r w:rsidRPr="00134ECA">
        <w:rPr>
          <w:rFonts w:ascii="Times New Roman" w:hAnsi="Times New Roman" w:cs="Times New Roman"/>
          <w:i/>
          <w:iCs/>
          <w:color w:val="000000" w:themeColor="text1"/>
          <w:kern w:val="44"/>
          <w:sz w:val="24"/>
          <w:szCs w:val="24"/>
        </w:rPr>
        <w:t>. Immunofluorescence analysis</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 xml:space="preserve">Laminectomy was performed after </w:t>
      </w:r>
      <w:proofErr w:type="spellStart"/>
      <w:r w:rsidRPr="00134ECA">
        <w:rPr>
          <w:rFonts w:ascii="Times New Roman" w:hAnsi="Times New Roman" w:cs="Times New Roman"/>
          <w:color w:val="000000" w:themeColor="text1"/>
          <w:sz w:val="24"/>
          <w:szCs w:val="24"/>
        </w:rPr>
        <w:t>transcardial</w:t>
      </w:r>
      <w:proofErr w:type="spellEnd"/>
      <w:r w:rsidRPr="00134ECA">
        <w:rPr>
          <w:rFonts w:ascii="Times New Roman" w:hAnsi="Times New Roman" w:cs="Times New Roman"/>
          <w:color w:val="000000" w:themeColor="text1"/>
          <w:sz w:val="24"/>
          <w:szCs w:val="24"/>
        </w:rPr>
        <w:t xml:space="preserve"> perfusion. T9–T11 of the SC was </w:t>
      </w:r>
      <w:proofErr w:type="spellStart"/>
      <w:r w:rsidRPr="00134ECA">
        <w:rPr>
          <w:rFonts w:ascii="Times New Roman" w:hAnsi="Times New Roman" w:cs="Times New Roman"/>
          <w:color w:val="000000" w:themeColor="text1"/>
          <w:sz w:val="24"/>
          <w:szCs w:val="24"/>
        </w:rPr>
        <w:t>microdissected</w:t>
      </w:r>
      <w:proofErr w:type="spellEnd"/>
      <w:r w:rsidRPr="00134ECA">
        <w:rPr>
          <w:rFonts w:ascii="Times New Roman" w:hAnsi="Times New Roman" w:cs="Times New Roman"/>
          <w:color w:val="000000" w:themeColor="text1"/>
          <w:sz w:val="24"/>
          <w:szCs w:val="24"/>
        </w:rPr>
        <w:t xml:space="preserve"> and </w:t>
      </w:r>
      <w:proofErr w:type="spellStart"/>
      <w:r w:rsidRPr="00134ECA">
        <w:rPr>
          <w:rFonts w:ascii="Times New Roman" w:hAnsi="Times New Roman" w:cs="Times New Roman"/>
          <w:color w:val="000000" w:themeColor="text1"/>
          <w:sz w:val="24"/>
          <w:szCs w:val="24"/>
        </w:rPr>
        <w:t>postfixed</w:t>
      </w:r>
      <w:proofErr w:type="spellEnd"/>
      <w:r w:rsidRPr="00134ECA">
        <w:rPr>
          <w:rFonts w:ascii="Times New Roman" w:hAnsi="Times New Roman" w:cs="Times New Roman"/>
          <w:color w:val="000000" w:themeColor="text1"/>
          <w:sz w:val="24"/>
          <w:szCs w:val="24"/>
        </w:rPr>
        <w:t xml:space="preserve"> by immersion in ice-cold 4% paraformaldehyde in 1× PBS for 24 h. The tissue was cryopreserved in 20% and 30% sucrose at 4 °C for 24 h, then flash frozen in liquid nitrogen and stored at −80 °C until use. The tissue was cut into 20-μm horizontal sections on a cryostat (CM 1900; Leica).</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SC sections were washed three times with 0.01 M PBS and incubated overnight at 4 °C with primary antibody. After three washes with PBS, the sections were incubated with the following primary antibodies: mouse monoclonal anti-GFAP (1:200) to label astrocytes; rabbit and mouse monoclonal anti-</w:t>
      </w:r>
      <w:proofErr w:type="spellStart"/>
      <w:r w:rsidRPr="00134ECA">
        <w:rPr>
          <w:rFonts w:ascii="Times New Roman" w:hAnsi="Times New Roman" w:cs="Times New Roman"/>
          <w:color w:val="000000" w:themeColor="text1"/>
          <w:sz w:val="24"/>
          <w:szCs w:val="24"/>
        </w:rPr>
        <w:t>nestin</w:t>
      </w:r>
      <w:proofErr w:type="spellEnd"/>
      <w:r w:rsidRPr="00134ECA">
        <w:rPr>
          <w:rFonts w:ascii="Times New Roman" w:hAnsi="Times New Roman" w:cs="Times New Roman"/>
          <w:color w:val="000000" w:themeColor="text1"/>
          <w:sz w:val="24"/>
          <w:szCs w:val="24"/>
        </w:rPr>
        <w:t xml:space="preserve"> (1:200) to label NSCs; and mouse monoclonal anti-Tuj1 (1:200) to label immature neurons. The sections were then incubated for 1 h at room temperature with the following secondary antibodies under protection from light: </w:t>
      </w:r>
      <w:proofErr w:type="spellStart"/>
      <w:r w:rsidRPr="00134ECA">
        <w:rPr>
          <w:rFonts w:ascii="Times New Roman" w:hAnsi="Times New Roman" w:cs="Times New Roman"/>
          <w:color w:val="000000" w:themeColor="text1"/>
          <w:sz w:val="24"/>
          <w:szCs w:val="24"/>
        </w:rPr>
        <w:t>Alexa</w:t>
      </w:r>
      <w:proofErr w:type="spellEnd"/>
      <w:r w:rsidRPr="00134ECA">
        <w:rPr>
          <w:rFonts w:ascii="Times New Roman" w:hAnsi="Times New Roman" w:cs="Times New Roman"/>
          <w:color w:val="000000" w:themeColor="text1"/>
          <w:sz w:val="24"/>
          <w:szCs w:val="24"/>
        </w:rPr>
        <w:t xml:space="preserve"> Fluor 488 goat anti-rabbit (1:100) and Cy5 goat </w:t>
      </w:r>
      <w:r w:rsidRPr="00134ECA">
        <w:rPr>
          <w:rFonts w:ascii="Times New Roman" w:hAnsi="Times New Roman" w:cs="Times New Roman"/>
          <w:color w:val="000000" w:themeColor="text1"/>
          <w:sz w:val="24"/>
          <w:szCs w:val="24"/>
        </w:rPr>
        <w:lastRenderedPageBreak/>
        <w:t xml:space="preserve">anti-mouse (1:100). All antibodies were from </w:t>
      </w:r>
      <w:proofErr w:type="spellStart"/>
      <w:r w:rsidRPr="00134ECA">
        <w:rPr>
          <w:rFonts w:ascii="Times New Roman" w:hAnsi="Times New Roman" w:cs="Times New Roman"/>
          <w:color w:val="000000" w:themeColor="text1"/>
          <w:sz w:val="24"/>
          <w:szCs w:val="24"/>
        </w:rPr>
        <w:t>ABclonal</w:t>
      </w:r>
      <w:proofErr w:type="spellEnd"/>
      <w:r w:rsidRPr="00134ECA">
        <w:rPr>
          <w:rFonts w:ascii="Times New Roman" w:hAnsi="Times New Roman" w:cs="Times New Roman"/>
          <w:color w:val="000000" w:themeColor="text1"/>
          <w:sz w:val="24"/>
          <w:szCs w:val="24"/>
        </w:rPr>
        <w:t xml:space="preserve"> (Woburn, MA, USA). The sections were washed 3 times with PBS and incubated with 4′</w:t>
      </w:r>
      <w:proofErr w:type="gramStart"/>
      <w:r w:rsidRPr="00134ECA">
        <w:rPr>
          <w:rFonts w:ascii="Times New Roman" w:hAnsi="Times New Roman" w:cs="Times New Roman"/>
          <w:color w:val="000000" w:themeColor="text1"/>
          <w:sz w:val="24"/>
          <w:szCs w:val="24"/>
        </w:rPr>
        <w:t>,6</w:t>
      </w:r>
      <w:proofErr w:type="gramEnd"/>
      <w:r w:rsidRPr="00134ECA">
        <w:rPr>
          <w:rFonts w:ascii="Times New Roman" w:hAnsi="Times New Roman" w:cs="Times New Roman"/>
          <w:color w:val="000000" w:themeColor="text1"/>
          <w:sz w:val="24"/>
          <w:szCs w:val="24"/>
        </w:rPr>
        <w:t>-diamidino-2-phenylindole (DAPI) for 3 min in the dark. Excess DAPI was removed by PBS washes and the specimens were covered with glycerol and a glass coverslip and examined under a fluorescence microscope (model BX-51; Olympus, Tokyo, Japan).</w:t>
      </w:r>
    </w:p>
    <w:p w:rsidR="00134ECA" w:rsidRPr="00134ECA" w:rsidRDefault="00134ECA" w:rsidP="00134ECA">
      <w:pPr>
        <w:spacing w:line="480" w:lineRule="auto"/>
        <w:rPr>
          <w:rFonts w:ascii="Times New Roman" w:hAnsi="Times New Roman" w:cs="Times New Roman"/>
          <w:i/>
          <w:iCs/>
          <w:color w:val="000000" w:themeColor="text1"/>
          <w:kern w:val="44"/>
          <w:sz w:val="24"/>
          <w:szCs w:val="24"/>
        </w:rPr>
      </w:pPr>
      <w:r>
        <w:rPr>
          <w:rFonts w:ascii="Times New Roman" w:hAnsi="Times New Roman" w:cs="Times New Roman" w:hint="eastAsia"/>
          <w:i/>
          <w:iCs/>
          <w:color w:val="000000" w:themeColor="text1"/>
          <w:kern w:val="44"/>
          <w:sz w:val="24"/>
          <w:szCs w:val="24"/>
        </w:rPr>
        <w:t>1.7</w:t>
      </w:r>
      <w:r w:rsidRPr="00134ECA">
        <w:rPr>
          <w:rFonts w:ascii="Times New Roman" w:hAnsi="Times New Roman" w:cs="Times New Roman"/>
          <w:i/>
          <w:iCs/>
          <w:color w:val="000000" w:themeColor="text1"/>
          <w:kern w:val="44"/>
          <w:sz w:val="24"/>
          <w:szCs w:val="24"/>
        </w:rPr>
        <w:t>. Statistical analysis</w:t>
      </w:r>
    </w:p>
    <w:p w:rsidR="00134ECA" w:rsidRPr="00134ECA" w:rsidRDefault="00134ECA" w:rsidP="00134ECA">
      <w:pPr>
        <w:snapToGrid w:val="0"/>
        <w:ind w:firstLineChars="150" w:firstLine="360"/>
        <w:rPr>
          <w:rFonts w:ascii="Times New Roman" w:hAnsi="Times New Roman" w:cs="Times New Roman"/>
          <w:color w:val="000000" w:themeColor="text1"/>
          <w:sz w:val="24"/>
          <w:szCs w:val="24"/>
        </w:rPr>
      </w:pPr>
      <w:r w:rsidRPr="00134ECA">
        <w:rPr>
          <w:rFonts w:ascii="Times New Roman" w:hAnsi="Times New Roman" w:cs="Times New Roman"/>
          <w:color w:val="000000" w:themeColor="text1"/>
          <w:sz w:val="24"/>
          <w:szCs w:val="24"/>
        </w:rPr>
        <w:t xml:space="preserve">All experiments were repeated three times, and data are expressed as </w:t>
      </w:r>
      <w:proofErr w:type="spellStart"/>
      <w:r w:rsidRPr="00134ECA">
        <w:rPr>
          <w:rFonts w:ascii="Times New Roman" w:hAnsi="Times New Roman" w:cs="Times New Roman"/>
          <w:color w:val="000000" w:themeColor="text1"/>
          <w:sz w:val="24"/>
          <w:szCs w:val="24"/>
        </w:rPr>
        <w:t>mean±SD</w:t>
      </w:r>
      <w:proofErr w:type="spellEnd"/>
      <w:r w:rsidRPr="00134ECA">
        <w:rPr>
          <w:rFonts w:ascii="Times New Roman" w:hAnsi="Times New Roman" w:cs="Times New Roman"/>
          <w:color w:val="000000" w:themeColor="text1"/>
          <w:sz w:val="24"/>
          <w:szCs w:val="24"/>
        </w:rPr>
        <w:t xml:space="preserve">. Differences between groups were evaluated with the paired Student’s t test using SPSS v23.0 (SPSS, Chicago, IL, USA), with </w:t>
      </w:r>
      <w:r w:rsidRPr="00134ECA">
        <w:rPr>
          <w:rFonts w:ascii="Times New Roman" w:hAnsi="Times New Roman" w:cs="Times New Roman"/>
          <w:i/>
          <w:color w:val="000000" w:themeColor="text1"/>
          <w:sz w:val="24"/>
          <w:szCs w:val="24"/>
        </w:rPr>
        <w:t>P</w:t>
      </w:r>
      <w:r w:rsidRPr="00134ECA">
        <w:rPr>
          <w:rFonts w:ascii="Times New Roman" w:hAnsi="Times New Roman" w:cs="Times New Roman"/>
          <w:color w:val="000000" w:themeColor="text1"/>
          <w:sz w:val="24"/>
          <w:szCs w:val="24"/>
        </w:rPr>
        <w:t>&lt;0.05 considered statistically significant.</w:t>
      </w:r>
    </w:p>
    <w:p w:rsidR="00E52F58" w:rsidRDefault="00E52F58"/>
    <w:p w:rsidR="00F96037" w:rsidRDefault="00F96037"/>
    <w:p w:rsidR="00F96037" w:rsidRDefault="00F96037"/>
    <w:p w:rsidR="00F96037" w:rsidRDefault="00F96037"/>
    <w:p w:rsidR="00F96037" w:rsidRDefault="00F96037"/>
    <w:p w:rsidR="00F96037" w:rsidRDefault="00F96037"/>
    <w:p w:rsidR="00F96037" w:rsidRDefault="00F96037"/>
    <w:p w:rsidR="00F96037" w:rsidRDefault="00F96037"/>
    <w:p w:rsidR="00F96037" w:rsidRDefault="00F96037"/>
    <w:p w:rsidR="00F63808" w:rsidRDefault="00F63808"/>
    <w:p w:rsidR="00F63808" w:rsidRDefault="00F63808" w:rsidP="00F63808">
      <w:pPr>
        <w:pStyle w:val="EndNoteBibliography0"/>
        <w:rPr>
          <w:rFonts w:ascii="Arial" w:hAnsi="Arial" w:cs="Arial"/>
        </w:rPr>
      </w:pPr>
      <w:bookmarkStart w:id="3" w:name="_ENREF_26"/>
      <w:r>
        <w:rPr>
          <w:rFonts w:ascii="Arial" w:hAnsi="Arial" w:cs="Arial"/>
        </w:rPr>
        <w:t>[</w:t>
      </w:r>
      <w:r>
        <w:rPr>
          <w:rFonts w:ascii="Arial" w:hAnsi="Arial" w:cs="Arial" w:hint="eastAsia"/>
        </w:rPr>
        <w:t>1</w:t>
      </w:r>
      <w:r>
        <w:rPr>
          <w:rFonts w:ascii="Arial" w:hAnsi="Arial" w:cs="Arial"/>
        </w:rPr>
        <w:t>] Z.Y. Fan, L. Ren, W.J. Zhang, D.D. Li, G.Q. Zhao, J.H. Yu, AIE luminogen-functionalised mesoporous silica nanoparticles as nanotheranostic agents for imaging guided synergetic chemo-/photothermal therapy, Inorganic Chemistry Frontiers 4(5) (2017) 833-839.</w:t>
      </w:r>
      <w:bookmarkEnd w:id="3"/>
    </w:p>
    <w:p w:rsidR="00F63808" w:rsidRDefault="00F63808" w:rsidP="00F63808">
      <w:pPr>
        <w:pStyle w:val="EndNoteBibliography0"/>
        <w:rPr>
          <w:rFonts w:ascii="Arial" w:hAnsi="Arial" w:cs="Arial"/>
        </w:rPr>
      </w:pPr>
      <w:bookmarkStart w:id="4" w:name="_ENREF_22"/>
      <w:r>
        <w:rPr>
          <w:rFonts w:ascii="Arial" w:hAnsi="Arial" w:cs="Arial"/>
        </w:rPr>
        <w:t>[</w:t>
      </w:r>
      <w:r>
        <w:rPr>
          <w:rFonts w:ascii="Arial" w:hAnsi="Arial" w:cs="Arial" w:hint="eastAsia"/>
        </w:rPr>
        <w:t>2</w:t>
      </w:r>
      <w:r>
        <w:rPr>
          <w:rFonts w:ascii="Arial" w:hAnsi="Arial" w:cs="Arial"/>
        </w:rPr>
        <w:t>] S.W. Scheff, D.A. Saucier, M.E. Cain, A statistical method for analyzing rating scale data: the BBB locomotor score, Journal of neurotrauma 19(10) (2002) 1251-60.</w:t>
      </w:r>
      <w:bookmarkEnd w:id="4"/>
    </w:p>
    <w:p w:rsidR="00F63808" w:rsidRPr="00F63808" w:rsidRDefault="00F63808"/>
    <w:sectPr w:rsidR="00F63808" w:rsidRPr="00F638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67C" w:rsidRDefault="0098767C" w:rsidP="00171A83">
      <w:r>
        <w:separator/>
      </w:r>
    </w:p>
  </w:endnote>
  <w:endnote w:type="continuationSeparator" w:id="0">
    <w:p w:rsidR="0098767C" w:rsidRDefault="0098767C" w:rsidP="00171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charset w:val="86"/>
    <w:family w:val="auto"/>
    <w:pitch w:val="variable"/>
    <w:sig w:usb0="A00002BF" w:usb1="38CF7CFA" w:usb2="00000016" w:usb3="00000000" w:csb0="0004000F"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67C" w:rsidRDefault="0098767C" w:rsidP="00171A83">
      <w:r>
        <w:separator/>
      </w:r>
    </w:p>
  </w:footnote>
  <w:footnote w:type="continuationSeparator" w:id="0">
    <w:p w:rsidR="0098767C" w:rsidRDefault="0098767C" w:rsidP="00171A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0AC"/>
    <w:rsid w:val="00134ECA"/>
    <w:rsid w:val="00171A83"/>
    <w:rsid w:val="001A40AC"/>
    <w:rsid w:val="002F54D5"/>
    <w:rsid w:val="004903F7"/>
    <w:rsid w:val="0098767C"/>
    <w:rsid w:val="00B57C80"/>
    <w:rsid w:val="00CC764E"/>
    <w:rsid w:val="00DD7419"/>
    <w:rsid w:val="00E52F58"/>
    <w:rsid w:val="00F63808"/>
    <w:rsid w:val="00F96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1A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71A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71A83"/>
    <w:rPr>
      <w:sz w:val="18"/>
      <w:szCs w:val="18"/>
    </w:rPr>
  </w:style>
  <w:style w:type="paragraph" w:styleId="a4">
    <w:name w:val="footer"/>
    <w:basedOn w:val="a"/>
    <w:link w:val="Char0"/>
    <w:uiPriority w:val="99"/>
    <w:unhideWhenUsed/>
    <w:rsid w:val="00171A83"/>
    <w:pPr>
      <w:tabs>
        <w:tab w:val="center" w:pos="4153"/>
        <w:tab w:val="right" w:pos="8306"/>
      </w:tabs>
      <w:snapToGrid w:val="0"/>
      <w:jc w:val="left"/>
    </w:pPr>
    <w:rPr>
      <w:sz w:val="18"/>
      <w:szCs w:val="18"/>
    </w:rPr>
  </w:style>
  <w:style w:type="character" w:customStyle="1" w:styleId="Char0">
    <w:name w:val="页脚 Char"/>
    <w:basedOn w:val="a0"/>
    <w:link w:val="a4"/>
    <w:uiPriority w:val="99"/>
    <w:rsid w:val="00171A83"/>
    <w:rPr>
      <w:sz w:val="18"/>
      <w:szCs w:val="18"/>
    </w:rPr>
  </w:style>
  <w:style w:type="character" w:styleId="a5">
    <w:name w:val="Hyperlink"/>
    <w:basedOn w:val="a0"/>
    <w:qFormat/>
    <w:rsid w:val="00171A83"/>
    <w:rPr>
      <w:color w:val="0000FF"/>
      <w:u w:val="single"/>
    </w:rPr>
  </w:style>
  <w:style w:type="character" w:customStyle="1" w:styleId="EndNoteBibliography">
    <w:name w:val="EndNote Bibliography 字符"/>
    <w:basedOn w:val="a0"/>
    <w:link w:val="EndNoteBibliography0"/>
    <w:locked/>
    <w:rsid w:val="00F63808"/>
    <w:rPr>
      <w:rFonts w:ascii="Calibri" w:hAnsi="Calibri" w:cs="Calibri"/>
      <w:noProof/>
      <w:szCs w:val="24"/>
    </w:rPr>
  </w:style>
  <w:style w:type="paragraph" w:customStyle="1" w:styleId="EndNoteBibliography0">
    <w:name w:val="EndNote Bibliography"/>
    <w:basedOn w:val="a"/>
    <w:link w:val="EndNoteBibliography"/>
    <w:rsid w:val="00F63808"/>
    <w:rPr>
      <w:rFonts w:ascii="Calibri" w:hAnsi="Calibri" w:cs="Calibri"/>
      <w:noProof/>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1A8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71A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71A83"/>
    <w:rPr>
      <w:sz w:val="18"/>
      <w:szCs w:val="18"/>
    </w:rPr>
  </w:style>
  <w:style w:type="paragraph" w:styleId="a4">
    <w:name w:val="footer"/>
    <w:basedOn w:val="a"/>
    <w:link w:val="Char0"/>
    <w:uiPriority w:val="99"/>
    <w:unhideWhenUsed/>
    <w:rsid w:val="00171A83"/>
    <w:pPr>
      <w:tabs>
        <w:tab w:val="center" w:pos="4153"/>
        <w:tab w:val="right" w:pos="8306"/>
      </w:tabs>
      <w:snapToGrid w:val="0"/>
      <w:jc w:val="left"/>
    </w:pPr>
    <w:rPr>
      <w:sz w:val="18"/>
      <w:szCs w:val="18"/>
    </w:rPr>
  </w:style>
  <w:style w:type="character" w:customStyle="1" w:styleId="Char0">
    <w:name w:val="页脚 Char"/>
    <w:basedOn w:val="a0"/>
    <w:link w:val="a4"/>
    <w:uiPriority w:val="99"/>
    <w:rsid w:val="00171A83"/>
    <w:rPr>
      <w:sz w:val="18"/>
      <w:szCs w:val="18"/>
    </w:rPr>
  </w:style>
  <w:style w:type="character" w:styleId="a5">
    <w:name w:val="Hyperlink"/>
    <w:basedOn w:val="a0"/>
    <w:qFormat/>
    <w:rsid w:val="00171A83"/>
    <w:rPr>
      <w:color w:val="0000FF"/>
      <w:u w:val="single"/>
    </w:rPr>
  </w:style>
  <w:style w:type="character" w:customStyle="1" w:styleId="EndNoteBibliography">
    <w:name w:val="EndNote Bibliography 字符"/>
    <w:basedOn w:val="a0"/>
    <w:link w:val="EndNoteBibliography0"/>
    <w:locked/>
    <w:rsid w:val="00F63808"/>
    <w:rPr>
      <w:rFonts w:ascii="Calibri" w:hAnsi="Calibri" w:cs="Calibri"/>
      <w:noProof/>
      <w:szCs w:val="24"/>
    </w:rPr>
  </w:style>
  <w:style w:type="paragraph" w:customStyle="1" w:styleId="EndNoteBibliography0">
    <w:name w:val="EndNote Bibliography"/>
    <w:basedOn w:val="a"/>
    <w:link w:val="EndNoteBibliography"/>
    <w:rsid w:val="00F63808"/>
    <w:rPr>
      <w:rFonts w:ascii="Calibri" w:hAnsi="Calibri" w:cs="Calibri"/>
      <w:noProo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5995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328</TotalTime>
  <Pages>4</Pages>
  <Words>1674</Words>
  <Characters>9544</Characters>
  <Application>Microsoft Office Word</Application>
  <DocSecurity>0</DocSecurity>
  <Lines>79</Lines>
  <Paragraphs>22</Paragraphs>
  <ScaleCrop>false</ScaleCrop>
  <Company/>
  <LinksUpToDate>false</LinksUpToDate>
  <CharactersWithSpaces>11196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HYZou</cp:lastModifiedBy>
  <cp:revision>7</cp:revision>
  <dcterms:created xsi:type="dcterms:W3CDTF">2021-07-04T13:43:00Z</dcterms:created>
  <dcterms:modified xsi:type="dcterms:W3CDTF">2021-07-14T05:43:00Z</dcterms:modified>
</cp:coreProperties>
</file>