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DC3BF67">
      <w:pPr>
        <w:rPr>
          <w:rFonts w:hint="eastAsia" w:ascii="Times New Roman" w:hAnsi="Times New Roman" w:eastAsia="Microsoft YaHei UI" w:cs="Times New Roman"/>
          <w:b w:val="0"/>
          <w:bCs w:val="0"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Microsoft YaHei UI" w:cs="Times New Roman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:lang w:val="en-US" w:eastAsia="zh-CN"/>
          <w14:textFill>
            <w14:solidFill>
              <w14:schemeClr w14:val="tx1"/>
            </w14:solidFill>
          </w14:textFill>
        </w:rPr>
        <w:t>Supplemental</w:t>
      </w:r>
      <w:r>
        <w:rPr>
          <w:rFonts w:hint="default" w:ascii="Times New Roman" w:hAnsi="Times New Roman" w:eastAsia="Microsoft YaHei UI" w:cs="Times New Roman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14:textFill>
            <w14:solidFill>
              <w14:schemeClr w14:val="tx1"/>
            </w14:solidFill>
          </w14:textFill>
        </w:rPr>
        <w:t xml:space="preserve"> Appendix S1</w:t>
      </w:r>
      <w:r>
        <w:rPr>
          <w:rFonts w:hint="eastAsia" w:ascii="Times New Roman" w:hAnsi="Times New Roman" w:eastAsia="Microsoft YaHei UI" w:cs="Times New Roman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:lang w:val="en-US" w:eastAsia="zh-CN"/>
          <w14:textFill>
            <w14:solidFill>
              <w14:schemeClr w14:val="tx1"/>
            </w14:solidFill>
          </w14:textFill>
        </w:rPr>
        <w:t xml:space="preserve">: </w:t>
      </w:r>
      <w:r>
        <w:rPr>
          <w:rFonts w:hint="default" w:ascii="Times New Roman" w:hAnsi="Times New Roman" w:eastAsia="Microsoft YaHei UI" w:cs="Times New Roman"/>
          <w:b w:val="0"/>
          <w:bCs w:val="0"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14:textFill>
            <w14:solidFill>
              <w14:schemeClr w14:val="tx1"/>
            </w14:solidFill>
          </w14:textFill>
        </w:rPr>
        <w:t>A total of 1834 radiomic</w:t>
      </w:r>
      <w:r>
        <w:rPr>
          <w:rFonts w:hint="eastAsia" w:ascii="Times New Roman" w:hAnsi="Times New Roman" w:eastAsia="Microsoft YaHei UI" w:cs="Times New Roman"/>
          <w:b w:val="0"/>
          <w:bCs w:val="0"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:lang w:val="en-US" w:eastAsia="zh-CN"/>
          <w14:textFill>
            <w14:solidFill>
              <w14:schemeClr w14:val="tx1"/>
            </w14:solidFill>
          </w14:textFill>
        </w:rPr>
        <w:t>s</w:t>
      </w:r>
      <w:r>
        <w:rPr>
          <w:rFonts w:hint="default" w:ascii="Times New Roman" w:hAnsi="Times New Roman" w:eastAsia="Microsoft YaHei UI" w:cs="Times New Roman"/>
          <w:b w:val="0"/>
          <w:bCs w:val="0"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14:textFill>
            <w14:solidFill>
              <w14:schemeClr w14:val="tx1"/>
            </w14:solidFill>
          </w14:textFill>
        </w:rPr>
        <w:t xml:space="preserve"> features were extracted from each ROI, including </w:t>
      </w:r>
      <w:r>
        <w:rPr>
          <w:rFonts w:hint="default" w:ascii="Times New Roman" w:hAnsi="Times New Roman" w:eastAsia="Microsoft YaHei UI" w:cs="Times New Roman"/>
          <w:b w:val="0"/>
          <w:bCs w:val="0"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:lang w:val="en-US" w:eastAsia="zh-CN"/>
          <w14:textFill>
            <w14:solidFill>
              <w14:schemeClr w14:val="tx1"/>
            </w14:solidFill>
          </w14:textFill>
        </w:rPr>
        <w:t>shape</w:t>
      </w:r>
      <w:r>
        <w:rPr>
          <w:rFonts w:hint="default" w:ascii="Times New Roman" w:hAnsi="Times New Roman" w:eastAsia="Microsoft YaHei UI" w:cs="Times New Roman"/>
          <w:b w:val="0"/>
          <w:bCs w:val="0"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14:textFill>
            <w14:solidFill>
              <w14:schemeClr w14:val="tx1"/>
            </w14:solidFill>
          </w14:textFill>
        </w:rPr>
        <w:t xml:space="preserve"> features (n=14), first-order features (n=18), and texture features (n=73): gray level co-occurrence matrix features (GLCM) (n=22), gray level dependence matrix features (GLDM) (n=14), gray level run length matrix features (GLRLM) (n=16), gray level size zone matrix features (GLSZM) (n=16), neighbouring gray tone difference matrix features (NGTDM) (n=5), </w:t>
      </w:r>
      <w:r>
        <w:rPr>
          <w:rFonts w:hint="eastAsia" w:ascii="Times New Roman" w:hAnsi="Times New Roman" w:eastAsia="Microsoft YaHei UI" w:cs="Times New Roman"/>
          <w:b w:val="0"/>
          <w:bCs w:val="0"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:lang w:val="en-US" w:eastAsia="zh-CN"/>
          <w14:textFill>
            <w14:solidFill>
              <w14:schemeClr w14:val="tx1"/>
            </w14:solidFill>
          </w14:textFill>
        </w:rPr>
        <w:t>as well as</w:t>
      </w:r>
      <w:r>
        <w:rPr>
          <w:rFonts w:hint="default" w:ascii="Times New Roman" w:hAnsi="Times New Roman" w:eastAsia="Microsoft YaHei UI" w:cs="Times New Roman"/>
          <w:b w:val="0"/>
          <w:bCs w:val="0"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14:textFill>
            <w14:solidFill>
              <w14:schemeClr w14:val="tx1"/>
            </w14:solidFill>
          </w14:textFill>
        </w:rPr>
        <w:t xml:space="preserve"> first-order and texture features transformed by exponential (n=91), gradient (n=91), logarithm (n=91), square (n=91), squareroot (n=91), local binary pattern (LBP) (n=273), </w:t>
      </w:r>
      <w:r>
        <w:rPr>
          <w:rFonts w:hint="default" w:ascii="Times New Roman" w:hAnsi="Times New Roman" w:eastAsia="Segoe UI" w:cs="Times New Roman"/>
          <w:b w:val="0"/>
          <w:bCs w:val="0"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14:textFill>
            <w14:solidFill>
              <w14:schemeClr w14:val="tx1"/>
            </w14:solidFill>
          </w14:textFill>
        </w:rPr>
        <w:t>Laplacian of Gaussian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:lang w:val="en-US" w:eastAsia="zh-CN"/>
          <w14:textFill>
            <w14:solidFill>
              <w14:schemeClr w14:val="tx1"/>
            </w14:solidFill>
          </w14:textFill>
        </w:rPr>
        <w:t>(L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:lang w:val="en-US" w:eastAsia="zh-CN"/>
          <w14:textFill>
            <w14:solidFill>
              <w14:schemeClr w14:val="tx1"/>
            </w14:solidFill>
          </w14:textFill>
        </w:rPr>
        <w:t>o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:lang w:val="en-US" w:eastAsia="zh-CN"/>
          <w14:textFill>
            <w14:solidFill>
              <w14:schemeClr w14:val="tx1"/>
            </w14:solidFill>
          </w14:textFill>
        </w:rPr>
        <w:t xml:space="preserve">G) </w:t>
      </w:r>
      <w:r>
        <w:rPr>
          <w:rFonts w:hint="default" w:ascii="Times New Roman" w:hAnsi="Times New Roman" w:eastAsia="Microsoft YaHei UI" w:cs="Times New Roman"/>
          <w:b w:val="0"/>
          <w:bCs w:val="0"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14:textFill>
            <w14:solidFill>
              <w14:schemeClr w14:val="tx1"/>
            </w14:solidFill>
          </w14:textFill>
        </w:rPr>
        <w:t>(n=273),</w:t>
      </w:r>
      <w:r>
        <w:rPr>
          <w:rFonts w:hint="eastAsia" w:ascii="Times New Roman" w:hAnsi="Times New Roman" w:eastAsia="Microsoft YaHei UI" w:cs="Times New Roman"/>
          <w:b w:val="0"/>
          <w:bCs w:val="0"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default" w:ascii="Times New Roman" w:hAnsi="Times New Roman" w:eastAsia="Microsoft YaHei UI" w:cs="Times New Roman"/>
          <w:b w:val="0"/>
          <w:bCs w:val="0"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14:textFill>
            <w14:solidFill>
              <w14:schemeClr w14:val="tx1"/>
            </w14:solidFill>
          </w14:textFill>
        </w:rPr>
        <w:t>and wavelet (n=728)</w:t>
      </w:r>
      <w:r>
        <w:rPr>
          <w:rFonts w:hint="default" w:ascii="Times New Roman" w:hAnsi="Times New Roman" w:eastAsia="Microsoft YaHei UI" w:cs="Times New Roman"/>
          <w:b w:val="0"/>
          <w:bCs w:val="0"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default" w:ascii="Times New Roman" w:hAnsi="Times New Roman" w:eastAsia="Segoe UI" w:cs="Times New Roman"/>
          <w:b w:val="0"/>
          <w:bCs w:val="0"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14:textFill>
            <w14:solidFill>
              <w14:schemeClr w14:val="tx1"/>
            </w14:solidFill>
          </w14:textFill>
        </w:rPr>
        <w:t>filter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default" w:ascii="Times New Roman" w:hAnsi="Times New Roman" w:eastAsia="Microsoft YaHei UI" w:cs="Times New Roman"/>
          <w:b w:val="0"/>
          <w:bCs w:val="0"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14:textFill>
            <w14:solidFill>
              <w14:schemeClr w14:val="tx1"/>
            </w14:solidFill>
          </w14:textFill>
        </w:rPr>
        <w:t>transformations</w:t>
      </w:r>
      <w:r>
        <w:rPr>
          <w:rFonts w:hint="eastAsia" w:ascii="Times New Roman" w:hAnsi="Times New Roman" w:eastAsia="Microsoft YaHei UI" w:cs="Times New Roman"/>
          <w:b w:val="0"/>
          <w:bCs w:val="0"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:lang w:val="en-US" w:eastAsia="zh-CN"/>
          <w14:textFill>
            <w14:solidFill>
              <w14:schemeClr w14:val="tx1"/>
            </w14:solidFill>
          </w14:textFill>
        </w:rPr>
        <w:t>.</w:t>
      </w:r>
    </w:p>
    <w:p w14:paraId="14310330">
      <w:pPr>
        <w:rPr>
          <w:rFonts w:hint="default" w:ascii="Times New Roman" w:hAnsi="Times New Roman" w:eastAsia="Microsoft YaHei UI" w:cs="Times New Roman"/>
          <w:b w:val="0"/>
          <w:bCs w:val="0"/>
          <w:i w:val="0"/>
          <w:iCs w:val="0"/>
          <w:caps w:val="0"/>
          <w:color w:val="000000" w:themeColor="text1"/>
          <w:spacing w:val="0"/>
          <w:sz w:val="24"/>
          <w:szCs w:val="24"/>
          <w:shd w:val="clear" w:fill="FFFFFF"/>
          <w:lang w:val="en-US" w:eastAsia="zh-CN"/>
          <w14:textFill>
            <w14:solidFill>
              <w14:schemeClr w14:val="tx1"/>
            </w14:solidFill>
          </w14:textFill>
        </w:rPr>
      </w:pPr>
    </w:p>
    <w:p w14:paraId="2295051F">
      <w:pPr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b/>
          <w:bCs/>
          <w:sz w:val="21"/>
          <w:szCs w:val="21"/>
        </w:rPr>
        <w:t xml:space="preserve">Supplemental Table 1: </w:t>
      </w:r>
      <w:r>
        <w:rPr>
          <w:rFonts w:ascii="Times New Roman" w:hAnsi="Times New Roman" w:cs="Times New Roman"/>
          <w:sz w:val="21"/>
          <w:szCs w:val="21"/>
        </w:rPr>
        <w:t>D</w:t>
      </w:r>
      <w:r>
        <w:rPr>
          <w:rFonts w:hint="eastAsia" w:ascii="Times New Roman" w:hAnsi="Times New Roman" w:cs="Times New Roman"/>
          <w:sz w:val="21"/>
          <w:szCs w:val="21"/>
          <w:lang w:val="en-US" w:eastAsia="zh-CN"/>
        </w:rPr>
        <w:t>L</w:t>
      </w:r>
      <w:r>
        <w:rPr>
          <w:rFonts w:ascii="Times New Roman" w:hAnsi="Times New Roman" w:cs="Times New Roman"/>
          <w:sz w:val="21"/>
          <w:szCs w:val="21"/>
        </w:rPr>
        <w:t>CT scanning protocol and contrast agent injection scheme</w:t>
      </w:r>
    </w:p>
    <w:tbl>
      <w:tblPr>
        <w:tblStyle w:val="3"/>
        <w:tblW w:w="0" w:type="auto"/>
        <w:tblInd w:w="0" w:type="dxa"/>
        <w:tblBorders>
          <w:top w:val="single" w:color="auto" w:sz="12" w:space="0"/>
          <w:left w:val="single" w:color="auto" w:sz="12" w:space="0"/>
          <w:bottom w:val="single" w:color="auto" w:sz="12" w:space="0"/>
          <w:right w:val="single" w:color="auto" w:sz="12" w:space="0"/>
          <w:insideH w:val="single" w:color="auto" w:sz="12" w:space="0"/>
          <w:insideV w:val="single" w:color="auto" w:sz="12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924"/>
        <w:gridCol w:w="3299"/>
        <w:gridCol w:w="3299"/>
      </w:tblGrid>
      <w:tr w14:paraId="4B1F2DC1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12" w:space="0"/>
            <w:insideV w:val="single" w:color="auto" w:sz="12" w:space="0"/>
          </w:tblBorders>
        </w:tblPrEx>
        <w:tc>
          <w:tcPr>
            <w:tcW w:w="0" w:type="auto"/>
          </w:tcPr>
          <w:p w14:paraId="1CB19952">
            <w:pPr>
              <w:jc w:val="left"/>
              <w:rPr>
                <w:rFonts w:ascii="Times New Roman" w:hAnsi="Times New Roman" w:cs="Times New Roman"/>
                <w:b/>
                <w:bCs/>
                <w:sz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</w:rPr>
              <w:t>Parameter</w:t>
            </w:r>
          </w:p>
        </w:tc>
        <w:tc>
          <w:tcPr>
            <w:tcW w:w="0" w:type="auto"/>
          </w:tcPr>
          <w:p w14:paraId="7BF30420">
            <w:pPr>
              <w:jc w:val="left"/>
              <w:rPr>
                <w:rFonts w:ascii="Times New Roman" w:hAnsi="Times New Roman" w:cs="Times New Roman"/>
                <w:b/>
                <w:bCs/>
                <w:sz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</w:rPr>
              <w:t>Center 1</w:t>
            </w:r>
          </w:p>
        </w:tc>
        <w:tc>
          <w:tcPr>
            <w:tcW w:w="0" w:type="auto"/>
          </w:tcPr>
          <w:p w14:paraId="404D1B44">
            <w:pPr>
              <w:jc w:val="left"/>
              <w:rPr>
                <w:rFonts w:ascii="Times New Roman" w:hAnsi="Times New Roman" w:cs="Times New Roman"/>
                <w:b/>
                <w:bCs/>
                <w:sz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</w:rPr>
              <w:t>Center 2</w:t>
            </w:r>
          </w:p>
        </w:tc>
      </w:tr>
      <w:tr w14:paraId="153CBDBA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12" w:space="0"/>
            <w:insideV w:val="single" w:color="auto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</w:tcPr>
          <w:p w14:paraId="2EE81B36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CT scanner</w:t>
            </w:r>
          </w:p>
        </w:tc>
        <w:tc>
          <w:tcPr>
            <w:tcW w:w="0" w:type="auto"/>
          </w:tcPr>
          <w:p w14:paraId="5927C2B3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Hawk Spectral CT (Philips</w:t>
            </w:r>
          </w:p>
          <w:p w14:paraId="4EB2407E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Healthcare, Netherlands)</w:t>
            </w:r>
          </w:p>
        </w:tc>
        <w:tc>
          <w:tcPr>
            <w:tcW w:w="0" w:type="auto"/>
          </w:tcPr>
          <w:p w14:paraId="50E5F436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IQon Spectral CT (Philips</w:t>
            </w:r>
          </w:p>
          <w:p w14:paraId="625689C4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Healthcare, Netherlands)</w:t>
            </w:r>
          </w:p>
        </w:tc>
      </w:tr>
      <w:tr w14:paraId="0BB94C51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12" w:space="0"/>
            <w:insideV w:val="single" w:color="auto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</w:tcPr>
          <w:p w14:paraId="6CACB49A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Tube voltage</w:t>
            </w:r>
          </w:p>
        </w:tc>
        <w:tc>
          <w:tcPr>
            <w:tcW w:w="0" w:type="auto"/>
          </w:tcPr>
          <w:p w14:paraId="5C1D1126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120 kVp</w:t>
            </w:r>
          </w:p>
        </w:tc>
        <w:tc>
          <w:tcPr>
            <w:tcW w:w="0" w:type="auto"/>
          </w:tcPr>
          <w:p w14:paraId="22F39F79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120 kVp</w:t>
            </w:r>
          </w:p>
        </w:tc>
      </w:tr>
      <w:tr w14:paraId="30B05DE9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12" w:space="0"/>
            <w:insideV w:val="single" w:color="auto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</w:tcPr>
          <w:p w14:paraId="30279833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Tube current</w:t>
            </w:r>
          </w:p>
        </w:tc>
        <w:tc>
          <w:tcPr>
            <w:tcW w:w="0" w:type="auto"/>
          </w:tcPr>
          <w:p w14:paraId="30C1273E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technique for automatic tube current modulation</w:t>
            </w:r>
          </w:p>
        </w:tc>
        <w:tc>
          <w:tcPr>
            <w:tcW w:w="0" w:type="auto"/>
          </w:tcPr>
          <w:p w14:paraId="446FA78A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technique for automatic tube current modulation</w:t>
            </w:r>
          </w:p>
        </w:tc>
      </w:tr>
      <w:tr w14:paraId="1EF35295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12" w:space="0"/>
            <w:insideV w:val="single" w:color="auto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</w:tcPr>
          <w:p w14:paraId="6AA71770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Helical pitch</w:t>
            </w:r>
          </w:p>
        </w:tc>
        <w:tc>
          <w:tcPr>
            <w:tcW w:w="0" w:type="auto"/>
          </w:tcPr>
          <w:p w14:paraId="3D63209D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1.000</w:t>
            </w:r>
          </w:p>
        </w:tc>
        <w:tc>
          <w:tcPr>
            <w:tcW w:w="0" w:type="auto"/>
          </w:tcPr>
          <w:p w14:paraId="495356E1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0.998</w:t>
            </w:r>
          </w:p>
        </w:tc>
      </w:tr>
      <w:tr w14:paraId="1B13B149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12" w:space="0"/>
            <w:insideV w:val="single" w:color="auto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</w:tcPr>
          <w:p w14:paraId="415E4101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Detector</w:t>
            </w:r>
          </w:p>
          <w:p w14:paraId="3F0638C0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collimation</w:t>
            </w:r>
          </w:p>
        </w:tc>
        <w:tc>
          <w:tcPr>
            <w:tcW w:w="0" w:type="auto"/>
          </w:tcPr>
          <w:p w14:paraId="114158A1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hint="eastAsia" w:ascii="Times New Roman" w:hAnsi="Times New Roman" w:cs="Times New Roman"/>
                <w:sz w:val="24"/>
                <w:lang w:val="en-US" w:eastAsia="zh-CN"/>
              </w:rPr>
              <w:t>256</w:t>
            </w:r>
            <w:r>
              <w:rPr>
                <w:rFonts w:ascii="Times New Roman" w:hAnsi="Times New Roman" w:cs="Times New Roman"/>
                <w:sz w:val="24"/>
              </w:rPr>
              <w:t>×0.625 mm</w:t>
            </w:r>
            <w:bookmarkStart w:id="0" w:name="_GoBack"/>
            <w:bookmarkEnd w:id="0"/>
          </w:p>
        </w:tc>
        <w:tc>
          <w:tcPr>
            <w:tcW w:w="0" w:type="auto"/>
          </w:tcPr>
          <w:p w14:paraId="3EE2CE21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64×0.625 mm</w:t>
            </w:r>
          </w:p>
        </w:tc>
      </w:tr>
      <w:tr w14:paraId="57AA6C80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12" w:space="0"/>
            <w:insideV w:val="single" w:color="auto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</w:tcPr>
          <w:p w14:paraId="29668F71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Rotation speed</w:t>
            </w:r>
          </w:p>
        </w:tc>
        <w:tc>
          <w:tcPr>
            <w:tcW w:w="0" w:type="auto"/>
          </w:tcPr>
          <w:p w14:paraId="3F5CC309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0.5 s/r</w:t>
            </w:r>
          </w:p>
        </w:tc>
        <w:tc>
          <w:tcPr>
            <w:tcW w:w="0" w:type="auto"/>
          </w:tcPr>
          <w:p w14:paraId="63947B1A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0.75 s/r</w:t>
            </w:r>
          </w:p>
        </w:tc>
      </w:tr>
      <w:tr w14:paraId="7FEC2F96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12" w:space="0"/>
            <w:insideV w:val="single" w:color="auto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</w:tcPr>
          <w:p w14:paraId="7BCECCF2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Matrix for image reconstruction</w:t>
            </w:r>
          </w:p>
        </w:tc>
        <w:tc>
          <w:tcPr>
            <w:tcW w:w="0" w:type="auto"/>
          </w:tcPr>
          <w:p w14:paraId="13575DC3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512×512</w:t>
            </w:r>
          </w:p>
        </w:tc>
        <w:tc>
          <w:tcPr>
            <w:tcW w:w="0" w:type="auto"/>
          </w:tcPr>
          <w:p w14:paraId="180D73DE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512×512</w:t>
            </w:r>
          </w:p>
        </w:tc>
      </w:tr>
      <w:tr w14:paraId="5034ECE5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12" w:space="0"/>
            <w:insideV w:val="single" w:color="auto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</w:tcPr>
          <w:p w14:paraId="60389A9C">
            <w:pPr>
              <w:jc w:val="left"/>
              <w:rPr>
                <w:rFonts w:hint="default" w:ascii="Times New Roman" w:hAnsi="Times New Roman" w:cs="Times New Roman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aps w:val="0"/>
                <w:color w:val="000000" w:themeColor="text1"/>
                <w:spacing w:val="0"/>
                <w:sz w:val="24"/>
                <w:szCs w:val="24"/>
                <w:shd w:val="clear" w:fill="FFFFFF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S</w:t>
            </w:r>
            <w:r>
              <w:rPr>
                <w:rFonts w:hint="default" w:ascii="Times New Roman" w:hAnsi="Times New Roman" w:eastAsia="Segoe UI" w:cs="Times New Roman"/>
                <w:i w:val="0"/>
                <w:iCs w:val="0"/>
                <w:caps w:val="0"/>
                <w:color w:val="000000" w:themeColor="text1"/>
                <w:spacing w:val="0"/>
                <w:sz w:val="24"/>
                <w:szCs w:val="24"/>
                <w:shd w:val="clear" w:fill="FFFFFF"/>
                <w14:textFill>
                  <w14:solidFill>
                    <w14:schemeClr w14:val="tx1"/>
                  </w14:solidFill>
                </w14:textFill>
              </w:rPr>
              <w:t>canning range</w:t>
            </w:r>
          </w:p>
        </w:tc>
        <w:tc>
          <w:tcPr>
            <w:tcW w:w="0" w:type="auto"/>
          </w:tcPr>
          <w:p w14:paraId="0CC9668A">
            <w:pPr>
              <w:jc w:val="left"/>
              <w:rPr>
                <w:rFonts w:hint="default" w:ascii="Times New Roman" w:hAnsi="Times New Roman" w:cs="Times New Roman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Microsoft YaHei UI" w:cs="Times New Roman"/>
                <w:i w:val="0"/>
                <w:iCs w:val="0"/>
                <w:caps w:val="0"/>
                <w:color w:val="000000" w:themeColor="text1"/>
                <w:spacing w:val="0"/>
                <w:sz w:val="24"/>
                <w:szCs w:val="24"/>
                <w:shd w:val="clear" w:fill="FFFFFF"/>
                <w14:textFill>
                  <w14:solidFill>
                    <w14:schemeClr w14:val="tx1"/>
                  </w14:solidFill>
                </w14:textFill>
              </w:rPr>
              <w:t>From the thoracic inlet to the base of the lung</w:t>
            </w:r>
          </w:p>
        </w:tc>
        <w:tc>
          <w:tcPr>
            <w:tcW w:w="0" w:type="auto"/>
          </w:tcPr>
          <w:p w14:paraId="1BAD6C55">
            <w:pPr>
              <w:jc w:val="left"/>
              <w:rPr>
                <w:rFonts w:hint="default" w:ascii="Times New Roman" w:hAnsi="Times New Roman" w:cs="Times New Roman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Microsoft YaHei UI" w:cs="Times New Roman"/>
                <w:i w:val="0"/>
                <w:iCs w:val="0"/>
                <w:caps w:val="0"/>
                <w:color w:val="000000" w:themeColor="text1"/>
                <w:spacing w:val="0"/>
                <w:sz w:val="24"/>
                <w:szCs w:val="24"/>
                <w:shd w:val="clear" w:fill="FFFFFF"/>
                <w14:textFill>
                  <w14:solidFill>
                    <w14:schemeClr w14:val="tx1"/>
                  </w14:solidFill>
                </w14:textFill>
              </w:rPr>
              <w:t>From the thoracic inlet to the base of the lung</w:t>
            </w:r>
          </w:p>
        </w:tc>
      </w:tr>
      <w:tr w14:paraId="5CD92259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12" w:space="0"/>
            <w:insideV w:val="single" w:color="auto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</w:tcPr>
          <w:p w14:paraId="039CF4C1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Spectral level</w:t>
            </w:r>
          </w:p>
        </w:tc>
        <w:tc>
          <w:tcPr>
            <w:tcW w:w="0" w:type="auto"/>
          </w:tcPr>
          <w:p w14:paraId="5576843C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</w:t>
            </w:r>
          </w:p>
        </w:tc>
        <w:tc>
          <w:tcPr>
            <w:tcW w:w="0" w:type="auto"/>
          </w:tcPr>
          <w:p w14:paraId="599B9120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</w:p>
        </w:tc>
      </w:tr>
      <w:tr w14:paraId="05D301A1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12" w:space="0"/>
            <w:insideV w:val="single" w:color="auto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</w:tcPr>
          <w:p w14:paraId="2EF2F83A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Filter</w:t>
            </w:r>
          </w:p>
        </w:tc>
        <w:tc>
          <w:tcPr>
            <w:tcW w:w="0" w:type="auto"/>
          </w:tcPr>
          <w:p w14:paraId="28DF5D38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Standard B</w:t>
            </w:r>
          </w:p>
        </w:tc>
        <w:tc>
          <w:tcPr>
            <w:tcW w:w="0" w:type="auto"/>
          </w:tcPr>
          <w:p w14:paraId="1D964213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Standard B</w:t>
            </w:r>
          </w:p>
        </w:tc>
      </w:tr>
      <w:tr w14:paraId="194550F5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12" w:space="0"/>
            <w:insideV w:val="single" w:color="auto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</w:tcPr>
          <w:p w14:paraId="54BCD109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Reconstruction section thickness</w:t>
            </w:r>
          </w:p>
        </w:tc>
        <w:tc>
          <w:tcPr>
            <w:tcW w:w="0" w:type="auto"/>
          </w:tcPr>
          <w:p w14:paraId="01E63191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 mm</w:t>
            </w:r>
          </w:p>
        </w:tc>
        <w:tc>
          <w:tcPr>
            <w:tcW w:w="0" w:type="auto"/>
          </w:tcPr>
          <w:p w14:paraId="656A51AC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 mm</w:t>
            </w:r>
          </w:p>
        </w:tc>
      </w:tr>
      <w:tr w14:paraId="2A250398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12" w:space="0"/>
            <w:insideV w:val="single" w:color="auto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</w:tcPr>
          <w:p w14:paraId="2740F041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Reconstruction interval</w:t>
            </w:r>
          </w:p>
        </w:tc>
        <w:tc>
          <w:tcPr>
            <w:tcW w:w="0" w:type="auto"/>
          </w:tcPr>
          <w:p w14:paraId="147B082F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 mm</w:t>
            </w:r>
          </w:p>
        </w:tc>
        <w:tc>
          <w:tcPr>
            <w:tcW w:w="0" w:type="auto"/>
          </w:tcPr>
          <w:p w14:paraId="1CCC9D84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 mm</w:t>
            </w:r>
          </w:p>
        </w:tc>
      </w:tr>
      <w:tr w14:paraId="57C8CC17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12" w:space="0"/>
            <w:insideV w:val="single" w:color="auto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</w:tcPr>
          <w:p w14:paraId="0472C980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Contrast agent</w:t>
            </w:r>
          </w:p>
        </w:tc>
        <w:tc>
          <w:tcPr>
            <w:tcW w:w="0" w:type="auto"/>
          </w:tcPr>
          <w:p w14:paraId="48F310AB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Ioversol 320(Hengrui company)</w:t>
            </w:r>
          </w:p>
        </w:tc>
        <w:tc>
          <w:tcPr>
            <w:tcW w:w="0" w:type="auto"/>
          </w:tcPr>
          <w:p w14:paraId="43B30652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Iohexol 300(GE Healthcare)</w:t>
            </w:r>
          </w:p>
        </w:tc>
      </w:tr>
      <w:tr w14:paraId="47857D15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12" w:space="0"/>
            <w:insideV w:val="single" w:color="auto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</w:tcPr>
          <w:p w14:paraId="6D42E872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Injection dose</w:t>
            </w:r>
          </w:p>
        </w:tc>
        <w:tc>
          <w:tcPr>
            <w:tcW w:w="0" w:type="auto"/>
          </w:tcPr>
          <w:p w14:paraId="2F52A3BF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1.1 ml/kg</w:t>
            </w:r>
          </w:p>
        </w:tc>
        <w:tc>
          <w:tcPr>
            <w:tcW w:w="0" w:type="auto"/>
          </w:tcPr>
          <w:p w14:paraId="20B26810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1.0 ml/kg</w:t>
            </w:r>
          </w:p>
        </w:tc>
      </w:tr>
      <w:tr w14:paraId="4FD36068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12" w:space="0"/>
            <w:insideV w:val="single" w:color="auto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</w:tcPr>
          <w:p w14:paraId="206F889E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Flow rate</w:t>
            </w:r>
          </w:p>
        </w:tc>
        <w:tc>
          <w:tcPr>
            <w:tcW w:w="0" w:type="auto"/>
          </w:tcPr>
          <w:p w14:paraId="3F37E407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The injection duration is set to 25 seconds, and the flow rate is calculated by dividing the total drug volume by 25 seconds</w:t>
            </w:r>
          </w:p>
        </w:tc>
        <w:tc>
          <w:tcPr>
            <w:tcW w:w="0" w:type="auto"/>
          </w:tcPr>
          <w:p w14:paraId="37278796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2.5 ml/s</w:t>
            </w:r>
          </w:p>
        </w:tc>
      </w:tr>
      <w:tr w14:paraId="279E479D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12" w:space="0"/>
            <w:insideV w:val="single" w:color="auto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tcBorders>
              <w:bottom w:val="single" w:color="auto" w:sz="12" w:space="0"/>
            </w:tcBorders>
          </w:tcPr>
          <w:p w14:paraId="456D176D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Arterial Phase Scanning Mode</w:t>
            </w:r>
          </w:p>
        </w:tc>
        <w:tc>
          <w:tcPr>
            <w:tcW w:w="0" w:type="auto"/>
            <w:tcBorders>
              <w:bottom w:val="single" w:color="auto" w:sz="12" w:space="0"/>
            </w:tcBorders>
          </w:tcPr>
          <w:p w14:paraId="674040E7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Automatic contrast agent tracking was employed with a threshold of 150 HU and the arterial phase scan was initiated with an 8-second delay</w:t>
            </w:r>
          </w:p>
        </w:tc>
        <w:tc>
          <w:tcPr>
            <w:tcW w:w="0" w:type="auto"/>
            <w:tcBorders>
              <w:bottom w:val="single" w:color="auto" w:sz="12" w:space="0"/>
            </w:tcBorders>
          </w:tcPr>
          <w:p w14:paraId="29456A57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Automatic contrast agent tracking was employed with a threshold of 150 HU and the arterial phase scan was initiated with an 8-second delay</w:t>
            </w:r>
          </w:p>
        </w:tc>
      </w:tr>
      <w:tr w14:paraId="39CE8DE1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12" w:space="0"/>
            <w:insideV w:val="single" w:color="auto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5" w:hRule="atLeast"/>
        </w:trPr>
        <w:tc>
          <w:tcPr>
            <w:tcW w:w="0" w:type="auto"/>
          </w:tcPr>
          <w:p w14:paraId="1AC9DB9D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Venous phase</w:t>
            </w:r>
          </w:p>
          <w:p w14:paraId="09D175E5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scanning mode</w:t>
            </w:r>
          </w:p>
        </w:tc>
        <w:tc>
          <w:tcPr>
            <w:tcW w:w="0" w:type="auto"/>
          </w:tcPr>
          <w:p w14:paraId="02D60D7A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35 seconds after the arterial phase scan ended</w:t>
            </w:r>
          </w:p>
        </w:tc>
        <w:tc>
          <w:tcPr>
            <w:tcW w:w="0" w:type="auto"/>
          </w:tcPr>
          <w:p w14:paraId="387ECDE3"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35 seconds after the arterial phase scan ended</w:t>
            </w:r>
          </w:p>
        </w:tc>
      </w:tr>
    </w:tbl>
    <w:p w14:paraId="31976A93">
      <w:pPr>
        <w:rPr>
          <w:rFonts w:hint="eastAsia"/>
        </w:rPr>
      </w:pPr>
    </w:p>
    <w:p w14:paraId="09635D32"/>
    <w:p w14:paraId="74234967"/>
    <w:p w14:paraId="61087E17"/>
    <w:p w14:paraId="3C7E5498">
      <w:r>
        <w:rPr>
          <w:rFonts w:hint="eastAsia"/>
        </w:rPr>
        <w:drawing>
          <wp:inline distT="0" distB="0" distL="114300" distR="114300">
            <wp:extent cx="5256530" cy="2602865"/>
            <wp:effectExtent l="0" t="0" r="1270" b="6985"/>
            <wp:docPr id="1" name="图片 1" descr="能谱参数测量示意图-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能谱参数测量示意图-0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2602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600DB">
      <w:pPr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b/>
          <w:bCs/>
          <w:sz w:val="21"/>
          <w:szCs w:val="21"/>
        </w:rPr>
        <w:t xml:space="preserve">Supplemental Figure </w:t>
      </w:r>
      <w:r>
        <w:rPr>
          <w:rFonts w:hint="eastAsia" w:ascii="Times New Roman" w:hAnsi="Times New Roman" w:cs="Times New Roman"/>
          <w:b/>
          <w:bCs/>
          <w:sz w:val="21"/>
          <w:szCs w:val="21"/>
        </w:rPr>
        <w:t>1</w:t>
      </w:r>
      <w:r>
        <w:rPr>
          <w:rFonts w:ascii="Times New Roman" w:hAnsi="Times New Roman" w:cs="Times New Roman"/>
          <w:b/>
          <w:bCs/>
          <w:sz w:val="21"/>
          <w:szCs w:val="21"/>
        </w:rPr>
        <w:t>:</w:t>
      </w:r>
      <w:r>
        <w:rPr>
          <w:rFonts w:hint="eastAsia" w:ascii="Times New Roman" w:hAnsi="Times New Roman" w:cs="Times New Roman"/>
          <w:b/>
          <w:bCs/>
          <w:sz w:val="21"/>
          <w:szCs w:val="21"/>
        </w:rPr>
        <w:t xml:space="preserve"> </w:t>
      </w:r>
      <w:r>
        <w:rPr>
          <w:rFonts w:hint="eastAsia" w:ascii="Times New Roman" w:hAnsi="Times New Roman" w:cs="Times New Roman"/>
          <w:b w:val="0"/>
          <w:bCs w:val="0"/>
          <w:sz w:val="21"/>
          <w:szCs w:val="21"/>
          <w:lang w:val="en-US" w:eastAsia="zh-CN"/>
        </w:rPr>
        <w:t>S</w:t>
      </w:r>
      <w:r>
        <w:rPr>
          <w:rFonts w:ascii="Times New Roman" w:hAnsi="Times New Roman" w:cs="Times New Roman"/>
          <w:sz w:val="21"/>
          <w:szCs w:val="21"/>
        </w:rPr>
        <w:t>chematic diagram of D</w:t>
      </w:r>
      <w:r>
        <w:rPr>
          <w:rFonts w:hint="eastAsia" w:ascii="Times New Roman" w:hAnsi="Times New Roman" w:cs="Times New Roman"/>
          <w:sz w:val="21"/>
          <w:szCs w:val="21"/>
          <w:lang w:val="en-US" w:eastAsia="zh-CN"/>
        </w:rPr>
        <w:t>L</w:t>
      </w:r>
      <w:r>
        <w:rPr>
          <w:rFonts w:ascii="Times New Roman" w:hAnsi="Times New Roman" w:cs="Times New Roman"/>
          <w:sz w:val="21"/>
          <w:szCs w:val="21"/>
        </w:rPr>
        <w:t>CT quantitative parameter measurement. On the venous phase conventional 120 kVp lung window image (width, 1600 HU; level, -600 HU) (</w:t>
      </w:r>
      <w:r>
        <w:rPr>
          <w:rFonts w:ascii="Times New Roman" w:hAnsi="Times New Roman" w:cs="Times New Roman"/>
          <w:b/>
          <w:bCs/>
          <w:sz w:val="21"/>
          <w:szCs w:val="21"/>
        </w:rPr>
        <w:t>A</w:t>
      </w:r>
      <w:r>
        <w:rPr>
          <w:rFonts w:ascii="Times New Roman" w:hAnsi="Times New Roman" w:cs="Times New Roman"/>
          <w:sz w:val="21"/>
          <w:szCs w:val="21"/>
        </w:rPr>
        <w:t xml:space="preserve">), the ROI was delineated along the tumor contour. The "copy and paste" function was used to ensure consistency of the ROI across the virtual monoenergetic images (40 keV, </w:t>
      </w:r>
      <w:r>
        <w:rPr>
          <w:rFonts w:ascii="Times New Roman" w:hAnsi="Times New Roman" w:cs="Times New Roman"/>
          <w:b/>
          <w:bCs/>
          <w:sz w:val="21"/>
          <w:szCs w:val="21"/>
        </w:rPr>
        <w:t>B</w:t>
      </w:r>
      <w:r>
        <w:rPr>
          <w:rFonts w:ascii="Times New Roman" w:hAnsi="Times New Roman" w:cs="Times New Roman"/>
          <w:sz w:val="21"/>
          <w:szCs w:val="21"/>
        </w:rPr>
        <w:t xml:space="preserve">; 100 keV, </w:t>
      </w:r>
      <w:r>
        <w:rPr>
          <w:rFonts w:ascii="Times New Roman" w:hAnsi="Times New Roman" w:cs="Times New Roman"/>
          <w:b/>
          <w:bCs/>
          <w:sz w:val="21"/>
          <w:szCs w:val="21"/>
        </w:rPr>
        <w:t>C</w:t>
      </w:r>
      <w:r>
        <w:rPr>
          <w:rFonts w:ascii="Times New Roman" w:hAnsi="Times New Roman" w:cs="Times New Roman"/>
          <w:sz w:val="21"/>
          <w:szCs w:val="21"/>
        </w:rPr>
        <w:t>), iodine density (ID), effective atomic number (Zeff), and electron density (ED) maps (</w:t>
      </w:r>
      <w:r>
        <w:rPr>
          <w:rFonts w:ascii="Times New Roman" w:hAnsi="Times New Roman" w:cs="Times New Roman"/>
          <w:b/>
          <w:bCs/>
          <w:sz w:val="21"/>
          <w:szCs w:val="21"/>
        </w:rPr>
        <w:t>D-F</w:t>
      </w:r>
      <w:r>
        <w:rPr>
          <w:rFonts w:ascii="Times New Roman" w:hAnsi="Times New Roman" w:cs="Times New Roman"/>
          <w:sz w:val="21"/>
          <w:szCs w:val="21"/>
        </w:rPr>
        <w:t>). Additionally, an ROI was drawn on the aorta at the same level for NIC calculation.</w:t>
      </w:r>
    </w:p>
    <w:p w14:paraId="18AA91E1">
      <w:pPr>
        <w:rPr>
          <w:rFonts w:ascii="Times New Roman" w:hAnsi="Times New Roman" w:cs="Times New Roman"/>
          <w:sz w:val="21"/>
          <w:szCs w:val="21"/>
        </w:rPr>
      </w:pPr>
    </w:p>
    <w:p w14:paraId="24FC6AFA">
      <w:pPr>
        <w:rPr>
          <w:rFonts w:ascii="Times New Roman" w:hAnsi="Times New Roman" w:cs="Times New Roman"/>
          <w:sz w:val="21"/>
          <w:szCs w:val="21"/>
        </w:rPr>
      </w:pPr>
    </w:p>
    <w:p w14:paraId="670A8621">
      <w:pPr>
        <w:rPr>
          <w:rFonts w:ascii="Times New Roman" w:hAnsi="Times New Roman" w:cs="Times New Roman"/>
          <w:sz w:val="21"/>
          <w:szCs w:val="21"/>
        </w:rPr>
      </w:pPr>
    </w:p>
    <w:p w14:paraId="581E1368">
      <w:pPr>
        <w:rPr>
          <w:rFonts w:ascii="Times New Roman" w:hAnsi="Times New Roman" w:cs="Times New Roman"/>
          <w:sz w:val="21"/>
          <w:szCs w:val="21"/>
        </w:rPr>
      </w:pPr>
    </w:p>
    <w:p w14:paraId="370278FE">
      <w:pPr>
        <w:rPr>
          <w:rFonts w:ascii="Times New Roman" w:hAnsi="Times New Roman" w:cs="Times New Roman"/>
          <w:sz w:val="21"/>
          <w:szCs w:val="21"/>
        </w:rPr>
      </w:pPr>
    </w:p>
    <w:p w14:paraId="5D5441F1">
      <w:pPr>
        <w:rPr>
          <w:rFonts w:ascii="Times New Roman" w:hAnsi="Times New Roman" w:cs="Times New Roman"/>
          <w:sz w:val="21"/>
          <w:szCs w:val="21"/>
        </w:rPr>
      </w:pPr>
    </w:p>
    <w:p w14:paraId="6D1933D9">
      <w:pPr>
        <w:rPr>
          <w:rFonts w:ascii="Times New Roman" w:hAnsi="Times New Roman" w:cs="Times New Roman"/>
          <w:sz w:val="21"/>
          <w:szCs w:val="21"/>
        </w:rPr>
      </w:pPr>
    </w:p>
    <w:p w14:paraId="64463C15">
      <w:pPr>
        <w:rPr>
          <w:rFonts w:ascii="Times New Roman" w:hAnsi="Times New Roman" w:cs="Times New Roman"/>
          <w:sz w:val="21"/>
          <w:szCs w:val="21"/>
        </w:rPr>
      </w:pPr>
    </w:p>
    <w:p w14:paraId="693891B6">
      <w:pPr>
        <w:rPr>
          <w:rFonts w:ascii="Times New Roman" w:hAnsi="Times New Roman" w:cs="Times New Roman"/>
          <w:sz w:val="21"/>
          <w:szCs w:val="21"/>
        </w:rPr>
      </w:pPr>
    </w:p>
    <w:p w14:paraId="6CF39320">
      <w:pPr>
        <w:rPr>
          <w:rFonts w:ascii="Times New Roman" w:hAnsi="Times New Roman" w:cs="Times New Roman"/>
          <w:sz w:val="21"/>
          <w:szCs w:val="21"/>
        </w:rPr>
      </w:pPr>
    </w:p>
    <w:p w14:paraId="319A17A4">
      <w:pPr>
        <w:rPr>
          <w:rFonts w:ascii="Times New Roman" w:hAnsi="Times New Roman" w:cs="Times New Roman"/>
          <w:sz w:val="21"/>
          <w:szCs w:val="21"/>
        </w:rPr>
      </w:pPr>
    </w:p>
    <w:p w14:paraId="6272323C">
      <w:pPr>
        <w:rPr>
          <w:rFonts w:ascii="Times New Roman" w:hAnsi="Times New Roman" w:cs="Times New Roman"/>
          <w:sz w:val="21"/>
          <w:szCs w:val="21"/>
        </w:rPr>
      </w:pPr>
    </w:p>
    <w:p w14:paraId="4061D8CC">
      <w:pPr>
        <w:rPr>
          <w:rFonts w:hint="eastAsia" w:ascii="Times New Roman" w:hAnsi="Times New Roman" w:cs="Times New Roman" w:eastAsiaTheme="minorEastAsia"/>
          <w:sz w:val="21"/>
          <w:szCs w:val="21"/>
          <w:lang w:eastAsia="zh-CN"/>
        </w:rPr>
      </w:pPr>
      <w:r>
        <w:rPr>
          <w:rFonts w:hint="eastAsia" w:ascii="Times New Roman" w:hAnsi="Times New Roman" w:cs="Times New Roman" w:eastAsiaTheme="minorEastAsia"/>
          <w:sz w:val="21"/>
          <w:szCs w:val="21"/>
          <w:lang w:eastAsia="zh-CN"/>
        </w:rPr>
        <w:drawing>
          <wp:inline distT="0" distB="0" distL="114300" distR="114300">
            <wp:extent cx="5251450" cy="5690870"/>
            <wp:effectExtent l="0" t="0" r="6350" b="5080"/>
            <wp:docPr id="3" name="图片 3" descr="Tra_feature_weigh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Tra_feature_weights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51450" cy="5690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36A567">
      <w:pPr>
        <w:rPr>
          <w:rFonts w:hint="default" w:ascii="Times New Roman" w:hAnsi="Times New Roman" w:eastAsia="宋体" w:cs="Times New Roman"/>
          <w:sz w:val="21"/>
          <w:szCs w:val="21"/>
          <w:lang w:val="en-US" w:eastAsia="zh-CN"/>
        </w:rPr>
      </w:pPr>
      <w:r>
        <w:rPr>
          <w:rFonts w:ascii="Times New Roman" w:hAnsi="Times New Roman" w:cs="Times New Roman"/>
          <w:b/>
          <w:bCs/>
          <w:sz w:val="21"/>
          <w:szCs w:val="21"/>
        </w:rPr>
        <w:t xml:space="preserve">Supplemental Figure </w:t>
      </w:r>
      <w:r>
        <w:rPr>
          <w:rFonts w:hint="eastAsia" w:ascii="Times New Roman" w:hAnsi="Times New Roman" w:cs="Times New Roman"/>
          <w:b/>
          <w:bCs/>
          <w:sz w:val="21"/>
          <w:szCs w:val="21"/>
          <w:lang w:val="en-US" w:eastAsia="zh-CN"/>
        </w:rPr>
        <w:t>2</w:t>
      </w:r>
      <w:r>
        <w:rPr>
          <w:rFonts w:ascii="Times New Roman" w:hAnsi="Times New Roman" w:cs="Times New Roman"/>
          <w:b/>
          <w:bCs/>
          <w:sz w:val="21"/>
          <w:szCs w:val="21"/>
        </w:rPr>
        <w:t>:</w:t>
      </w:r>
      <w:r>
        <w:rPr>
          <w:rFonts w:hint="eastAsia" w:ascii="Times New Roman" w:hAnsi="Times New Roman" w:cs="Times New Roman"/>
          <w:b/>
          <w:bCs/>
          <w:sz w:val="21"/>
          <w:szCs w:val="21"/>
          <w:lang w:val="en-US" w:eastAsia="zh-CN"/>
        </w:rPr>
        <w:t xml:space="preserve"> </w:t>
      </w:r>
      <w:r>
        <w:rPr>
          <w:rFonts w:hint="default" w:ascii="Times New Roman" w:hAnsi="Times New Roman" w:eastAsia="Segoe UI" w:cs="Times New Roman"/>
          <w:i w:val="0"/>
          <w:iCs w:val="0"/>
          <w:caps w:val="0"/>
          <w:color w:val="000000" w:themeColor="text1"/>
          <w:spacing w:val="0"/>
          <w:sz w:val="21"/>
          <w:szCs w:val="21"/>
          <w:shd w:val="clear" w:color="auto" w:fill="auto"/>
          <w14:textFill>
            <w14:solidFill>
              <w14:schemeClr w14:val="tx1"/>
            </w14:solidFill>
          </w14:textFill>
        </w:rPr>
        <w:t>Radiomic features and corresponding weight coefficients selected from conventional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 w:themeColor="text1"/>
          <w:spacing w:val="0"/>
          <w:sz w:val="21"/>
          <w:szCs w:val="21"/>
          <w:shd w:val="clear" w:color="auto" w:fill="auto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 w:themeColor="text1"/>
          <w:spacing w:val="0"/>
          <w:sz w:val="21"/>
          <w:szCs w:val="21"/>
          <w:shd w:val="clear" w:color="auto" w:fill="auto"/>
          <w:lang w:val="en-US" w:eastAsia="zh-CN"/>
          <w14:textFill>
            <w14:solidFill>
              <w14:schemeClr w14:val="tx1"/>
            </w14:solidFill>
          </w14:textFill>
        </w:rPr>
        <w:t>(A)</w:t>
      </w:r>
      <w:r>
        <w:rPr>
          <w:rFonts w:hint="default" w:ascii="Times New Roman" w:hAnsi="Times New Roman" w:eastAsia="Segoe UI" w:cs="Times New Roman"/>
          <w:i w:val="0"/>
          <w:iCs w:val="0"/>
          <w:caps w:val="0"/>
          <w:color w:val="000000" w:themeColor="text1"/>
          <w:spacing w:val="0"/>
          <w:sz w:val="21"/>
          <w:szCs w:val="21"/>
          <w:shd w:val="clear" w:color="auto" w:fill="auto"/>
          <w14:textFill>
            <w14:solidFill>
              <w14:schemeClr w14:val="tx1"/>
            </w14:solidFill>
          </w14:textFill>
        </w:rPr>
        <w:t>, VMI 40keV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 w:themeColor="text1"/>
          <w:spacing w:val="0"/>
          <w:sz w:val="21"/>
          <w:szCs w:val="21"/>
          <w:shd w:val="clear" w:color="auto" w:fill="auto"/>
          <w:lang w:val="en-US" w:eastAsia="zh-CN"/>
          <w14:textFill>
            <w14:solidFill>
              <w14:schemeClr w14:val="tx1"/>
            </w14:solidFill>
          </w14:textFill>
        </w:rPr>
        <w:t xml:space="preserve"> (B)</w:t>
      </w:r>
      <w:r>
        <w:rPr>
          <w:rFonts w:hint="default" w:ascii="Times New Roman" w:hAnsi="Times New Roman" w:eastAsia="Segoe UI" w:cs="Times New Roman"/>
          <w:i w:val="0"/>
          <w:iCs w:val="0"/>
          <w:caps w:val="0"/>
          <w:color w:val="000000" w:themeColor="text1"/>
          <w:spacing w:val="0"/>
          <w:sz w:val="21"/>
          <w:szCs w:val="21"/>
          <w:shd w:val="clear" w:color="auto" w:fill="auto"/>
          <w14:textFill>
            <w14:solidFill>
              <w14:schemeClr w14:val="tx1"/>
            </w14:solidFill>
          </w14:textFill>
        </w:rPr>
        <w:t>, 65keV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 w:themeColor="text1"/>
          <w:spacing w:val="0"/>
          <w:sz w:val="21"/>
          <w:szCs w:val="21"/>
          <w:shd w:val="clear" w:color="auto" w:fill="auto"/>
          <w:lang w:val="en-US" w:eastAsia="zh-CN"/>
          <w14:textFill>
            <w14:solidFill>
              <w14:schemeClr w14:val="tx1"/>
            </w14:solidFill>
          </w14:textFill>
        </w:rPr>
        <w:t xml:space="preserve"> (C)</w:t>
      </w:r>
      <w:r>
        <w:rPr>
          <w:rFonts w:hint="default" w:ascii="Times New Roman" w:hAnsi="Times New Roman" w:eastAsia="Segoe UI" w:cs="Times New Roman"/>
          <w:i w:val="0"/>
          <w:iCs w:val="0"/>
          <w:caps w:val="0"/>
          <w:color w:val="000000" w:themeColor="text1"/>
          <w:spacing w:val="0"/>
          <w:sz w:val="21"/>
          <w:szCs w:val="21"/>
          <w:shd w:val="clear" w:color="auto" w:fill="auto"/>
          <w14:textFill>
            <w14:solidFill>
              <w14:schemeClr w14:val="tx1"/>
            </w14:solidFill>
          </w14:textFill>
        </w:rPr>
        <w:t>, 100keV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 w:themeColor="text1"/>
          <w:spacing w:val="0"/>
          <w:sz w:val="21"/>
          <w:szCs w:val="21"/>
          <w:shd w:val="clear" w:color="auto" w:fill="auto"/>
          <w:lang w:val="en-US" w:eastAsia="zh-CN"/>
          <w14:textFill>
            <w14:solidFill>
              <w14:schemeClr w14:val="tx1"/>
            </w14:solidFill>
          </w14:textFill>
        </w:rPr>
        <w:t xml:space="preserve"> (D)</w:t>
      </w:r>
      <w:r>
        <w:rPr>
          <w:rFonts w:hint="default" w:ascii="Times New Roman" w:hAnsi="Times New Roman" w:eastAsia="Segoe UI" w:cs="Times New Roman"/>
          <w:i w:val="0"/>
          <w:iCs w:val="0"/>
          <w:caps w:val="0"/>
          <w:color w:val="000000" w:themeColor="text1"/>
          <w:spacing w:val="0"/>
          <w:sz w:val="21"/>
          <w:szCs w:val="21"/>
          <w:shd w:val="clear" w:color="auto" w:fill="auto"/>
          <w14:textFill>
            <w14:solidFill>
              <w14:schemeClr w14:val="tx1"/>
            </w14:solidFill>
          </w14:textFill>
        </w:rPr>
        <w:t>, ID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 w:themeColor="text1"/>
          <w:spacing w:val="0"/>
          <w:sz w:val="21"/>
          <w:szCs w:val="21"/>
          <w:shd w:val="clear" w:color="auto" w:fill="auto"/>
          <w:lang w:val="en-US" w:eastAsia="zh-CN"/>
          <w14:textFill>
            <w14:solidFill>
              <w14:schemeClr w14:val="tx1"/>
            </w14:solidFill>
          </w14:textFill>
        </w:rPr>
        <w:t xml:space="preserve"> (E)</w:t>
      </w:r>
      <w:r>
        <w:rPr>
          <w:rFonts w:hint="default" w:ascii="Times New Roman" w:hAnsi="Times New Roman" w:eastAsia="Segoe UI" w:cs="Times New Roman"/>
          <w:i w:val="0"/>
          <w:iCs w:val="0"/>
          <w:caps w:val="0"/>
          <w:color w:val="000000" w:themeColor="text1"/>
          <w:spacing w:val="0"/>
          <w:sz w:val="21"/>
          <w:szCs w:val="21"/>
          <w:shd w:val="clear" w:color="auto" w:fill="auto"/>
          <w14:textFill>
            <w14:solidFill>
              <w14:schemeClr w14:val="tx1"/>
            </w14:solidFill>
          </w14:textFill>
        </w:rPr>
        <w:t>, Zeff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 w:themeColor="text1"/>
          <w:spacing w:val="0"/>
          <w:sz w:val="21"/>
          <w:szCs w:val="21"/>
          <w:shd w:val="clear" w:color="auto" w:fill="auto"/>
          <w:lang w:val="en-US" w:eastAsia="zh-CN"/>
          <w14:textFill>
            <w14:solidFill>
              <w14:schemeClr w14:val="tx1"/>
            </w14:solidFill>
          </w14:textFill>
        </w:rPr>
        <w:t xml:space="preserve"> (F)</w:t>
      </w:r>
      <w:r>
        <w:rPr>
          <w:rFonts w:hint="default" w:ascii="Times New Roman" w:hAnsi="Times New Roman" w:eastAsia="Segoe UI" w:cs="Times New Roman"/>
          <w:i w:val="0"/>
          <w:iCs w:val="0"/>
          <w:caps w:val="0"/>
          <w:color w:val="000000" w:themeColor="text1"/>
          <w:spacing w:val="0"/>
          <w:sz w:val="21"/>
          <w:szCs w:val="21"/>
          <w:shd w:val="clear" w:color="auto" w:fill="auto"/>
          <w14:textFill>
            <w14:solidFill>
              <w14:schemeClr w14:val="tx1"/>
            </w14:solidFill>
          </w14:textFill>
        </w:rPr>
        <w:t>, and E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 w:themeColor="text1"/>
          <w:spacing w:val="0"/>
          <w:sz w:val="21"/>
          <w:szCs w:val="21"/>
          <w:shd w:val="clear" w:color="auto" w:fill="auto"/>
          <w:lang w:val="en-US" w:eastAsia="zh-CN"/>
          <w14:textFill>
            <w14:solidFill>
              <w14:schemeClr w14:val="tx1"/>
            </w14:solidFill>
          </w14:textFill>
        </w:rPr>
        <w:t>D (G)</w:t>
      </w:r>
      <w:r>
        <w:rPr>
          <w:rFonts w:hint="default" w:ascii="Times New Roman" w:hAnsi="Times New Roman" w:eastAsia="Segoe UI" w:cs="Times New Roman"/>
          <w:i w:val="0"/>
          <w:iCs w:val="0"/>
          <w:caps w:val="0"/>
          <w:color w:val="000000" w:themeColor="text1"/>
          <w:spacing w:val="0"/>
          <w:sz w:val="21"/>
          <w:szCs w:val="21"/>
          <w:shd w:val="clear" w:color="auto" w:fill="auto"/>
          <w14:textFill>
            <w14:solidFill>
              <w14:schemeClr w14:val="tx1"/>
            </w14:solidFill>
          </w14:textFill>
        </w:rPr>
        <w:t xml:space="preserve"> imag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 w:themeColor="text1"/>
          <w:spacing w:val="0"/>
          <w:sz w:val="21"/>
          <w:szCs w:val="21"/>
          <w:shd w:val="clear" w:color="auto" w:fill="auto"/>
          <w:lang w:val="en-US" w:eastAsia="zh-CN"/>
          <w14:textFill>
            <w14:solidFill>
              <w14:schemeClr w14:val="tx1"/>
            </w14:solidFill>
          </w14:textFill>
        </w:rPr>
        <w:t>es.</w:t>
      </w:r>
    </w:p>
    <w:p w14:paraId="5278FF65">
      <w:pPr>
        <w:rPr>
          <w:rFonts w:ascii="Times New Roman" w:hAnsi="Times New Roman" w:cs="Times New Roman"/>
          <w:sz w:val="21"/>
          <w:szCs w:val="21"/>
        </w:rPr>
      </w:pPr>
    </w:p>
    <w:p w14:paraId="45E614D1"/>
    <w:p w14:paraId="34FF322F">
      <w:r>
        <w:rPr>
          <w:rFonts w:hint="eastAsia"/>
        </w:rPr>
        <w:drawing>
          <wp:inline distT="0" distB="0" distL="114300" distR="114300">
            <wp:extent cx="5269230" cy="1541780"/>
            <wp:effectExtent l="0" t="0" r="7620" b="1270"/>
            <wp:docPr id="2" name="图片 2" descr="delong_each_cohort_train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delong_each_cohort_train-0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541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D7A57">
      <w:r>
        <w:rPr>
          <w:rFonts w:ascii="Times New Roman" w:hAnsi="Times New Roman" w:cs="Times New Roman"/>
          <w:b/>
          <w:bCs/>
          <w:sz w:val="21"/>
          <w:szCs w:val="21"/>
        </w:rPr>
        <w:t xml:space="preserve">Supplemental Figure </w:t>
      </w:r>
      <w:r>
        <w:rPr>
          <w:rFonts w:hint="eastAsia" w:ascii="Times New Roman" w:hAnsi="Times New Roman" w:cs="Times New Roman"/>
          <w:b/>
          <w:bCs/>
          <w:sz w:val="21"/>
          <w:szCs w:val="21"/>
          <w:lang w:val="en-US" w:eastAsia="zh-CN"/>
        </w:rPr>
        <w:t>3</w:t>
      </w:r>
      <w:r>
        <w:rPr>
          <w:rFonts w:ascii="Times New Roman" w:hAnsi="Times New Roman" w:cs="Times New Roman"/>
          <w:b/>
          <w:bCs/>
          <w:sz w:val="21"/>
          <w:szCs w:val="21"/>
        </w:rPr>
        <w:t xml:space="preserve">: </w:t>
      </w:r>
      <w:r>
        <w:rPr>
          <w:rFonts w:ascii="Times New Roman" w:hAnsi="Times New Roman" w:cs="Times New Roman"/>
          <w:sz w:val="21"/>
          <w:szCs w:val="21"/>
        </w:rPr>
        <w:t>The D</w:t>
      </w:r>
      <w:r>
        <w:rPr>
          <w:rFonts w:hint="eastAsia" w:ascii="Times New Roman" w:hAnsi="Times New Roman" w:cs="Times New Roman"/>
          <w:sz w:val="21"/>
          <w:szCs w:val="21"/>
          <w:lang w:val="en-US" w:eastAsia="zh-CN"/>
        </w:rPr>
        <w:t>e</w:t>
      </w:r>
      <w:r>
        <w:rPr>
          <w:rFonts w:ascii="Times New Roman" w:hAnsi="Times New Roman" w:cs="Times New Roman"/>
          <w:sz w:val="21"/>
          <w:szCs w:val="21"/>
        </w:rPr>
        <w:t>long test results of the clinical-radiological model, radiomics model, and nomogram in the training set, internal validation set, and external validation set.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Microsoft YaHei UI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16734"/>
    <w:rsid w:val="000466F1"/>
    <w:rsid w:val="002A4CFE"/>
    <w:rsid w:val="002D4E53"/>
    <w:rsid w:val="005521E4"/>
    <w:rsid w:val="00570255"/>
    <w:rsid w:val="00616734"/>
    <w:rsid w:val="00692DB6"/>
    <w:rsid w:val="008D12FD"/>
    <w:rsid w:val="00C46A97"/>
    <w:rsid w:val="00D36CEB"/>
    <w:rsid w:val="00E054E6"/>
    <w:rsid w:val="00ED5E91"/>
    <w:rsid w:val="0306739F"/>
    <w:rsid w:val="0A0700B4"/>
    <w:rsid w:val="1600454E"/>
    <w:rsid w:val="1A972280"/>
    <w:rsid w:val="1B09044A"/>
    <w:rsid w:val="1CBB63E9"/>
    <w:rsid w:val="1E204892"/>
    <w:rsid w:val="1F9A6430"/>
    <w:rsid w:val="245D270F"/>
    <w:rsid w:val="254F2514"/>
    <w:rsid w:val="2A5E455A"/>
    <w:rsid w:val="2BE348CB"/>
    <w:rsid w:val="3CA5380D"/>
    <w:rsid w:val="41903405"/>
    <w:rsid w:val="48E30B00"/>
    <w:rsid w:val="4FA113E3"/>
    <w:rsid w:val="50217246"/>
    <w:rsid w:val="5FFE0814"/>
    <w:rsid w:val="6086039F"/>
    <w:rsid w:val="619258A7"/>
    <w:rsid w:val="661B49C8"/>
    <w:rsid w:val="69CC0026"/>
    <w:rsid w:val="6C087DCA"/>
    <w:rsid w:val="70266D41"/>
    <w:rsid w:val="73194D8A"/>
    <w:rsid w:val="737373C6"/>
    <w:rsid w:val="78034139"/>
    <w:rsid w:val="79C97388"/>
    <w:rsid w:val="7BA20F57"/>
    <w:rsid w:val="7F3D17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unhideWhenUsed/>
    <w:qFormat/>
    <w:uiPriority w:val="1"/>
  </w:style>
  <w:style w:type="table" w:default="1" w:styleId="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465</Words>
  <Characters>2605</Characters>
  <Lines>14</Lines>
  <Paragraphs>4</Paragraphs>
  <TotalTime>2</TotalTime>
  <ScaleCrop>false</ScaleCrop>
  <LinksUpToDate>false</LinksUpToDate>
  <CharactersWithSpaces>3007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2024-11-24T07:17:00Z</dcterms:created>
  <dc:creator>Administrator</dc:creator>
  <cp:lastModifiedBy>Joy</cp:lastModifiedBy>
  <dcterms:modified xsi:type="dcterms:W3CDTF">2025-05-22T09:40:15Z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AAF61A0504D143E98DD51E3838ABFF5E_12</vt:lpwstr>
  </property>
  <property fmtid="{D5CDD505-2E9C-101B-9397-08002B2CF9AE}" pid="4" name="KSOTemplateDocerSaveRecord">
    <vt:lpwstr>eyJoZGlkIjoiN2E1ZWRiM2UwM2UzNmYxZGE4NzQ5NDY4ZDFlNGNlMjEiLCJ1c2VySWQiOiI2Mzk3OTQzNTcifQ==</vt:lpwstr>
  </property>
</Properties>
</file>