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D155" w14:textId="279FF187" w:rsidR="00961928" w:rsidRDefault="008721C6" w:rsidP="00EB5547">
      <w:pPr>
        <w:rPr>
          <w:b/>
          <w:bCs/>
          <w:iCs/>
        </w:rPr>
      </w:pPr>
      <w:r>
        <w:rPr>
          <w:b/>
          <w:bCs/>
          <w:iCs/>
        </w:rPr>
        <w:t xml:space="preserve">Additional file 1: </w:t>
      </w:r>
      <w:r w:rsidR="00035AAA" w:rsidRPr="00035AAA">
        <w:rPr>
          <w:b/>
          <w:bCs/>
          <w:iCs/>
        </w:rPr>
        <w:t>Consolidated Criteria for Reporting qualitative Research (COREQ)</w:t>
      </w:r>
    </w:p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799"/>
        <w:gridCol w:w="6549"/>
      </w:tblGrid>
      <w:tr w:rsidR="00961928" w:rsidRPr="00961928" w14:paraId="0BDF05FD" w14:textId="77777777" w:rsidTr="00961928"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0F4761" w:themeFill="accent1" w:themeFillShade="BF"/>
          </w:tcPr>
          <w:p w14:paraId="41559918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Domain 1: Research team and reflexivity</w:t>
            </w:r>
          </w:p>
        </w:tc>
      </w:tr>
      <w:tr w:rsidR="00961928" w:rsidRPr="00961928" w14:paraId="33705F73" w14:textId="77777777" w:rsidTr="00961928">
        <w:tc>
          <w:tcPr>
            <w:tcW w:w="10348" w:type="dxa"/>
            <w:gridSpan w:val="2"/>
            <w:shd w:val="clear" w:color="auto" w:fill="83CAEB" w:themeFill="accent1" w:themeFillTint="66"/>
          </w:tcPr>
          <w:p w14:paraId="05F56D57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Personal Characteristics</w:t>
            </w:r>
          </w:p>
        </w:tc>
      </w:tr>
      <w:tr w:rsidR="00961928" w:rsidRPr="00961928" w14:paraId="0C5FF403" w14:textId="77777777" w:rsidTr="00961928">
        <w:tc>
          <w:tcPr>
            <w:tcW w:w="3799" w:type="dxa"/>
          </w:tcPr>
          <w:p w14:paraId="790A8522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Interviewer/facilitator</w:t>
            </w:r>
          </w:p>
        </w:tc>
        <w:tc>
          <w:tcPr>
            <w:tcW w:w="6549" w:type="dxa"/>
          </w:tcPr>
          <w:p w14:paraId="23A258B2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Detailed in methods section “Data collection”:</w:t>
            </w:r>
          </w:p>
          <w:p w14:paraId="26317B82" w14:textId="0D336204" w:rsidR="00961928" w:rsidRPr="00961928" w:rsidRDefault="00961928" w:rsidP="00961928">
            <w:pPr>
              <w:spacing w:after="160"/>
              <w:rPr>
                <w:iCs/>
                <w:lang w:val="de-DE"/>
              </w:rPr>
            </w:pPr>
            <w:r w:rsidRPr="00961928">
              <w:rPr>
                <w:iCs/>
                <w:lang w:val="de-DE"/>
              </w:rPr>
              <w:t>Interviewer, interview guide development</w:t>
            </w:r>
            <w:r w:rsidR="00D53B32">
              <w:rPr>
                <w:iCs/>
                <w:lang w:val="de-DE"/>
              </w:rPr>
              <w:t xml:space="preserve">, </w:t>
            </w:r>
            <w:r w:rsidRPr="00961928">
              <w:rPr>
                <w:iCs/>
                <w:lang w:val="de-DE"/>
              </w:rPr>
              <w:t>analysis</w:t>
            </w:r>
            <w:r w:rsidR="00D53B32">
              <w:rPr>
                <w:iCs/>
                <w:lang w:val="de-DE"/>
              </w:rPr>
              <w:t>, and drafting of manuscripts</w:t>
            </w:r>
            <w:r w:rsidRPr="00961928">
              <w:rPr>
                <w:iCs/>
                <w:lang w:val="de-DE"/>
              </w:rPr>
              <w:t xml:space="preserve">: Jimi Osinaike (JO) </w:t>
            </w:r>
          </w:p>
          <w:p w14:paraId="535BF1B5" w14:textId="272D31D9" w:rsidR="00961928" w:rsidRPr="00961928" w:rsidRDefault="00961928" w:rsidP="00961928">
            <w:pPr>
              <w:spacing w:after="160"/>
              <w:rPr>
                <w:iCs/>
                <w:lang w:val="de-DE"/>
              </w:rPr>
            </w:pPr>
            <w:r w:rsidRPr="00961928">
              <w:rPr>
                <w:iCs/>
                <w:lang w:val="de-DE"/>
              </w:rPr>
              <w:t>Interview guide development</w:t>
            </w:r>
            <w:r w:rsidR="003D391A">
              <w:rPr>
                <w:iCs/>
                <w:lang w:val="de-DE"/>
              </w:rPr>
              <w:t xml:space="preserve">, </w:t>
            </w:r>
            <w:r w:rsidRPr="00961928">
              <w:rPr>
                <w:iCs/>
                <w:lang w:val="de-DE"/>
              </w:rPr>
              <w:t>analysis</w:t>
            </w:r>
            <w:r w:rsidR="003D391A">
              <w:rPr>
                <w:iCs/>
                <w:lang w:val="de-DE"/>
              </w:rPr>
              <w:t>, c</w:t>
            </w:r>
            <w:r w:rsidR="003D391A" w:rsidRPr="003D391A">
              <w:rPr>
                <w:iCs/>
                <w:lang w:val="de-DE"/>
              </w:rPr>
              <w:t>ontributed to final manuscript</w:t>
            </w:r>
            <w:r w:rsidR="003D391A">
              <w:rPr>
                <w:iCs/>
                <w:lang w:val="de-DE"/>
              </w:rPr>
              <w:t xml:space="preserve">: </w:t>
            </w:r>
            <w:r w:rsidRPr="00961928">
              <w:rPr>
                <w:iCs/>
                <w:lang w:val="de-DE"/>
              </w:rPr>
              <w:t>Sarah Hardcastle (SH)</w:t>
            </w:r>
          </w:p>
          <w:p w14:paraId="09549189" w14:textId="45E88987" w:rsidR="00961928" w:rsidRPr="00961928" w:rsidRDefault="002A7723" w:rsidP="00961928">
            <w:pPr>
              <w:spacing w:after="160"/>
              <w:rPr>
                <w:iCs/>
                <w:lang w:val="de-DE"/>
              </w:rPr>
            </w:pPr>
            <w:r>
              <w:rPr>
                <w:iCs/>
                <w:lang w:val="de-DE"/>
              </w:rPr>
              <w:t xml:space="preserve">Contributed to </w:t>
            </w:r>
            <w:r w:rsidR="00D53B32">
              <w:rPr>
                <w:iCs/>
                <w:lang w:val="de-DE"/>
              </w:rPr>
              <w:t>final manuscript</w:t>
            </w:r>
            <w:r w:rsidR="00961928" w:rsidRPr="00961928">
              <w:rPr>
                <w:iCs/>
                <w:lang w:val="de-DE"/>
              </w:rPr>
              <w:t>: Rob Copeland (RC)</w:t>
            </w:r>
          </w:p>
        </w:tc>
      </w:tr>
      <w:tr w:rsidR="00961928" w:rsidRPr="00961928" w14:paraId="149F288B" w14:textId="77777777" w:rsidTr="00961928">
        <w:tc>
          <w:tcPr>
            <w:tcW w:w="3799" w:type="dxa"/>
          </w:tcPr>
          <w:p w14:paraId="5820D641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Credentials</w:t>
            </w:r>
          </w:p>
        </w:tc>
        <w:tc>
          <w:tcPr>
            <w:tcW w:w="6549" w:type="dxa"/>
          </w:tcPr>
          <w:p w14:paraId="7EC85A2B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Jimi Osinaike (JO): MBBS, MSc (Sports and Exercise Medicine)</w:t>
            </w:r>
          </w:p>
          <w:p w14:paraId="67382CAA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Sarah Hardcastle (SH): PhD/Associate Professor</w:t>
            </w:r>
          </w:p>
          <w:p w14:paraId="01402384" w14:textId="523BCE4A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Rob Copeland: PhD/Professor</w:t>
            </w:r>
          </w:p>
        </w:tc>
      </w:tr>
      <w:tr w:rsidR="00961928" w:rsidRPr="00961928" w14:paraId="2F353943" w14:textId="77777777" w:rsidTr="00961928">
        <w:tc>
          <w:tcPr>
            <w:tcW w:w="3799" w:type="dxa"/>
          </w:tcPr>
          <w:p w14:paraId="38E308B5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Occupation</w:t>
            </w:r>
          </w:p>
        </w:tc>
        <w:tc>
          <w:tcPr>
            <w:tcW w:w="6549" w:type="dxa"/>
          </w:tcPr>
          <w:p w14:paraId="78D1CD2C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JO: PhD student</w:t>
            </w:r>
          </w:p>
          <w:p w14:paraId="23B9092C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SH: Associate Professor (Physical activity and health)</w:t>
            </w:r>
          </w:p>
          <w:p w14:paraId="0CA19DF3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RC: Professor (Physical activity and health), Director, Advanced Wellbeing Research Centre.</w:t>
            </w:r>
          </w:p>
        </w:tc>
      </w:tr>
      <w:tr w:rsidR="00961928" w:rsidRPr="00961928" w14:paraId="43206568" w14:textId="77777777" w:rsidTr="00961928">
        <w:tc>
          <w:tcPr>
            <w:tcW w:w="3799" w:type="dxa"/>
          </w:tcPr>
          <w:p w14:paraId="27E28BD8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Gender</w:t>
            </w:r>
          </w:p>
        </w:tc>
        <w:tc>
          <w:tcPr>
            <w:tcW w:w="6549" w:type="dxa"/>
          </w:tcPr>
          <w:p w14:paraId="391BA267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JO, RC: Male</w:t>
            </w:r>
          </w:p>
          <w:p w14:paraId="74322773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SH: Female</w:t>
            </w:r>
          </w:p>
        </w:tc>
      </w:tr>
      <w:tr w:rsidR="00961928" w:rsidRPr="00961928" w14:paraId="2473D115" w14:textId="77777777" w:rsidTr="00961928">
        <w:tc>
          <w:tcPr>
            <w:tcW w:w="3799" w:type="dxa"/>
            <w:tcBorders>
              <w:bottom w:val="single" w:sz="4" w:space="0" w:color="auto"/>
            </w:tcBorders>
          </w:tcPr>
          <w:p w14:paraId="4CDF1FB8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Experience and training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shd w:val="clear" w:color="auto" w:fill="auto"/>
          </w:tcPr>
          <w:p w14:paraId="26D0C6FD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Interviewer:  JO have some experience in qualitative research. He also they attended online training on qualitative data analysis</w:t>
            </w:r>
          </w:p>
          <w:p w14:paraId="326E9607" w14:textId="6DA7E3F4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 xml:space="preserve">SH: </w:t>
            </w:r>
            <w:r w:rsidR="00FE02F9" w:rsidRPr="00FE02F9">
              <w:rPr>
                <w:iCs/>
              </w:rPr>
              <w:t>Associate Professor with extensive expertise in qualitative research and interviewing, having designed and conducted multiple studies from conception to completion.</w:t>
            </w:r>
          </w:p>
          <w:p w14:paraId="577E5445" w14:textId="6829DF35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RC: Professor</w:t>
            </w:r>
            <w:r w:rsidR="00FE02F9">
              <w:rPr>
                <w:iCs/>
              </w:rPr>
              <w:t xml:space="preserve"> </w:t>
            </w:r>
            <w:r w:rsidR="00FE02F9" w:rsidRPr="00FE02F9">
              <w:rPr>
                <w:iCs/>
              </w:rPr>
              <w:t>with extensive expertise in qualitative research and interviewing, having designed and conducted multiple studies from conception to completion.</w:t>
            </w:r>
          </w:p>
        </w:tc>
      </w:tr>
      <w:tr w:rsidR="00961928" w:rsidRPr="00961928" w14:paraId="59C065EB" w14:textId="77777777" w:rsidTr="00961928">
        <w:tc>
          <w:tcPr>
            <w:tcW w:w="10348" w:type="dxa"/>
            <w:gridSpan w:val="2"/>
            <w:shd w:val="clear" w:color="auto" w:fill="83CAEB" w:themeFill="accent1" w:themeFillTint="66"/>
          </w:tcPr>
          <w:p w14:paraId="0A28C955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Relationship with participants</w:t>
            </w:r>
          </w:p>
        </w:tc>
      </w:tr>
      <w:tr w:rsidR="00961928" w:rsidRPr="00961928" w14:paraId="4937149B" w14:textId="77777777" w:rsidTr="00961928">
        <w:tc>
          <w:tcPr>
            <w:tcW w:w="3799" w:type="dxa"/>
          </w:tcPr>
          <w:p w14:paraId="4512D05F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Relationship established</w:t>
            </w:r>
          </w:p>
        </w:tc>
        <w:tc>
          <w:tcPr>
            <w:tcW w:w="6549" w:type="dxa"/>
          </w:tcPr>
          <w:p w14:paraId="7DD0AAD8" w14:textId="609BFD15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The interviewees were health care professionals working within primary care in England</w:t>
            </w:r>
            <w:r w:rsidR="000A5189">
              <w:rPr>
                <w:iCs/>
              </w:rPr>
              <w:t>.</w:t>
            </w:r>
            <w:r w:rsidRPr="00961928">
              <w:rPr>
                <w:iCs/>
              </w:rPr>
              <w:t xml:space="preserve"> JO who collected the data and or analysed them (JO, SH) had no prior existing relationship with the interviewees.</w:t>
            </w:r>
          </w:p>
        </w:tc>
      </w:tr>
      <w:tr w:rsidR="00961928" w:rsidRPr="00961928" w14:paraId="1D19A219" w14:textId="77777777" w:rsidTr="00961928">
        <w:tc>
          <w:tcPr>
            <w:tcW w:w="3799" w:type="dxa"/>
          </w:tcPr>
          <w:p w14:paraId="611E6D20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Participant knowledge of the interviewer</w:t>
            </w:r>
          </w:p>
        </w:tc>
        <w:tc>
          <w:tcPr>
            <w:tcW w:w="6549" w:type="dxa"/>
          </w:tcPr>
          <w:p w14:paraId="674D5743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 xml:space="preserve">Interviewees were informed about the study, interviewer’s educational background and occupational status in advance. </w:t>
            </w:r>
            <w:r w:rsidRPr="00961928">
              <w:rPr>
                <w:iCs/>
              </w:rPr>
              <w:lastRenderedPageBreak/>
              <w:t>Participants had the chance to request further information regarding the provided information.</w:t>
            </w:r>
          </w:p>
        </w:tc>
      </w:tr>
      <w:tr w:rsidR="00961928" w:rsidRPr="00961928" w14:paraId="4EDCA610" w14:textId="77777777" w:rsidTr="00961928">
        <w:tc>
          <w:tcPr>
            <w:tcW w:w="3799" w:type="dxa"/>
            <w:tcBorders>
              <w:bottom w:val="single" w:sz="4" w:space="0" w:color="auto"/>
            </w:tcBorders>
          </w:tcPr>
          <w:p w14:paraId="7B6C5D1D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lastRenderedPageBreak/>
              <w:t>Interviewer Characteristics</w:t>
            </w:r>
          </w:p>
        </w:tc>
        <w:tc>
          <w:tcPr>
            <w:tcW w:w="6549" w:type="dxa"/>
            <w:tcBorders>
              <w:bottom w:val="single" w:sz="4" w:space="0" w:color="auto"/>
            </w:tcBorders>
          </w:tcPr>
          <w:p w14:paraId="073D1F0B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The interviewers have a research interest in physical activity and health especially in the area of embedding physical activity promotion within health care settings</w:t>
            </w:r>
          </w:p>
        </w:tc>
      </w:tr>
      <w:tr w:rsidR="00961928" w:rsidRPr="00961928" w14:paraId="5F0CAEE2" w14:textId="77777777" w:rsidTr="00961928"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0F4761" w:themeFill="accent1" w:themeFillShade="BF"/>
          </w:tcPr>
          <w:p w14:paraId="01DB8F14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Domain 2: Study design</w:t>
            </w:r>
          </w:p>
        </w:tc>
      </w:tr>
      <w:tr w:rsidR="00961928" w:rsidRPr="00961928" w14:paraId="397082B8" w14:textId="77777777" w:rsidTr="00961928">
        <w:tc>
          <w:tcPr>
            <w:tcW w:w="10348" w:type="dxa"/>
            <w:gridSpan w:val="2"/>
            <w:shd w:val="clear" w:color="auto" w:fill="83CAEB" w:themeFill="accent1" w:themeFillTint="66"/>
          </w:tcPr>
          <w:p w14:paraId="049DEBEC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Theoretical Framework</w:t>
            </w:r>
          </w:p>
        </w:tc>
      </w:tr>
      <w:tr w:rsidR="00961928" w:rsidRPr="00961928" w14:paraId="002CFEBE" w14:textId="77777777" w:rsidTr="00961928">
        <w:tc>
          <w:tcPr>
            <w:tcW w:w="3799" w:type="dxa"/>
            <w:tcBorders>
              <w:bottom w:val="single" w:sz="4" w:space="0" w:color="auto"/>
            </w:tcBorders>
            <w:shd w:val="clear" w:color="auto" w:fill="auto"/>
          </w:tcPr>
          <w:p w14:paraId="2C539959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Methodological orientation and theory</w:t>
            </w:r>
          </w:p>
        </w:tc>
        <w:tc>
          <w:tcPr>
            <w:tcW w:w="6549" w:type="dxa"/>
            <w:tcBorders>
              <w:bottom w:val="single" w:sz="4" w:space="0" w:color="auto"/>
            </w:tcBorders>
          </w:tcPr>
          <w:p w14:paraId="1E2EB045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Reported in the methods section “Analysis”: Transcripts of the semi-structured topic guide interviews were analysed using thematic analysis</w:t>
            </w:r>
          </w:p>
        </w:tc>
      </w:tr>
      <w:tr w:rsidR="00961928" w:rsidRPr="00961928" w14:paraId="723A0CE3" w14:textId="77777777" w:rsidTr="00961928">
        <w:tc>
          <w:tcPr>
            <w:tcW w:w="10348" w:type="dxa"/>
            <w:gridSpan w:val="2"/>
            <w:shd w:val="clear" w:color="auto" w:fill="83CAEB" w:themeFill="accent1" w:themeFillTint="66"/>
          </w:tcPr>
          <w:p w14:paraId="593570ED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Participant selection</w:t>
            </w:r>
          </w:p>
        </w:tc>
      </w:tr>
      <w:tr w:rsidR="00961928" w:rsidRPr="00961928" w14:paraId="2FA60975" w14:textId="77777777" w:rsidTr="00961928">
        <w:tc>
          <w:tcPr>
            <w:tcW w:w="3799" w:type="dxa"/>
          </w:tcPr>
          <w:p w14:paraId="380D520F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Sampling</w:t>
            </w:r>
          </w:p>
        </w:tc>
        <w:tc>
          <w:tcPr>
            <w:tcW w:w="6549" w:type="dxa"/>
          </w:tcPr>
          <w:p w14:paraId="7211CB02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Reported in the methods section.</w:t>
            </w:r>
          </w:p>
        </w:tc>
      </w:tr>
      <w:tr w:rsidR="00961928" w:rsidRPr="00961928" w14:paraId="6A9DE456" w14:textId="77777777" w:rsidTr="00961928">
        <w:tc>
          <w:tcPr>
            <w:tcW w:w="3799" w:type="dxa"/>
          </w:tcPr>
          <w:p w14:paraId="0FC59F8E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Method of approach</w:t>
            </w:r>
          </w:p>
        </w:tc>
        <w:tc>
          <w:tcPr>
            <w:tcW w:w="6549" w:type="dxa"/>
          </w:tcPr>
          <w:p w14:paraId="2B86BA18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Reported in the methods section.</w:t>
            </w:r>
          </w:p>
        </w:tc>
      </w:tr>
      <w:tr w:rsidR="00961928" w:rsidRPr="00961928" w14:paraId="4A815334" w14:textId="77777777" w:rsidTr="00961928">
        <w:tc>
          <w:tcPr>
            <w:tcW w:w="3799" w:type="dxa"/>
          </w:tcPr>
          <w:p w14:paraId="464DAB3B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Sample size</w:t>
            </w:r>
          </w:p>
        </w:tc>
        <w:tc>
          <w:tcPr>
            <w:tcW w:w="6549" w:type="dxa"/>
          </w:tcPr>
          <w:p w14:paraId="2CAED72B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Reported in the methods section.</w:t>
            </w:r>
          </w:p>
        </w:tc>
      </w:tr>
      <w:tr w:rsidR="00961928" w:rsidRPr="00961928" w14:paraId="0E65E7CC" w14:textId="77777777" w:rsidTr="00961928">
        <w:tc>
          <w:tcPr>
            <w:tcW w:w="3799" w:type="dxa"/>
            <w:tcBorders>
              <w:bottom w:val="single" w:sz="4" w:space="0" w:color="auto"/>
            </w:tcBorders>
          </w:tcPr>
          <w:p w14:paraId="5E61CFC6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Non-participation</w:t>
            </w:r>
          </w:p>
        </w:tc>
        <w:tc>
          <w:tcPr>
            <w:tcW w:w="6549" w:type="dxa"/>
            <w:tcBorders>
              <w:bottom w:val="single" w:sz="4" w:space="0" w:color="auto"/>
            </w:tcBorders>
          </w:tcPr>
          <w:p w14:paraId="696CCF9F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Reported in the methods section.</w:t>
            </w:r>
          </w:p>
        </w:tc>
      </w:tr>
      <w:tr w:rsidR="00961928" w:rsidRPr="00961928" w14:paraId="49F14D4B" w14:textId="77777777" w:rsidTr="00961928">
        <w:tc>
          <w:tcPr>
            <w:tcW w:w="10348" w:type="dxa"/>
            <w:gridSpan w:val="2"/>
            <w:shd w:val="clear" w:color="auto" w:fill="83CAEB" w:themeFill="accent1" w:themeFillTint="66"/>
          </w:tcPr>
          <w:p w14:paraId="767A3933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Setting</w:t>
            </w:r>
          </w:p>
        </w:tc>
      </w:tr>
      <w:tr w:rsidR="00961928" w:rsidRPr="00961928" w14:paraId="6D597650" w14:textId="77777777" w:rsidTr="00961928">
        <w:tc>
          <w:tcPr>
            <w:tcW w:w="3799" w:type="dxa"/>
          </w:tcPr>
          <w:p w14:paraId="492F0226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Setting of data collection</w:t>
            </w:r>
          </w:p>
        </w:tc>
        <w:tc>
          <w:tcPr>
            <w:tcW w:w="6549" w:type="dxa"/>
          </w:tcPr>
          <w:p w14:paraId="2B7245B8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Reported in the methods section “Data collection”:</w:t>
            </w:r>
          </w:p>
          <w:p w14:paraId="59E97C7C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Additional information: Interviews were conducted via Zoom and Microsoft Teams, .</w:t>
            </w:r>
          </w:p>
        </w:tc>
      </w:tr>
      <w:tr w:rsidR="00961928" w:rsidRPr="00961928" w14:paraId="04DABD8A" w14:textId="77777777" w:rsidTr="00961928">
        <w:tc>
          <w:tcPr>
            <w:tcW w:w="3799" w:type="dxa"/>
          </w:tcPr>
          <w:p w14:paraId="1C1CD007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Presence of non-participants</w:t>
            </w:r>
          </w:p>
        </w:tc>
        <w:tc>
          <w:tcPr>
            <w:tcW w:w="6549" w:type="dxa"/>
          </w:tcPr>
          <w:p w14:paraId="186564DA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No one else was present besides the participants and the interviewer.</w:t>
            </w:r>
          </w:p>
        </w:tc>
      </w:tr>
      <w:tr w:rsidR="00961928" w:rsidRPr="00961928" w14:paraId="7C06865B" w14:textId="77777777" w:rsidTr="00961928">
        <w:tc>
          <w:tcPr>
            <w:tcW w:w="3799" w:type="dxa"/>
            <w:tcBorders>
              <w:bottom w:val="single" w:sz="4" w:space="0" w:color="auto"/>
            </w:tcBorders>
          </w:tcPr>
          <w:p w14:paraId="56A60F67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Description of Sample</w:t>
            </w:r>
          </w:p>
        </w:tc>
        <w:tc>
          <w:tcPr>
            <w:tcW w:w="6549" w:type="dxa"/>
            <w:tcBorders>
              <w:bottom w:val="single" w:sz="4" w:space="0" w:color="auto"/>
            </w:tcBorders>
          </w:tcPr>
          <w:p w14:paraId="3BA9CC11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Reported in the methods section.</w:t>
            </w:r>
          </w:p>
        </w:tc>
      </w:tr>
      <w:tr w:rsidR="00961928" w:rsidRPr="00961928" w14:paraId="15DD93AD" w14:textId="77777777" w:rsidTr="00961928">
        <w:tc>
          <w:tcPr>
            <w:tcW w:w="10348" w:type="dxa"/>
            <w:gridSpan w:val="2"/>
            <w:shd w:val="clear" w:color="auto" w:fill="83CAEB" w:themeFill="accent1" w:themeFillTint="66"/>
          </w:tcPr>
          <w:p w14:paraId="215D5DA0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Data Collection</w:t>
            </w:r>
          </w:p>
        </w:tc>
      </w:tr>
      <w:tr w:rsidR="00961928" w:rsidRPr="00961928" w14:paraId="40C06B5B" w14:textId="77777777" w:rsidTr="00961928">
        <w:tc>
          <w:tcPr>
            <w:tcW w:w="3799" w:type="dxa"/>
          </w:tcPr>
          <w:p w14:paraId="70771170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Interview Guideline</w:t>
            </w:r>
          </w:p>
        </w:tc>
        <w:tc>
          <w:tcPr>
            <w:tcW w:w="6549" w:type="dxa"/>
          </w:tcPr>
          <w:p w14:paraId="22E4DB5E" w14:textId="1958D7CF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 xml:space="preserve">The development of the interview guide is briefly described in the methods section “Data collection” and </w:t>
            </w:r>
            <w:r w:rsidR="000A5189" w:rsidRPr="00961928">
              <w:rPr>
                <w:iCs/>
              </w:rPr>
              <w:t>in Table</w:t>
            </w:r>
            <w:r w:rsidRPr="00961928">
              <w:rPr>
                <w:iCs/>
              </w:rPr>
              <w:t xml:space="preserve"> 2</w:t>
            </w:r>
          </w:p>
        </w:tc>
      </w:tr>
      <w:tr w:rsidR="00961928" w:rsidRPr="00961928" w14:paraId="2392496B" w14:textId="77777777" w:rsidTr="00961928">
        <w:tc>
          <w:tcPr>
            <w:tcW w:w="3799" w:type="dxa"/>
          </w:tcPr>
          <w:p w14:paraId="30E36377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Repeat interviews</w:t>
            </w:r>
          </w:p>
        </w:tc>
        <w:tc>
          <w:tcPr>
            <w:tcW w:w="6549" w:type="dxa"/>
          </w:tcPr>
          <w:p w14:paraId="1E6BAB2B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No repeat interview was necessary.</w:t>
            </w:r>
          </w:p>
        </w:tc>
      </w:tr>
      <w:tr w:rsidR="00961928" w:rsidRPr="00961928" w14:paraId="0401567D" w14:textId="77777777" w:rsidTr="00961928">
        <w:tc>
          <w:tcPr>
            <w:tcW w:w="3799" w:type="dxa"/>
          </w:tcPr>
          <w:p w14:paraId="3E175B92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Audio/Visual recording</w:t>
            </w:r>
          </w:p>
        </w:tc>
        <w:tc>
          <w:tcPr>
            <w:tcW w:w="6549" w:type="dxa"/>
          </w:tcPr>
          <w:p w14:paraId="2120D7BE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Reported in the methods section “Data collection: Interviews were audio-recorded and transcribed verbatim, including pseudonymization.</w:t>
            </w:r>
          </w:p>
        </w:tc>
      </w:tr>
      <w:tr w:rsidR="00961928" w:rsidRPr="00961928" w14:paraId="6C2E49A7" w14:textId="77777777" w:rsidTr="00961928">
        <w:tc>
          <w:tcPr>
            <w:tcW w:w="3799" w:type="dxa"/>
          </w:tcPr>
          <w:p w14:paraId="425FB14F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Field notes</w:t>
            </w:r>
          </w:p>
        </w:tc>
        <w:tc>
          <w:tcPr>
            <w:tcW w:w="6549" w:type="dxa"/>
          </w:tcPr>
          <w:p w14:paraId="6C21EA81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No field notes were written.</w:t>
            </w:r>
          </w:p>
        </w:tc>
      </w:tr>
      <w:tr w:rsidR="00961928" w:rsidRPr="00961928" w14:paraId="67C40281" w14:textId="77777777" w:rsidTr="00961928">
        <w:tc>
          <w:tcPr>
            <w:tcW w:w="3799" w:type="dxa"/>
          </w:tcPr>
          <w:p w14:paraId="46CC6FFF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Duration</w:t>
            </w:r>
          </w:p>
        </w:tc>
        <w:tc>
          <w:tcPr>
            <w:tcW w:w="6549" w:type="dxa"/>
          </w:tcPr>
          <w:p w14:paraId="2BF16BDF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Not reported: Interview duration was an average of 45 minutes</w:t>
            </w:r>
          </w:p>
        </w:tc>
      </w:tr>
      <w:tr w:rsidR="00961928" w:rsidRPr="00961928" w14:paraId="220AD4A1" w14:textId="77777777" w:rsidTr="00961928">
        <w:tc>
          <w:tcPr>
            <w:tcW w:w="3799" w:type="dxa"/>
          </w:tcPr>
          <w:p w14:paraId="65A10D6A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Data saturation</w:t>
            </w:r>
          </w:p>
        </w:tc>
        <w:tc>
          <w:tcPr>
            <w:tcW w:w="6549" w:type="dxa"/>
          </w:tcPr>
          <w:p w14:paraId="6E8C93B1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Reported in the methods section “Data collection”.</w:t>
            </w:r>
          </w:p>
        </w:tc>
      </w:tr>
      <w:tr w:rsidR="00961928" w:rsidRPr="00961928" w14:paraId="7E920DB0" w14:textId="77777777" w:rsidTr="00961928">
        <w:tc>
          <w:tcPr>
            <w:tcW w:w="3799" w:type="dxa"/>
            <w:tcBorders>
              <w:bottom w:val="single" w:sz="4" w:space="0" w:color="auto"/>
            </w:tcBorders>
          </w:tcPr>
          <w:p w14:paraId="148BEA8D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lastRenderedPageBreak/>
              <w:t>Transcripts returned</w:t>
            </w:r>
          </w:p>
        </w:tc>
        <w:tc>
          <w:tcPr>
            <w:tcW w:w="6549" w:type="dxa"/>
            <w:tcBorders>
              <w:bottom w:val="single" w:sz="4" w:space="0" w:color="auto"/>
            </w:tcBorders>
          </w:tcPr>
          <w:p w14:paraId="56B1D054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 xml:space="preserve">Transcripts could not be returned to participants due to pseudonymization. However, interviewers continuously mirrored and confirmed descriptions during the interview to guarantee correct understanding. </w:t>
            </w:r>
          </w:p>
        </w:tc>
      </w:tr>
      <w:tr w:rsidR="00961928" w:rsidRPr="00961928" w14:paraId="3894A3DD" w14:textId="77777777" w:rsidTr="00961928"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0F4761" w:themeFill="accent1" w:themeFillShade="BF"/>
          </w:tcPr>
          <w:p w14:paraId="44241DB6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Domain 3: Analysis and findings</w:t>
            </w:r>
          </w:p>
        </w:tc>
      </w:tr>
      <w:tr w:rsidR="00961928" w:rsidRPr="00961928" w14:paraId="1060F5AD" w14:textId="77777777" w:rsidTr="00961928">
        <w:tc>
          <w:tcPr>
            <w:tcW w:w="10348" w:type="dxa"/>
            <w:gridSpan w:val="2"/>
            <w:shd w:val="clear" w:color="auto" w:fill="83CAEB" w:themeFill="accent1" w:themeFillTint="66"/>
          </w:tcPr>
          <w:p w14:paraId="395F1978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Data analysis</w:t>
            </w:r>
          </w:p>
        </w:tc>
      </w:tr>
      <w:tr w:rsidR="00961928" w:rsidRPr="00961928" w14:paraId="13E4FF7F" w14:textId="77777777" w:rsidTr="00961928">
        <w:tc>
          <w:tcPr>
            <w:tcW w:w="3799" w:type="dxa"/>
          </w:tcPr>
          <w:p w14:paraId="72BDA298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Number of data coders</w:t>
            </w:r>
          </w:p>
        </w:tc>
        <w:tc>
          <w:tcPr>
            <w:tcW w:w="6549" w:type="dxa"/>
          </w:tcPr>
          <w:p w14:paraId="70139C9F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Reported in the methods section “Analysis”:</w:t>
            </w:r>
          </w:p>
          <w:p w14:paraId="3B6C8642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Indexing all interviews and analysing: JO, SH</w:t>
            </w:r>
          </w:p>
          <w:p w14:paraId="4D676D9D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Summarizing and charting of the indexed data: JO</w:t>
            </w:r>
          </w:p>
        </w:tc>
      </w:tr>
      <w:tr w:rsidR="00961928" w:rsidRPr="00961928" w14:paraId="07D89C30" w14:textId="77777777" w:rsidTr="00961928">
        <w:tc>
          <w:tcPr>
            <w:tcW w:w="3799" w:type="dxa"/>
          </w:tcPr>
          <w:p w14:paraId="532A6E59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Description of the coding tree</w:t>
            </w:r>
          </w:p>
        </w:tc>
        <w:tc>
          <w:tcPr>
            <w:tcW w:w="6549" w:type="dxa"/>
          </w:tcPr>
          <w:p w14:paraId="1DD8238D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Reported in the methods section “Analysis”.</w:t>
            </w:r>
          </w:p>
        </w:tc>
      </w:tr>
      <w:tr w:rsidR="00961928" w:rsidRPr="00961928" w14:paraId="08A9BAB5" w14:textId="77777777" w:rsidTr="00961928">
        <w:tc>
          <w:tcPr>
            <w:tcW w:w="3799" w:type="dxa"/>
          </w:tcPr>
          <w:p w14:paraId="1BEC8740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Derivation of themes</w:t>
            </w:r>
          </w:p>
        </w:tc>
        <w:tc>
          <w:tcPr>
            <w:tcW w:w="6549" w:type="dxa"/>
          </w:tcPr>
          <w:p w14:paraId="5C0D635C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Reported in the methods section “Analysis”.</w:t>
            </w:r>
          </w:p>
        </w:tc>
      </w:tr>
      <w:tr w:rsidR="00961928" w:rsidRPr="00961928" w14:paraId="5F4E3EDB" w14:textId="77777777" w:rsidTr="00961928">
        <w:tc>
          <w:tcPr>
            <w:tcW w:w="3799" w:type="dxa"/>
          </w:tcPr>
          <w:p w14:paraId="726C7603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Software</w:t>
            </w:r>
          </w:p>
        </w:tc>
        <w:tc>
          <w:tcPr>
            <w:tcW w:w="6549" w:type="dxa"/>
          </w:tcPr>
          <w:p w14:paraId="45F83D23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Reported in the methods section “Analysis”.</w:t>
            </w:r>
          </w:p>
        </w:tc>
      </w:tr>
      <w:tr w:rsidR="00961928" w:rsidRPr="00961928" w14:paraId="0F3A2C14" w14:textId="77777777" w:rsidTr="00961928">
        <w:tc>
          <w:tcPr>
            <w:tcW w:w="3799" w:type="dxa"/>
            <w:tcBorders>
              <w:bottom w:val="single" w:sz="4" w:space="0" w:color="auto"/>
            </w:tcBorders>
          </w:tcPr>
          <w:p w14:paraId="57CE3AEA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Participant checking</w:t>
            </w:r>
          </w:p>
        </w:tc>
        <w:tc>
          <w:tcPr>
            <w:tcW w:w="6549" w:type="dxa"/>
            <w:tcBorders>
              <w:bottom w:val="single" w:sz="4" w:space="0" w:color="auto"/>
            </w:tcBorders>
          </w:tcPr>
          <w:p w14:paraId="1DB6F74E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Not reported.</w:t>
            </w:r>
          </w:p>
        </w:tc>
      </w:tr>
      <w:tr w:rsidR="00961928" w:rsidRPr="00961928" w14:paraId="7F1584D5" w14:textId="77777777" w:rsidTr="00961928">
        <w:tc>
          <w:tcPr>
            <w:tcW w:w="10348" w:type="dxa"/>
            <w:gridSpan w:val="2"/>
            <w:shd w:val="clear" w:color="auto" w:fill="83CAEB" w:themeFill="accent1" w:themeFillTint="66"/>
          </w:tcPr>
          <w:p w14:paraId="45B9AC58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Reporting</w:t>
            </w:r>
          </w:p>
        </w:tc>
      </w:tr>
      <w:tr w:rsidR="00961928" w:rsidRPr="00961928" w14:paraId="74E25DF3" w14:textId="77777777" w:rsidTr="00961928">
        <w:tc>
          <w:tcPr>
            <w:tcW w:w="3799" w:type="dxa"/>
          </w:tcPr>
          <w:p w14:paraId="7795C98D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Quotations presented</w:t>
            </w:r>
          </w:p>
        </w:tc>
        <w:tc>
          <w:tcPr>
            <w:tcW w:w="6549" w:type="dxa"/>
          </w:tcPr>
          <w:p w14:paraId="48620EE6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Quotations from different participants are presented to illustrate the findings, and a number identifies each quotation.</w:t>
            </w:r>
          </w:p>
        </w:tc>
      </w:tr>
      <w:tr w:rsidR="00961928" w:rsidRPr="00961928" w14:paraId="540FAF06" w14:textId="77777777" w:rsidTr="00961928">
        <w:tc>
          <w:tcPr>
            <w:tcW w:w="3799" w:type="dxa"/>
          </w:tcPr>
          <w:p w14:paraId="2B3B2FA9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Data and findings consistent</w:t>
            </w:r>
          </w:p>
        </w:tc>
        <w:tc>
          <w:tcPr>
            <w:tcW w:w="6549" w:type="dxa"/>
          </w:tcPr>
          <w:p w14:paraId="18A02DF4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Yes</w:t>
            </w:r>
          </w:p>
        </w:tc>
      </w:tr>
      <w:tr w:rsidR="00961928" w:rsidRPr="00961928" w14:paraId="29339DA6" w14:textId="77777777" w:rsidTr="00961928">
        <w:tc>
          <w:tcPr>
            <w:tcW w:w="3799" w:type="dxa"/>
          </w:tcPr>
          <w:p w14:paraId="78BA5AA9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Clarity of major themes</w:t>
            </w:r>
          </w:p>
        </w:tc>
        <w:tc>
          <w:tcPr>
            <w:tcW w:w="6549" w:type="dxa"/>
          </w:tcPr>
          <w:p w14:paraId="2034EB4D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  <w:lang w:val="de-DE"/>
              </w:rPr>
              <w:t xml:space="preserve">The perception that physical activity promotion within primary care is limited, and that the culture of primary care is largely oriented toward pharmacological treatment, emerged as important themes. </w:t>
            </w:r>
          </w:p>
        </w:tc>
      </w:tr>
      <w:tr w:rsidR="00961928" w:rsidRPr="00961928" w14:paraId="01F72518" w14:textId="77777777" w:rsidTr="00961928">
        <w:tc>
          <w:tcPr>
            <w:tcW w:w="3799" w:type="dxa"/>
          </w:tcPr>
          <w:p w14:paraId="3C33B761" w14:textId="77777777" w:rsidR="00961928" w:rsidRPr="00961928" w:rsidRDefault="00961928" w:rsidP="00961928">
            <w:pPr>
              <w:numPr>
                <w:ilvl w:val="0"/>
                <w:numId w:val="2"/>
              </w:numPr>
              <w:spacing w:after="160"/>
              <w:rPr>
                <w:iCs/>
              </w:rPr>
            </w:pPr>
            <w:r w:rsidRPr="00961928">
              <w:rPr>
                <w:iCs/>
              </w:rPr>
              <w:t>Clarity of minor themes</w:t>
            </w:r>
          </w:p>
        </w:tc>
        <w:tc>
          <w:tcPr>
            <w:tcW w:w="6549" w:type="dxa"/>
          </w:tcPr>
          <w:p w14:paraId="270EE86B" w14:textId="77777777" w:rsidR="00961928" w:rsidRPr="00961928" w:rsidRDefault="00961928" w:rsidP="00961928">
            <w:pPr>
              <w:spacing w:after="160"/>
              <w:rPr>
                <w:iCs/>
              </w:rPr>
            </w:pPr>
            <w:r w:rsidRPr="00961928">
              <w:rPr>
                <w:iCs/>
              </w:rPr>
              <w:t>As far as the word count permits, we discussed subthemes.</w:t>
            </w:r>
          </w:p>
        </w:tc>
      </w:tr>
    </w:tbl>
    <w:p w14:paraId="6CC32935" w14:textId="77777777" w:rsidR="00961928" w:rsidRDefault="00961928" w:rsidP="00EB5547">
      <w:pPr>
        <w:rPr>
          <w:b/>
          <w:bCs/>
          <w:iCs/>
        </w:rPr>
      </w:pPr>
    </w:p>
    <w:p w14:paraId="1A6B4D05" w14:textId="77777777" w:rsidR="00961928" w:rsidRDefault="00961928" w:rsidP="00EB5547">
      <w:pPr>
        <w:rPr>
          <w:b/>
          <w:bCs/>
          <w:iCs/>
        </w:rPr>
      </w:pPr>
    </w:p>
    <w:p w14:paraId="57226B0C" w14:textId="77777777" w:rsidR="00961928" w:rsidRDefault="00961928" w:rsidP="00EB5547">
      <w:pPr>
        <w:rPr>
          <w:b/>
          <w:bCs/>
          <w:iCs/>
        </w:rPr>
      </w:pPr>
    </w:p>
    <w:p w14:paraId="449CA0DD" w14:textId="77777777" w:rsidR="00961928" w:rsidRDefault="00961928" w:rsidP="00EB5547">
      <w:pPr>
        <w:rPr>
          <w:b/>
          <w:bCs/>
          <w:iCs/>
        </w:rPr>
      </w:pPr>
    </w:p>
    <w:p w14:paraId="2D190789" w14:textId="77777777" w:rsidR="00961928" w:rsidRDefault="00961928" w:rsidP="00EB5547">
      <w:pPr>
        <w:rPr>
          <w:b/>
          <w:bCs/>
          <w:iCs/>
        </w:rPr>
      </w:pPr>
    </w:p>
    <w:p w14:paraId="018287A4" w14:textId="77777777" w:rsidR="00961928" w:rsidRDefault="00961928" w:rsidP="00EB5547">
      <w:pPr>
        <w:rPr>
          <w:b/>
          <w:bCs/>
          <w:iCs/>
        </w:rPr>
      </w:pPr>
    </w:p>
    <w:p w14:paraId="361DE76B" w14:textId="77777777" w:rsidR="00035AAA" w:rsidRDefault="00035AAA" w:rsidP="00EB5547">
      <w:pPr>
        <w:rPr>
          <w:b/>
          <w:bCs/>
          <w:iCs/>
        </w:rPr>
      </w:pPr>
    </w:p>
    <w:p w14:paraId="24521DAB" w14:textId="77777777" w:rsidR="00035AAA" w:rsidRDefault="00035AAA" w:rsidP="00EB5547">
      <w:pPr>
        <w:rPr>
          <w:b/>
          <w:bCs/>
          <w:iCs/>
        </w:rPr>
      </w:pPr>
    </w:p>
    <w:p w14:paraId="43DAF0D3" w14:textId="77777777" w:rsidR="00961928" w:rsidRDefault="00961928" w:rsidP="00EB5547">
      <w:pPr>
        <w:rPr>
          <w:b/>
          <w:bCs/>
          <w:iCs/>
        </w:rPr>
      </w:pPr>
    </w:p>
    <w:p w14:paraId="5D04ED09" w14:textId="079A41CC" w:rsidR="00EB5547" w:rsidRPr="00EB5547" w:rsidRDefault="00DF16B9" w:rsidP="00EB5547">
      <w:pPr>
        <w:rPr>
          <w:iCs/>
        </w:rPr>
      </w:pPr>
      <w:r>
        <w:rPr>
          <w:b/>
          <w:bCs/>
          <w:iCs/>
        </w:rPr>
        <w:t xml:space="preserve">Additional file </w:t>
      </w:r>
      <w:r w:rsidR="00A50391">
        <w:rPr>
          <w:b/>
          <w:bCs/>
          <w:iCs/>
        </w:rPr>
        <w:t>2</w:t>
      </w:r>
      <w:r w:rsidR="00EB5547" w:rsidRPr="00EB5547">
        <w:rPr>
          <w:b/>
          <w:bCs/>
          <w:iCs/>
        </w:rPr>
        <w:t>: Braun and Clarke six stages of thematic analysis</w:t>
      </w:r>
    </w:p>
    <w:tbl>
      <w:tblPr>
        <w:tblStyle w:val="TableGrid"/>
        <w:tblW w:w="10701" w:type="dxa"/>
        <w:tblInd w:w="-714" w:type="dxa"/>
        <w:tblLook w:val="04A0" w:firstRow="1" w:lastRow="0" w:firstColumn="1" w:lastColumn="0" w:noHBand="0" w:noVBand="1"/>
      </w:tblPr>
      <w:tblGrid>
        <w:gridCol w:w="3451"/>
        <w:gridCol w:w="3693"/>
        <w:gridCol w:w="3557"/>
      </w:tblGrid>
      <w:tr w:rsidR="00EB5547" w:rsidRPr="00EB5547" w14:paraId="3C1AEBAB" w14:textId="77777777" w:rsidTr="00B56406">
        <w:trPr>
          <w:trHeight w:val="844"/>
        </w:trPr>
        <w:tc>
          <w:tcPr>
            <w:tcW w:w="3451" w:type="dxa"/>
          </w:tcPr>
          <w:p w14:paraId="21066510" w14:textId="77777777" w:rsidR="00EB5547" w:rsidRPr="00EB5547" w:rsidRDefault="00EB5547" w:rsidP="00EB5547">
            <w:pPr>
              <w:spacing w:after="160" w:line="278" w:lineRule="auto"/>
              <w:rPr>
                <w:b/>
                <w:bCs/>
                <w:iCs/>
              </w:rPr>
            </w:pPr>
            <w:r w:rsidRPr="00EB5547">
              <w:rPr>
                <w:b/>
                <w:bCs/>
                <w:iCs/>
              </w:rPr>
              <w:t xml:space="preserve">Six-phase approach (Braun and Clarke) </w:t>
            </w:r>
            <w:sdt>
              <w:sdtPr>
                <w:rPr>
                  <w:b/>
                  <w:bCs/>
                  <w:iCs/>
                </w:rPr>
                <w:alias w:val="Citation"/>
                <w:tag w:val="{&quot;referencesIds&quot;:[&quot;doc:64b72e1bdb852d03cf58bc82&quot;],&quot;referencesOptions&quot;:{&quot;doc:64b72e1bdb852d03cf58bc82&quot;:{&quot;author&quot;:true,&quot;year&quot;:true,&quot;formatAuthorYear&quot;:false,&quot;prefix&quot;:&quot;&quot;,&quot;suffix&quot;:&quot;&quot;,&quot;additionalField&quot;:&quot;Page&quot;}},&quot;hasBrokenReferences&quot;:false,&quot;hasManualEdits&quot;:false,&quot;isEmpty&quot;:false,&quot;citationType&quot;:&quot;inline&quot;,&quot;id&quot;:-170724018,&quot;citationText&quot;:&quot;&lt;span style=\&quot;font-family:Aptos;font-size:16px;color:#000000\&quot;&gt;[53]&lt;/span&gt;&quot;}"/>
                <w:id w:val="-170724018"/>
                <w:placeholder>
                  <w:docPart w:val="ECF4EFA8C3AD47E89612B4D248881D89"/>
                </w:placeholder>
              </w:sdtPr>
              <w:sdtContent>
                <w:r w:rsidRPr="00EB5547">
                  <w:rPr>
                    <w:b/>
                    <w:bCs/>
                  </w:rPr>
                  <w:t>[53]</w:t>
                </w:r>
              </w:sdtContent>
            </w:sdt>
          </w:p>
        </w:tc>
        <w:tc>
          <w:tcPr>
            <w:tcW w:w="3693" w:type="dxa"/>
          </w:tcPr>
          <w:p w14:paraId="0D5FD4C8" w14:textId="77777777" w:rsidR="00EB5547" w:rsidRPr="00EB5547" w:rsidRDefault="00EB5547" w:rsidP="00EB5547">
            <w:pPr>
              <w:spacing w:after="160" w:line="278" w:lineRule="auto"/>
              <w:rPr>
                <w:b/>
                <w:bCs/>
                <w:iCs/>
              </w:rPr>
            </w:pPr>
            <w:r w:rsidRPr="00EB5547">
              <w:rPr>
                <w:b/>
                <w:bCs/>
                <w:iCs/>
              </w:rPr>
              <w:t>Actions taken by JO</w:t>
            </w:r>
          </w:p>
        </w:tc>
        <w:tc>
          <w:tcPr>
            <w:tcW w:w="3557" w:type="dxa"/>
          </w:tcPr>
          <w:p w14:paraId="3072B873" w14:textId="77777777" w:rsidR="00EB5547" w:rsidRPr="00EB5547" w:rsidRDefault="00EB5547" w:rsidP="00EB5547">
            <w:pPr>
              <w:spacing w:after="160" w:line="278" w:lineRule="auto"/>
              <w:rPr>
                <w:b/>
                <w:bCs/>
                <w:iCs/>
              </w:rPr>
            </w:pPr>
            <w:r w:rsidRPr="00EB5547">
              <w:rPr>
                <w:b/>
                <w:bCs/>
                <w:iCs/>
              </w:rPr>
              <w:t>Actions taken by supporting research team (SH and RC)</w:t>
            </w:r>
          </w:p>
        </w:tc>
      </w:tr>
      <w:tr w:rsidR="00EB5547" w:rsidRPr="00EB5547" w14:paraId="2E57DEF8" w14:textId="77777777" w:rsidTr="00B56406">
        <w:trPr>
          <w:trHeight w:val="2113"/>
        </w:trPr>
        <w:tc>
          <w:tcPr>
            <w:tcW w:w="3451" w:type="dxa"/>
          </w:tcPr>
          <w:p w14:paraId="6FCFDB6E" w14:textId="77777777" w:rsidR="00EB5547" w:rsidRPr="00EB5547" w:rsidRDefault="00EB5547" w:rsidP="00EB5547">
            <w:pPr>
              <w:spacing w:after="160" w:line="278" w:lineRule="auto"/>
              <w:rPr>
                <w:b/>
                <w:bCs/>
                <w:iCs/>
              </w:rPr>
            </w:pPr>
            <w:r w:rsidRPr="00EB5547">
              <w:rPr>
                <w:b/>
                <w:bCs/>
                <w:iCs/>
              </w:rPr>
              <w:t>Phase 1: Familiarization with transcripts</w:t>
            </w:r>
          </w:p>
        </w:tc>
        <w:tc>
          <w:tcPr>
            <w:tcW w:w="3693" w:type="dxa"/>
          </w:tcPr>
          <w:p w14:paraId="142202C6" w14:textId="77777777" w:rsidR="00EB5547" w:rsidRPr="00EB5547" w:rsidRDefault="00EB5547" w:rsidP="00EB5547">
            <w:pPr>
              <w:spacing w:after="160" w:line="278" w:lineRule="auto"/>
              <w:rPr>
                <w:b/>
                <w:bCs/>
                <w:iCs/>
              </w:rPr>
            </w:pPr>
            <w:r w:rsidRPr="00EB5547">
              <w:rPr>
                <w:iCs/>
              </w:rPr>
              <w:t>Conducted interviews and generated transcripts</w:t>
            </w:r>
            <w:r w:rsidRPr="00EB5547">
              <w:rPr>
                <w:iCs/>
              </w:rPr>
              <w:br/>
            </w:r>
            <w:r w:rsidRPr="00EB5547">
              <w:rPr>
                <w:iCs/>
              </w:rPr>
              <w:br/>
              <w:t>•</w:t>
            </w:r>
            <w:r w:rsidRPr="00EB5547">
              <w:rPr>
                <w:iCs/>
              </w:rPr>
              <w:t> </w:t>
            </w:r>
            <w:r w:rsidRPr="00EB5547">
              <w:rPr>
                <w:iCs/>
              </w:rPr>
              <w:t xml:space="preserve"> Read the transcripts several times, taking brief notes on key ideas and highlighting sections containing rich data.</w:t>
            </w:r>
          </w:p>
        </w:tc>
        <w:tc>
          <w:tcPr>
            <w:tcW w:w="3557" w:type="dxa"/>
          </w:tcPr>
          <w:p w14:paraId="77D12A7C" w14:textId="77777777" w:rsidR="00EB5547" w:rsidRPr="00EB5547" w:rsidRDefault="00EB5547" w:rsidP="00EB5547">
            <w:pPr>
              <w:spacing w:after="160" w:line="278" w:lineRule="auto"/>
              <w:rPr>
                <w:iCs/>
              </w:rPr>
            </w:pPr>
            <w:r w:rsidRPr="00EB5547">
              <w:rPr>
                <w:iCs/>
              </w:rPr>
              <w:t>Read through transcripts multiple times, making short notations of ideas and highlighting areas of rich data</w:t>
            </w:r>
          </w:p>
        </w:tc>
      </w:tr>
      <w:tr w:rsidR="00EB5547" w:rsidRPr="00EB5547" w14:paraId="06FAD11B" w14:textId="77777777" w:rsidTr="00B56406">
        <w:trPr>
          <w:trHeight w:val="5362"/>
        </w:trPr>
        <w:tc>
          <w:tcPr>
            <w:tcW w:w="3451" w:type="dxa"/>
          </w:tcPr>
          <w:p w14:paraId="7C1196BF" w14:textId="77777777" w:rsidR="00EB5547" w:rsidRPr="00EB5547" w:rsidRDefault="00EB5547" w:rsidP="00EB5547">
            <w:pPr>
              <w:spacing w:after="160" w:line="278" w:lineRule="auto"/>
              <w:rPr>
                <w:b/>
                <w:bCs/>
                <w:iCs/>
              </w:rPr>
            </w:pPr>
            <w:r w:rsidRPr="00EB5547">
              <w:rPr>
                <w:b/>
                <w:bCs/>
                <w:iCs/>
              </w:rPr>
              <w:t>Phase 2: Coding</w:t>
            </w:r>
          </w:p>
        </w:tc>
        <w:tc>
          <w:tcPr>
            <w:tcW w:w="3693" w:type="dxa"/>
          </w:tcPr>
          <w:p w14:paraId="49D1289A" w14:textId="77777777" w:rsidR="00EB5547" w:rsidRPr="00EB5547" w:rsidRDefault="00EB5547" w:rsidP="00EB5547">
            <w:pPr>
              <w:spacing w:after="160" w:line="278" w:lineRule="auto"/>
              <w:rPr>
                <w:iCs/>
              </w:rPr>
            </w:pPr>
            <w:r w:rsidRPr="00EB5547">
              <w:rPr>
                <w:iCs/>
              </w:rPr>
              <w:t>Systematically review the transcripts, assigning codes to relevant sections of text that pertain to the research objectives.</w:t>
            </w:r>
            <w:r w:rsidRPr="00EB5547">
              <w:rPr>
                <w:iCs/>
              </w:rPr>
              <w:br/>
            </w:r>
            <w:r w:rsidRPr="00EB5547">
              <w:rPr>
                <w:iCs/>
              </w:rPr>
              <w:br/>
              <w:t>•</w:t>
            </w:r>
            <w:r w:rsidRPr="00EB5547">
              <w:rPr>
                <w:iCs/>
              </w:rPr>
              <w:t> </w:t>
            </w:r>
            <w:r w:rsidRPr="00EB5547">
              <w:rPr>
                <w:iCs/>
              </w:rPr>
              <w:t xml:space="preserve"> Held the first research meeting after coding three transcripts. The goals were to address early challenges faced by coding members and to discuss notable segments of the transcripts.</w:t>
            </w:r>
            <w:r w:rsidRPr="00EB5547">
              <w:rPr>
                <w:iCs/>
              </w:rPr>
              <w:br/>
            </w:r>
            <w:r w:rsidRPr="00EB5547">
              <w:rPr>
                <w:iCs/>
              </w:rPr>
              <w:br/>
              <w:t>•</w:t>
            </w:r>
            <w:r w:rsidRPr="00EB5547">
              <w:rPr>
                <w:iCs/>
              </w:rPr>
              <w:t> </w:t>
            </w:r>
            <w:r w:rsidRPr="00EB5547">
              <w:rPr>
                <w:iCs/>
              </w:rPr>
              <w:t>Hosted second and third research meetings after coding all transcripts. Same goals as the aforementioned</w:t>
            </w:r>
            <w:r w:rsidRPr="00EB5547">
              <w:rPr>
                <w:iCs/>
              </w:rPr>
              <w:br/>
            </w:r>
            <w:r w:rsidRPr="00EB5547">
              <w:rPr>
                <w:iCs/>
              </w:rPr>
              <w:br/>
              <w:t>•</w:t>
            </w:r>
            <w:r w:rsidRPr="00EB5547">
              <w:rPr>
                <w:iCs/>
              </w:rPr>
              <w:t> </w:t>
            </w:r>
            <w:r w:rsidRPr="00EB5547">
              <w:rPr>
                <w:iCs/>
              </w:rPr>
              <w:t>Recoded all transcripts</w:t>
            </w:r>
          </w:p>
        </w:tc>
        <w:tc>
          <w:tcPr>
            <w:tcW w:w="3557" w:type="dxa"/>
          </w:tcPr>
          <w:p w14:paraId="780F88AA" w14:textId="77777777" w:rsidR="00EB5547" w:rsidRPr="00EB5547" w:rsidRDefault="00EB5547" w:rsidP="00EB5547">
            <w:pPr>
              <w:spacing w:after="160" w:line="278" w:lineRule="auto"/>
              <w:rPr>
                <w:iCs/>
              </w:rPr>
            </w:pPr>
            <w:r w:rsidRPr="00EB5547">
              <w:rPr>
                <w:iCs/>
              </w:rPr>
              <w:t>Systematically read through transcripts, attaching codes to important sections of text which related to the research questions</w:t>
            </w:r>
            <w:r w:rsidRPr="00EB5547">
              <w:rPr>
                <w:iCs/>
              </w:rPr>
              <w:br/>
            </w:r>
            <w:r w:rsidRPr="00EB5547">
              <w:rPr>
                <w:iCs/>
              </w:rPr>
              <w:br/>
              <w:t>•</w:t>
            </w:r>
            <w:r w:rsidRPr="00EB5547">
              <w:rPr>
                <w:iCs/>
              </w:rPr>
              <w:t> </w:t>
            </w:r>
            <w:r w:rsidRPr="00EB5547">
              <w:rPr>
                <w:iCs/>
              </w:rPr>
              <w:t>Attended coding meetings with SH and provided insight and perspective to specific sections of text</w:t>
            </w:r>
            <w:r w:rsidRPr="00EB5547">
              <w:rPr>
                <w:iCs/>
              </w:rPr>
              <w:br/>
            </w:r>
            <w:r w:rsidRPr="00EB5547">
              <w:rPr>
                <w:iCs/>
              </w:rPr>
              <w:br/>
              <w:t>•</w:t>
            </w:r>
            <w:r w:rsidRPr="00EB5547">
              <w:rPr>
                <w:iCs/>
              </w:rPr>
              <w:t> </w:t>
            </w:r>
            <w:r w:rsidRPr="00EB5547">
              <w:rPr>
                <w:iCs/>
              </w:rPr>
              <w:t>Provided reflexive insights on their interpretations of the transcripts.</w:t>
            </w:r>
          </w:p>
        </w:tc>
      </w:tr>
      <w:tr w:rsidR="00EB5547" w:rsidRPr="00EB5547" w14:paraId="410C18EB" w14:textId="77777777" w:rsidTr="00B56406">
        <w:trPr>
          <w:trHeight w:val="2405"/>
        </w:trPr>
        <w:tc>
          <w:tcPr>
            <w:tcW w:w="3451" w:type="dxa"/>
          </w:tcPr>
          <w:p w14:paraId="5F34A949" w14:textId="77777777" w:rsidR="00EB5547" w:rsidRPr="00EB5547" w:rsidRDefault="00EB5547" w:rsidP="00EB5547">
            <w:pPr>
              <w:spacing w:after="160" w:line="278" w:lineRule="auto"/>
              <w:rPr>
                <w:b/>
                <w:bCs/>
                <w:iCs/>
              </w:rPr>
            </w:pPr>
            <w:r w:rsidRPr="00EB5547">
              <w:rPr>
                <w:b/>
                <w:bCs/>
                <w:iCs/>
              </w:rPr>
              <w:t>Phase 3: Generating initial theme</w:t>
            </w:r>
          </w:p>
        </w:tc>
        <w:tc>
          <w:tcPr>
            <w:tcW w:w="3693" w:type="dxa"/>
          </w:tcPr>
          <w:p w14:paraId="024F435E" w14:textId="77777777" w:rsidR="00EB5547" w:rsidRPr="00EB5547" w:rsidRDefault="00EB5547" w:rsidP="00EB5547">
            <w:pPr>
              <w:numPr>
                <w:ilvl w:val="0"/>
                <w:numId w:val="1"/>
              </w:numPr>
              <w:spacing w:after="160" w:line="278" w:lineRule="auto"/>
              <w:rPr>
                <w:b/>
                <w:bCs/>
                <w:iCs/>
              </w:rPr>
            </w:pPr>
            <w:r w:rsidRPr="00EB5547">
              <w:rPr>
                <w:iCs/>
              </w:rPr>
              <w:t xml:space="preserve">Began to group codes into meaningful groups, which were clustered around an idea </w:t>
            </w:r>
            <w:r w:rsidRPr="00EB5547">
              <w:rPr>
                <w:iCs/>
              </w:rPr>
              <w:br/>
            </w:r>
            <w:r w:rsidRPr="00EB5547">
              <w:rPr>
                <w:iCs/>
              </w:rPr>
              <w:br/>
              <w:t>•</w:t>
            </w:r>
            <w:r w:rsidRPr="00EB5547">
              <w:rPr>
                <w:iCs/>
              </w:rPr>
              <w:t> </w:t>
            </w:r>
            <w:r w:rsidRPr="00EB5547">
              <w:rPr>
                <w:iCs/>
              </w:rPr>
              <w:t>Inductively defined names for themes that were novel to this study</w:t>
            </w:r>
          </w:p>
        </w:tc>
        <w:tc>
          <w:tcPr>
            <w:tcW w:w="3557" w:type="dxa"/>
          </w:tcPr>
          <w:p w14:paraId="35D82B91" w14:textId="77777777" w:rsidR="00EB5547" w:rsidRPr="00EB5547" w:rsidRDefault="00EB5547" w:rsidP="00EB5547">
            <w:pPr>
              <w:spacing w:after="160" w:line="278" w:lineRule="auto"/>
              <w:rPr>
                <w:iCs/>
              </w:rPr>
            </w:pPr>
            <w:r w:rsidRPr="00EB5547">
              <w:rPr>
                <w:iCs/>
              </w:rPr>
              <w:t>Provided critical feedback on the creation of themes</w:t>
            </w:r>
          </w:p>
        </w:tc>
      </w:tr>
      <w:tr w:rsidR="00EB5547" w:rsidRPr="00EB5547" w14:paraId="79FDFFB7" w14:textId="77777777" w:rsidTr="00B56406">
        <w:trPr>
          <w:trHeight w:val="557"/>
        </w:trPr>
        <w:tc>
          <w:tcPr>
            <w:tcW w:w="3451" w:type="dxa"/>
          </w:tcPr>
          <w:p w14:paraId="0824C58B" w14:textId="77777777" w:rsidR="00EB5547" w:rsidRPr="00EB5547" w:rsidRDefault="00EB5547" w:rsidP="00EB5547">
            <w:pPr>
              <w:spacing w:after="160" w:line="278" w:lineRule="auto"/>
              <w:rPr>
                <w:b/>
                <w:bCs/>
                <w:iCs/>
              </w:rPr>
            </w:pPr>
            <w:r w:rsidRPr="00EB5547">
              <w:rPr>
                <w:b/>
                <w:bCs/>
                <w:iCs/>
              </w:rPr>
              <w:lastRenderedPageBreak/>
              <w:t>Phase 4: Developing and reviewing themes</w:t>
            </w:r>
          </w:p>
        </w:tc>
        <w:tc>
          <w:tcPr>
            <w:tcW w:w="3693" w:type="dxa"/>
          </w:tcPr>
          <w:p w14:paraId="05BB14A1" w14:textId="77777777" w:rsidR="00EB5547" w:rsidRPr="00EB5547" w:rsidRDefault="00EB5547" w:rsidP="00EB5547">
            <w:pPr>
              <w:spacing w:after="160" w:line="278" w:lineRule="auto"/>
              <w:rPr>
                <w:iCs/>
              </w:rPr>
            </w:pPr>
            <w:r w:rsidRPr="00EB5547">
              <w:rPr>
                <w:iCs/>
              </w:rPr>
              <w:t> </w:t>
            </w:r>
            <w:r w:rsidRPr="00EB5547">
              <w:rPr>
                <w:iCs/>
              </w:rPr>
              <w:t>Interrogated early themes with reference to transcripts to ensure that they captured the ideas presented by participants</w:t>
            </w:r>
            <w:r w:rsidRPr="00EB5547">
              <w:rPr>
                <w:iCs/>
              </w:rPr>
              <w:br/>
            </w:r>
            <w:r w:rsidRPr="00EB5547">
              <w:rPr>
                <w:iCs/>
              </w:rPr>
              <w:br/>
              <w:t>•</w:t>
            </w:r>
            <w:r w:rsidRPr="00EB5547">
              <w:rPr>
                <w:iCs/>
              </w:rPr>
              <w:t> </w:t>
            </w:r>
            <w:r w:rsidRPr="00EB5547">
              <w:rPr>
                <w:iCs/>
              </w:rPr>
              <w:t>Developed a conceptual model for visualizing the interrelation of themes</w:t>
            </w:r>
          </w:p>
        </w:tc>
        <w:tc>
          <w:tcPr>
            <w:tcW w:w="3557" w:type="dxa"/>
          </w:tcPr>
          <w:p w14:paraId="751321A0" w14:textId="77777777" w:rsidR="00EB5547" w:rsidRPr="00EB5547" w:rsidRDefault="00EB5547" w:rsidP="00EB5547">
            <w:pPr>
              <w:spacing w:after="160" w:line="278" w:lineRule="auto"/>
              <w:rPr>
                <w:iCs/>
              </w:rPr>
            </w:pPr>
            <w:r w:rsidRPr="00EB5547">
              <w:rPr>
                <w:iCs/>
              </w:rPr>
              <w:t>• SH and RC provided critical feedback on the creation of themes</w:t>
            </w:r>
          </w:p>
        </w:tc>
      </w:tr>
      <w:tr w:rsidR="00EB5547" w:rsidRPr="00EB5547" w14:paraId="339EF9B3" w14:textId="77777777" w:rsidTr="00B56406">
        <w:trPr>
          <w:trHeight w:val="144"/>
        </w:trPr>
        <w:tc>
          <w:tcPr>
            <w:tcW w:w="3451" w:type="dxa"/>
          </w:tcPr>
          <w:p w14:paraId="204814C8" w14:textId="77777777" w:rsidR="00EB5547" w:rsidRPr="00EB5547" w:rsidRDefault="00EB5547" w:rsidP="00EB5547">
            <w:pPr>
              <w:spacing w:after="160" w:line="278" w:lineRule="auto"/>
              <w:rPr>
                <w:b/>
                <w:bCs/>
                <w:iCs/>
              </w:rPr>
            </w:pPr>
            <w:r w:rsidRPr="00EB5547">
              <w:rPr>
                <w:b/>
                <w:bCs/>
                <w:iCs/>
              </w:rPr>
              <w:t>Phase 5: Refining, defining, and naming themes</w:t>
            </w:r>
          </w:p>
        </w:tc>
        <w:tc>
          <w:tcPr>
            <w:tcW w:w="3693" w:type="dxa"/>
          </w:tcPr>
          <w:p w14:paraId="0851F588" w14:textId="77777777" w:rsidR="00EB5547" w:rsidRPr="00EB5547" w:rsidRDefault="00EB5547" w:rsidP="00EB5547">
            <w:pPr>
              <w:spacing w:after="160" w:line="278" w:lineRule="auto"/>
              <w:rPr>
                <w:iCs/>
              </w:rPr>
            </w:pPr>
            <w:r w:rsidRPr="00EB5547">
              <w:rPr>
                <w:iCs/>
              </w:rPr>
              <w:t>Hosted a fourth research meeting with RC and SH to discuss the current interpretation of themes</w:t>
            </w:r>
            <w:r w:rsidRPr="00EB5547">
              <w:rPr>
                <w:iCs/>
              </w:rPr>
              <w:br/>
            </w:r>
            <w:r w:rsidRPr="00EB5547">
              <w:rPr>
                <w:iCs/>
              </w:rPr>
              <w:br/>
              <w:t>•</w:t>
            </w:r>
            <w:r w:rsidRPr="00EB5547">
              <w:rPr>
                <w:iCs/>
              </w:rPr>
              <w:t> </w:t>
            </w:r>
            <w:r w:rsidRPr="00EB5547">
              <w:rPr>
                <w:iCs/>
              </w:rPr>
              <w:t>Flagged themes and subthemes where there was room to improve naming</w:t>
            </w:r>
            <w:r w:rsidRPr="00EB5547">
              <w:rPr>
                <w:iCs/>
              </w:rPr>
              <w:br/>
            </w:r>
            <w:r w:rsidRPr="00EB5547">
              <w:rPr>
                <w:iCs/>
              </w:rPr>
              <w:br/>
              <w:t>•</w:t>
            </w:r>
            <w:r w:rsidRPr="00EB5547">
              <w:rPr>
                <w:iCs/>
              </w:rPr>
              <w:t> </w:t>
            </w:r>
            <w:r w:rsidRPr="00EB5547">
              <w:rPr>
                <w:iCs/>
              </w:rPr>
              <w:t>Created working definitions for themes and subthemes with reference to deductively incorporated themes</w:t>
            </w:r>
          </w:p>
        </w:tc>
        <w:tc>
          <w:tcPr>
            <w:tcW w:w="3557" w:type="dxa"/>
          </w:tcPr>
          <w:p w14:paraId="4B4510B6" w14:textId="77777777" w:rsidR="00EB5547" w:rsidRPr="00EB5547" w:rsidRDefault="00EB5547" w:rsidP="00EB5547">
            <w:pPr>
              <w:spacing w:after="160" w:line="278" w:lineRule="auto"/>
              <w:rPr>
                <w:iCs/>
              </w:rPr>
            </w:pPr>
            <w:r w:rsidRPr="00EB5547">
              <w:rPr>
                <w:iCs/>
              </w:rPr>
              <w:t>Attended research meetings to provide critical feedback on the status of themes</w:t>
            </w:r>
            <w:r w:rsidRPr="00EB5547">
              <w:rPr>
                <w:iCs/>
              </w:rPr>
              <w:br/>
            </w:r>
            <w:r w:rsidRPr="00EB5547">
              <w:rPr>
                <w:iCs/>
              </w:rPr>
              <w:br/>
              <w:t>•</w:t>
            </w:r>
            <w:r w:rsidRPr="00EB5547">
              <w:rPr>
                <w:iCs/>
              </w:rPr>
              <w:t> </w:t>
            </w:r>
            <w:r w:rsidRPr="00EB5547">
              <w:rPr>
                <w:iCs/>
              </w:rPr>
              <w:t>Suggested alterations and considerations to theme and subtheme names and definitions</w:t>
            </w:r>
          </w:p>
        </w:tc>
      </w:tr>
      <w:tr w:rsidR="00EB5547" w:rsidRPr="00EB5547" w14:paraId="06720690" w14:textId="77777777" w:rsidTr="00B56406">
        <w:trPr>
          <w:trHeight w:val="2387"/>
        </w:trPr>
        <w:tc>
          <w:tcPr>
            <w:tcW w:w="3451" w:type="dxa"/>
          </w:tcPr>
          <w:p w14:paraId="74DE0ADC" w14:textId="77777777" w:rsidR="00EB5547" w:rsidRPr="00EB5547" w:rsidRDefault="00EB5547" w:rsidP="00EB5547">
            <w:pPr>
              <w:spacing w:after="160" w:line="278" w:lineRule="auto"/>
              <w:rPr>
                <w:b/>
                <w:bCs/>
                <w:iCs/>
              </w:rPr>
            </w:pPr>
            <w:r w:rsidRPr="00EB5547">
              <w:rPr>
                <w:b/>
                <w:bCs/>
                <w:iCs/>
              </w:rPr>
              <w:t>Phase 6: Write-up</w:t>
            </w:r>
          </w:p>
        </w:tc>
        <w:tc>
          <w:tcPr>
            <w:tcW w:w="3693" w:type="dxa"/>
          </w:tcPr>
          <w:p w14:paraId="05539B07" w14:textId="77777777" w:rsidR="00EB5547" w:rsidRPr="00EB5547" w:rsidRDefault="00EB5547" w:rsidP="00EB5547">
            <w:pPr>
              <w:spacing w:after="160" w:line="278" w:lineRule="auto"/>
              <w:rPr>
                <w:iCs/>
              </w:rPr>
            </w:pPr>
            <w:r w:rsidRPr="00EB5547">
              <w:rPr>
                <w:iCs/>
              </w:rPr>
              <w:t> </w:t>
            </w:r>
            <w:r w:rsidRPr="00EB5547">
              <w:rPr>
                <w:iCs/>
              </w:rPr>
              <w:t>Flagged powerful and relevant transcript quotations for each theme and subtheme</w:t>
            </w:r>
            <w:r w:rsidRPr="00EB5547">
              <w:rPr>
                <w:iCs/>
              </w:rPr>
              <w:br/>
            </w:r>
            <w:r w:rsidRPr="00EB5547">
              <w:rPr>
                <w:iCs/>
              </w:rPr>
              <w:br/>
              <w:t>•</w:t>
            </w:r>
            <w:r w:rsidRPr="00EB5547">
              <w:rPr>
                <w:iCs/>
              </w:rPr>
              <w:t> </w:t>
            </w:r>
            <w:r w:rsidRPr="00EB5547">
              <w:rPr>
                <w:iCs/>
              </w:rPr>
              <w:t>Drafted manuscript</w:t>
            </w:r>
            <w:r w:rsidRPr="00EB5547">
              <w:rPr>
                <w:iCs/>
              </w:rPr>
              <w:br/>
            </w:r>
            <w:r w:rsidRPr="00EB5547">
              <w:rPr>
                <w:iCs/>
              </w:rPr>
              <w:br/>
              <w:t>•</w:t>
            </w:r>
            <w:r w:rsidRPr="00EB5547">
              <w:rPr>
                <w:iCs/>
              </w:rPr>
              <w:t> </w:t>
            </w:r>
            <w:r w:rsidRPr="00EB5547">
              <w:rPr>
                <w:iCs/>
              </w:rPr>
              <w:t>Incorporated feedback of the research team</w:t>
            </w:r>
          </w:p>
        </w:tc>
        <w:tc>
          <w:tcPr>
            <w:tcW w:w="3557" w:type="dxa"/>
          </w:tcPr>
          <w:p w14:paraId="736F0DD1" w14:textId="77777777" w:rsidR="00EB5547" w:rsidRPr="00EB5547" w:rsidRDefault="00EB5547" w:rsidP="00EB5547">
            <w:pPr>
              <w:spacing w:after="160" w:line="278" w:lineRule="auto"/>
              <w:rPr>
                <w:iCs/>
              </w:rPr>
            </w:pPr>
            <w:r w:rsidRPr="00EB5547">
              <w:rPr>
                <w:iCs/>
              </w:rPr>
              <w:t>SH provided feedback on the strength of quotations and order of theme presentation</w:t>
            </w:r>
            <w:r w:rsidRPr="00EB5547">
              <w:rPr>
                <w:iCs/>
              </w:rPr>
              <w:br/>
            </w:r>
            <w:r w:rsidRPr="00EB5547">
              <w:rPr>
                <w:iCs/>
              </w:rPr>
              <w:br/>
              <w:t>•</w:t>
            </w:r>
            <w:r w:rsidRPr="00EB5547">
              <w:rPr>
                <w:iCs/>
              </w:rPr>
              <w:t> </w:t>
            </w:r>
            <w:r w:rsidRPr="00EB5547">
              <w:rPr>
                <w:iCs/>
              </w:rPr>
              <w:t>Reviewed manuscript and provided feedback</w:t>
            </w:r>
          </w:p>
        </w:tc>
      </w:tr>
    </w:tbl>
    <w:p w14:paraId="5F726AB2" w14:textId="77777777" w:rsidR="00EB5547" w:rsidRPr="00EB5547" w:rsidRDefault="00EB5547" w:rsidP="00EB5547"/>
    <w:p w14:paraId="43742B32" w14:textId="77777777" w:rsidR="00EB5547" w:rsidRPr="00EB5547" w:rsidRDefault="00EB5547" w:rsidP="00EB5547"/>
    <w:p w14:paraId="7FA7921C" w14:textId="77777777" w:rsidR="00EB5547" w:rsidRPr="00EB5547" w:rsidRDefault="00EB5547" w:rsidP="00EB5547"/>
    <w:p w14:paraId="4E091507" w14:textId="77777777" w:rsidR="00EB5547" w:rsidRDefault="00EB5547"/>
    <w:sectPr w:rsidR="00EB5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91630"/>
    <w:multiLevelType w:val="hybridMultilevel"/>
    <w:tmpl w:val="94481B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92373"/>
    <w:multiLevelType w:val="hybridMultilevel"/>
    <w:tmpl w:val="7AEAD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791406">
    <w:abstractNumId w:val="1"/>
  </w:num>
  <w:num w:numId="2" w16cid:durableId="119511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47"/>
    <w:rsid w:val="00035AAA"/>
    <w:rsid w:val="000A5189"/>
    <w:rsid w:val="00154009"/>
    <w:rsid w:val="002A7723"/>
    <w:rsid w:val="003A4C49"/>
    <w:rsid w:val="003D391A"/>
    <w:rsid w:val="00576E80"/>
    <w:rsid w:val="008721C6"/>
    <w:rsid w:val="00961928"/>
    <w:rsid w:val="00A50391"/>
    <w:rsid w:val="00B56406"/>
    <w:rsid w:val="00D53B32"/>
    <w:rsid w:val="00DF16B9"/>
    <w:rsid w:val="00EB5547"/>
    <w:rsid w:val="00FE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BAA02"/>
  <w15:chartTrackingRefBased/>
  <w15:docId w15:val="{E2A978C2-6D17-4FF9-B6D1-7D23B23D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547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EB554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B56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F4EFA8C3AD47E89612B4D248881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DBCE-1AB8-4109-98E3-09CA5E996E87}"/>
      </w:docPartPr>
      <w:docPartBody>
        <w:p w:rsidR="00000000" w:rsidRDefault="00E9046A" w:rsidP="00E9046A">
          <w:pPr>
            <w:pStyle w:val="ECF4EFA8C3AD47E89612B4D248881D89"/>
          </w:pPr>
          <w:r w:rsidRPr="00D94C40">
            <w:rPr>
              <w:rStyle w:val="PlaceholderText"/>
            </w:rPr>
            <w:t>Formatting...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6A"/>
    <w:rsid w:val="00154009"/>
    <w:rsid w:val="00E9046A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9046A"/>
    <w:rPr>
      <w:color w:val="666666"/>
    </w:rPr>
  </w:style>
  <w:style w:type="paragraph" w:customStyle="1" w:styleId="ECF4EFA8C3AD47E89612B4D248881D89">
    <w:name w:val="ECF4EFA8C3AD47E89612B4D248881D89"/>
    <w:rsid w:val="00E904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1064</Words>
  <Characters>6055</Characters>
  <Application>Microsoft Office Word</Application>
  <DocSecurity>0</DocSecurity>
  <Lines>112</Lines>
  <Paragraphs>30</Paragraphs>
  <ScaleCrop>false</ScaleCrop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Osinaike, Jimi</dc:creator>
  <cp:keywords/>
  <dc:description/>
  <cp:lastModifiedBy>Osinaike, Jimi</cp:lastModifiedBy>
  <cp:revision>14</cp:revision>
  <dcterms:created xsi:type="dcterms:W3CDTF">2025-08-16T11:43:00Z</dcterms:created>
  <dcterms:modified xsi:type="dcterms:W3CDTF">2025-08-16T23:42:00Z</dcterms:modified>
</cp:coreProperties>
</file>