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6AB59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2EE834B9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b/>
          <w:b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b/>
          <w:bCs/>
          <w:kern w:val="2"/>
          <w:sz w:val="20"/>
          <w:szCs w:val="20"/>
          <w:lang w:val="en-IE" w:eastAsia="en-IE"/>
          <w14:ligatures w14:val="standardContextual"/>
        </w:rPr>
        <w:t>Tables</w:t>
      </w:r>
    </w:p>
    <w:p w14:paraId="1D3B6A50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3"/>
        <w:gridCol w:w="2596"/>
        <w:gridCol w:w="2425"/>
        <w:gridCol w:w="2372"/>
      </w:tblGrid>
      <w:tr w:rsidR="001B011C" w:rsidRPr="00E64431" w14:paraId="039A8FE3" w14:textId="77777777" w:rsidTr="00C51D35">
        <w:trPr>
          <w:tblHeader/>
          <w:tblCellSpacing w:w="15" w:type="dxa"/>
        </w:trPr>
        <w:tc>
          <w:tcPr>
            <w:tcW w:w="0" w:type="auto"/>
            <w:gridSpan w:val="4"/>
            <w:vAlign w:val="center"/>
          </w:tcPr>
          <w:p w14:paraId="1BC5A39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Table 1: EU-SILC Financial Well-being Variable Harmonisation</w:t>
            </w:r>
          </w:p>
          <w:p w14:paraId="0B6A2F05" w14:textId="77777777" w:rsidR="004D4869" w:rsidRPr="00E64431" w:rsidRDefault="004D4869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3324D08A" w14:textId="77777777" w:rsidTr="00C51D3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B8EAC5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Variable Category</w:t>
            </w:r>
          </w:p>
        </w:tc>
        <w:tc>
          <w:tcPr>
            <w:tcW w:w="0" w:type="auto"/>
            <w:vAlign w:val="center"/>
            <w:hideMark/>
          </w:tcPr>
          <w:p w14:paraId="0B774EC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Irish Implementation</w:t>
            </w:r>
          </w:p>
        </w:tc>
        <w:tc>
          <w:tcPr>
            <w:tcW w:w="0" w:type="auto"/>
            <w:vAlign w:val="center"/>
            <w:hideMark/>
          </w:tcPr>
          <w:p w14:paraId="7B158D0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EU Standard</w:t>
            </w:r>
          </w:p>
        </w:tc>
        <w:tc>
          <w:tcPr>
            <w:tcW w:w="0" w:type="auto"/>
            <w:vAlign w:val="center"/>
            <w:hideMark/>
          </w:tcPr>
          <w:p w14:paraId="04CFCE2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Comparability Notes</w:t>
            </w:r>
          </w:p>
        </w:tc>
      </w:tr>
      <w:tr w:rsidR="001B011C" w:rsidRPr="00E64431" w14:paraId="4018544B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61093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Income</w:t>
            </w:r>
          </w:p>
        </w:tc>
        <w:tc>
          <w:tcPr>
            <w:tcW w:w="0" w:type="auto"/>
            <w:vAlign w:val="center"/>
            <w:hideMark/>
          </w:tcPr>
          <w:p w14:paraId="73AB369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Total disposable household</w:t>
            </w:r>
          </w:p>
        </w:tc>
        <w:tc>
          <w:tcPr>
            <w:tcW w:w="0" w:type="auto"/>
            <w:vAlign w:val="center"/>
            <w:hideMark/>
          </w:tcPr>
          <w:p w14:paraId="0A5AB7E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Harmonised definition</w:t>
            </w:r>
          </w:p>
        </w:tc>
        <w:tc>
          <w:tcPr>
            <w:tcW w:w="0" w:type="auto"/>
            <w:vAlign w:val="center"/>
            <w:hideMark/>
          </w:tcPr>
          <w:p w14:paraId="554E838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Fully comparable</w:t>
            </w:r>
          </w:p>
        </w:tc>
      </w:tr>
      <w:tr w:rsidR="001B011C" w:rsidRPr="00E64431" w14:paraId="6F3C4EA4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6685F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 Burden</w:t>
            </w:r>
          </w:p>
        </w:tc>
        <w:tc>
          <w:tcPr>
            <w:tcW w:w="0" w:type="auto"/>
            <w:vAlign w:val="center"/>
            <w:hideMark/>
          </w:tcPr>
          <w:p w14:paraId="782DD12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Arrears on utilities/loans</w:t>
            </w:r>
          </w:p>
        </w:tc>
        <w:tc>
          <w:tcPr>
            <w:tcW w:w="0" w:type="auto"/>
            <w:vAlign w:val="center"/>
            <w:hideMark/>
          </w:tcPr>
          <w:p w14:paraId="10BCE9F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Standard categories</w:t>
            </w:r>
          </w:p>
        </w:tc>
        <w:tc>
          <w:tcPr>
            <w:tcW w:w="0" w:type="auto"/>
            <w:vAlign w:val="center"/>
            <w:hideMark/>
          </w:tcPr>
          <w:p w14:paraId="3A69285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Comparable with caveats</w:t>
            </w:r>
          </w:p>
        </w:tc>
      </w:tr>
      <w:tr w:rsidR="001B011C" w:rsidRPr="00E64431" w14:paraId="68D77841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A1D1A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Savings Capacity</w:t>
            </w:r>
          </w:p>
        </w:tc>
        <w:tc>
          <w:tcPr>
            <w:tcW w:w="0" w:type="auto"/>
            <w:vAlign w:val="center"/>
            <w:hideMark/>
          </w:tcPr>
          <w:p w14:paraId="15F4D90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Ability to face unexpected expenses</w:t>
            </w:r>
          </w:p>
        </w:tc>
        <w:tc>
          <w:tcPr>
            <w:tcW w:w="0" w:type="auto"/>
            <w:vAlign w:val="center"/>
            <w:hideMark/>
          </w:tcPr>
          <w:p w14:paraId="6D37720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€1,000 threshold varies by country</w:t>
            </w:r>
          </w:p>
        </w:tc>
        <w:tc>
          <w:tcPr>
            <w:tcW w:w="0" w:type="auto"/>
            <w:vAlign w:val="center"/>
            <w:hideMark/>
          </w:tcPr>
          <w:p w14:paraId="031F74F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Adjusted for purchasing power</w:t>
            </w:r>
          </w:p>
        </w:tc>
      </w:tr>
      <w:tr w:rsidR="001B011C" w:rsidRPr="00E64431" w14:paraId="620DCB38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2D42D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Satisfaction</w:t>
            </w:r>
          </w:p>
        </w:tc>
        <w:tc>
          <w:tcPr>
            <w:tcW w:w="0" w:type="auto"/>
            <w:vAlign w:val="center"/>
            <w:hideMark/>
          </w:tcPr>
          <w:p w14:paraId="3C6ADC5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0-10 scale</w:t>
            </w:r>
          </w:p>
        </w:tc>
        <w:tc>
          <w:tcPr>
            <w:tcW w:w="0" w:type="auto"/>
            <w:vAlign w:val="center"/>
            <w:hideMark/>
          </w:tcPr>
          <w:p w14:paraId="6A930CE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Various scales used</w:t>
            </w:r>
          </w:p>
        </w:tc>
        <w:tc>
          <w:tcPr>
            <w:tcW w:w="0" w:type="auto"/>
            <w:vAlign w:val="center"/>
            <w:hideMark/>
          </w:tcPr>
          <w:p w14:paraId="2663E9D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Requires standardisation</w:t>
            </w:r>
          </w:p>
        </w:tc>
      </w:tr>
      <w:tr w:rsidR="001B011C" w:rsidRPr="00E64431" w14:paraId="051ED363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3A0A7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Technology Access</w:t>
            </w:r>
          </w:p>
        </w:tc>
        <w:tc>
          <w:tcPr>
            <w:tcW w:w="0" w:type="auto"/>
            <w:vAlign w:val="center"/>
            <w:hideMark/>
          </w:tcPr>
          <w:p w14:paraId="3BAF8ED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Binary indicators</w:t>
            </w:r>
          </w:p>
        </w:tc>
        <w:tc>
          <w:tcPr>
            <w:tcW w:w="0" w:type="auto"/>
            <w:vAlign w:val="center"/>
            <w:hideMark/>
          </w:tcPr>
          <w:p w14:paraId="5908406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Some countries more detailed</w:t>
            </w:r>
          </w:p>
        </w:tc>
        <w:tc>
          <w:tcPr>
            <w:tcW w:w="0" w:type="auto"/>
            <w:vAlign w:val="center"/>
            <w:hideMark/>
          </w:tcPr>
          <w:p w14:paraId="2C9C596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Minimum common denominator</w:t>
            </w:r>
          </w:p>
        </w:tc>
      </w:tr>
    </w:tbl>
    <w:p w14:paraId="0AA01FF6" w14:textId="77777777" w:rsidR="0052627F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  <w:r w:rsidRPr="00E64431">
        <w:rPr>
          <w:rFonts w:ascii="Times New Roman" w:eastAsia="Times New Roman" w:hAnsi="Times New Roman" w:cs="Times New Roman"/>
          <w:i/>
          <w:iCs/>
          <w:sz w:val="20"/>
          <w:szCs w:val="20"/>
          <w:lang w:val="en-IE" w:eastAsia="en-IE"/>
        </w:rPr>
        <w:t>Source: Eurostat EU-SILC Methodological Guidelines 2020</w:t>
      </w:r>
    </w:p>
    <w:p w14:paraId="3BF6CD2D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218C210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4560"/>
        <w:gridCol w:w="549"/>
        <w:gridCol w:w="833"/>
        <w:gridCol w:w="416"/>
        <w:gridCol w:w="464"/>
      </w:tblGrid>
      <w:tr w:rsidR="001B011C" w:rsidRPr="00E64431" w14:paraId="14B48934" w14:textId="77777777" w:rsidTr="00C51D35">
        <w:trPr>
          <w:tblHeader/>
          <w:tblCellSpacing w:w="15" w:type="dxa"/>
        </w:trPr>
        <w:tc>
          <w:tcPr>
            <w:tcW w:w="0" w:type="auto"/>
            <w:gridSpan w:val="6"/>
            <w:vAlign w:val="center"/>
          </w:tcPr>
          <w:p w14:paraId="062A02A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Table 2: Financial Well-being Variables and Descriptive Statistics</w:t>
            </w:r>
          </w:p>
        </w:tc>
      </w:tr>
      <w:tr w:rsidR="001B011C" w:rsidRPr="00E64431" w14:paraId="2D8E7D71" w14:textId="77777777" w:rsidTr="00C51D3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D003CC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3D284A3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4DB3717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Mean</w:t>
            </w:r>
          </w:p>
        </w:tc>
        <w:tc>
          <w:tcPr>
            <w:tcW w:w="0" w:type="auto"/>
            <w:vAlign w:val="center"/>
            <w:hideMark/>
          </w:tcPr>
          <w:p w14:paraId="78142A5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Std. Dev.</w:t>
            </w:r>
          </w:p>
        </w:tc>
        <w:tc>
          <w:tcPr>
            <w:tcW w:w="0" w:type="auto"/>
            <w:vAlign w:val="center"/>
            <w:hideMark/>
          </w:tcPr>
          <w:p w14:paraId="38A8EBC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Min</w:t>
            </w:r>
          </w:p>
        </w:tc>
        <w:tc>
          <w:tcPr>
            <w:tcW w:w="0" w:type="auto"/>
            <w:vAlign w:val="center"/>
            <w:hideMark/>
          </w:tcPr>
          <w:p w14:paraId="4368FBB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Max</w:t>
            </w:r>
          </w:p>
        </w:tc>
      </w:tr>
      <w:tr w:rsidR="001B011C" w:rsidRPr="00E64431" w14:paraId="17974414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6F349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Income_t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4144D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Total disposable household income</w:t>
            </w:r>
          </w:p>
        </w:tc>
        <w:tc>
          <w:tcPr>
            <w:tcW w:w="0" w:type="auto"/>
            <w:vAlign w:val="center"/>
            <w:hideMark/>
          </w:tcPr>
          <w:p w14:paraId="31FAF0F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6.23</w:t>
            </w:r>
          </w:p>
        </w:tc>
        <w:tc>
          <w:tcPr>
            <w:tcW w:w="0" w:type="auto"/>
            <w:vAlign w:val="center"/>
            <w:hideMark/>
          </w:tcPr>
          <w:p w14:paraId="02FA9C5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2.54</w:t>
            </w:r>
          </w:p>
        </w:tc>
        <w:tc>
          <w:tcPr>
            <w:tcW w:w="0" w:type="auto"/>
            <w:vAlign w:val="center"/>
            <w:hideMark/>
          </w:tcPr>
          <w:p w14:paraId="634D0F1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E49FDB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73E778D4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1B6AA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Income_l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D6D1F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Lowest monthly income to make ends meet</w:t>
            </w:r>
          </w:p>
        </w:tc>
        <w:tc>
          <w:tcPr>
            <w:tcW w:w="0" w:type="auto"/>
            <w:vAlign w:val="center"/>
            <w:hideMark/>
          </w:tcPr>
          <w:p w14:paraId="5342005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5.74</w:t>
            </w:r>
          </w:p>
        </w:tc>
        <w:tc>
          <w:tcPr>
            <w:tcW w:w="0" w:type="auto"/>
            <w:vAlign w:val="center"/>
            <w:hideMark/>
          </w:tcPr>
          <w:p w14:paraId="2614F7D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2.28</w:t>
            </w:r>
          </w:p>
        </w:tc>
        <w:tc>
          <w:tcPr>
            <w:tcW w:w="0" w:type="auto"/>
            <w:vAlign w:val="center"/>
            <w:hideMark/>
          </w:tcPr>
          <w:p w14:paraId="0D75610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B17320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0BC96551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135D1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Debt_1</w:t>
            </w:r>
          </w:p>
        </w:tc>
        <w:tc>
          <w:tcPr>
            <w:tcW w:w="0" w:type="auto"/>
            <w:vAlign w:val="center"/>
            <w:hideMark/>
          </w:tcPr>
          <w:p w14:paraId="0BE63F5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HH had to go into debt to meet ordinary living expenses</w:t>
            </w:r>
          </w:p>
        </w:tc>
        <w:tc>
          <w:tcPr>
            <w:tcW w:w="0" w:type="auto"/>
            <w:vAlign w:val="center"/>
            <w:hideMark/>
          </w:tcPr>
          <w:p w14:paraId="1B1921E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7.89</w:t>
            </w:r>
          </w:p>
        </w:tc>
        <w:tc>
          <w:tcPr>
            <w:tcW w:w="0" w:type="auto"/>
            <w:vAlign w:val="center"/>
            <w:hideMark/>
          </w:tcPr>
          <w:p w14:paraId="2E37972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2.48</w:t>
            </w:r>
          </w:p>
        </w:tc>
        <w:tc>
          <w:tcPr>
            <w:tcW w:w="0" w:type="auto"/>
            <w:vAlign w:val="center"/>
            <w:hideMark/>
          </w:tcPr>
          <w:p w14:paraId="25AF92E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BA2B36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0BB9406B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40814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Debt_2</w:t>
            </w:r>
          </w:p>
        </w:tc>
        <w:tc>
          <w:tcPr>
            <w:tcW w:w="0" w:type="auto"/>
            <w:vAlign w:val="center"/>
            <w:hideMark/>
          </w:tcPr>
          <w:p w14:paraId="6DAD85F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Arrears</w:t>
            </w:r>
          </w:p>
        </w:tc>
        <w:tc>
          <w:tcPr>
            <w:tcW w:w="0" w:type="auto"/>
            <w:vAlign w:val="center"/>
            <w:hideMark/>
          </w:tcPr>
          <w:p w14:paraId="34F965D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8.75</w:t>
            </w:r>
          </w:p>
        </w:tc>
        <w:tc>
          <w:tcPr>
            <w:tcW w:w="0" w:type="auto"/>
            <w:vAlign w:val="center"/>
            <w:hideMark/>
          </w:tcPr>
          <w:p w14:paraId="5EC5C95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2.58</w:t>
            </w:r>
          </w:p>
        </w:tc>
        <w:tc>
          <w:tcPr>
            <w:tcW w:w="0" w:type="auto"/>
            <w:vAlign w:val="center"/>
            <w:hideMark/>
          </w:tcPr>
          <w:p w14:paraId="64CA0AA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608D3F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01CAD9CF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9027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Debt_3</w:t>
            </w:r>
          </w:p>
        </w:tc>
        <w:tc>
          <w:tcPr>
            <w:tcW w:w="0" w:type="auto"/>
            <w:vAlign w:val="center"/>
            <w:hideMark/>
          </w:tcPr>
          <w:p w14:paraId="7211696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Ability to make ends meet</w:t>
            </w:r>
          </w:p>
        </w:tc>
        <w:tc>
          <w:tcPr>
            <w:tcW w:w="0" w:type="auto"/>
            <w:vAlign w:val="center"/>
            <w:hideMark/>
          </w:tcPr>
          <w:p w14:paraId="21054EC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6.68</w:t>
            </w:r>
          </w:p>
        </w:tc>
        <w:tc>
          <w:tcPr>
            <w:tcW w:w="0" w:type="auto"/>
            <w:vAlign w:val="center"/>
            <w:hideMark/>
          </w:tcPr>
          <w:p w14:paraId="63AC620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2.44</w:t>
            </w:r>
          </w:p>
        </w:tc>
        <w:tc>
          <w:tcPr>
            <w:tcW w:w="0" w:type="auto"/>
            <w:vAlign w:val="center"/>
            <w:hideMark/>
          </w:tcPr>
          <w:p w14:paraId="6739FE7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6E4C79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0A0B7EAB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1292C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Debt_4</w:t>
            </w:r>
          </w:p>
        </w:tc>
        <w:tc>
          <w:tcPr>
            <w:tcW w:w="0" w:type="auto"/>
            <w:vAlign w:val="center"/>
            <w:hideMark/>
          </w:tcPr>
          <w:p w14:paraId="09956EB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burden</w:t>
            </w:r>
          </w:p>
        </w:tc>
        <w:tc>
          <w:tcPr>
            <w:tcW w:w="0" w:type="auto"/>
            <w:vAlign w:val="center"/>
            <w:hideMark/>
          </w:tcPr>
          <w:p w14:paraId="44C5BA4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7.21</w:t>
            </w:r>
          </w:p>
        </w:tc>
        <w:tc>
          <w:tcPr>
            <w:tcW w:w="0" w:type="auto"/>
            <w:vAlign w:val="center"/>
            <w:hideMark/>
          </w:tcPr>
          <w:p w14:paraId="7087EE1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2.36</w:t>
            </w:r>
          </w:p>
        </w:tc>
        <w:tc>
          <w:tcPr>
            <w:tcW w:w="0" w:type="auto"/>
            <w:vAlign w:val="center"/>
            <w:hideMark/>
          </w:tcPr>
          <w:p w14:paraId="29C4C57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CD81E3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384E85F4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072E9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Saving_1</w:t>
            </w:r>
          </w:p>
        </w:tc>
        <w:tc>
          <w:tcPr>
            <w:tcW w:w="0" w:type="auto"/>
            <w:vAlign w:val="center"/>
            <w:hideMark/>
          </w:tcPr>
          <w:p w14:paraId="0C92B00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Can save some income regularly</w:t>
            </w:r>
          </w:p>
        </w:tc>
        <w:tc>
          <w:tcPr>
            <w:tcW w:w="0" w:type="auto"/>
            <w:vAlign w:val="center"/>
            <w:hideMark/>
          </w:tcPr>
          <w:p w14:paraId="72786C8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3.45</w:t>
            </w:r>
          </w:p>
        </w:tc>
        <w:tc>
          <w:tcPr>
            <w:tcW w:w="0" w:type="auto"/>
            <w:vAlign w:val="center"/>
            <w:hideMark/>
          </w:tcPr>
          <w:p w14:paraId="10E8BC1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4.12</w:t>
            </w:r>
          </w:p>
        </w:tc>
        <w:tc>
          <w:tcPr>
            <w:tcW w:w="0" w:type="auto"/>
            <w:vAlign w:val="center"/>
            <w:hideMark/>
          </w:tcPr>
          <w:p w14:paraId="4B8526D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E30919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4CA11E45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75C6A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Saving_2</w:t>
            </w:r>
          </w:p>
        </w:tc>
        <w:tc>
          <w:tcPr>
            <w:tcW w:w="0" w:type="auto"/>
            <w:vAlign w:val="center"/>
            <w:hideMark/>
          </w:tcPr>
          <w:p w14:paraId="3C527C1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Capacity to face unexpected financial expenses</w:t>
            </w:r>
          </w:p>
        </w:tc>
        <w:tc>
          <w:tcPr>
            <w:tcW w:w="0" w:type="auto"/>
            <w:vAlign w:val="center"/>
            <w:hideMark/>
          </w:tcPr>
          <w:p w14:paraId="436F312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5.23</w:t>
            </w:r>
          </w:p>
        </w:tc>
        <w:tc>
          <w:tcPr>
            <w:tcW w:w="0" w:type="auto"/>
            <w:vAlign w:val="center"/>
            <w:hideMark/>
          </w:tcPr>
          <w:p w14:paraId="1BBDAB3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4.50</w:t>
            </w:r>
          </w:p>
        </w:tc>
        <w:tc>
          <w:tcPr>
            <w:tcW w:w="0" w:type="auto"/>
            <w:vAlign w:val="center"/>
            <w:hideMark/>
          </w:tcPr>
          <w:p w14:paraId="565E351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727CAE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429ECA76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13293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Saving_3</w:t>
            </w:r>
          </w:p>
        </w:tc>
        <w:tc>
          <w:tcPr>
            <w:tcW w:w="0" w:type="auto"/>
            <w:vAlign w:val="center"/>
            <w:hideMark/>
          </w:tcPr>
          <w:p w14:paraId="661FF46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Capacity to afford paying for one-week annual holiday</w:t>
            </w:r>
          </w:p>
        </w:tc>
        <w:tc>
          <w:tcPr>
            <w:tcW w:w="0" w:type="auto"/>
            <w:vAlign w:val="center"/>
            <w:hideMark/>
          </w:tcPr>
          <w:p w14:paraId="72EFBE5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5.60</w:t>
            </w:r>
          </w:p>
        </w:tc>
        <w:tc>
          <w:tcPr>
            <w:tcW w:w="0" w:type="auto"/>
            <w:vAlign w:val="center"/>
            <w:hideMark/>
          </w:tcPr>
          <w:p w14:paraId="72665F9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4.62</w:t>
            </w:r>
          </w:p>
        </w:tc>
        <w:tc>
          <w:tcPr>
            <w:tcW w:w="0" w:type="auto"/>
            <w:vAlign w:val="center"/>
            <w:hideMark/>
          </w:tcPr>
          <w:p w14:paraId="5C6EA02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B024F0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  <w:tr w:rsidR="001B011C" w:rsidRPr="00E64431" w14:paraId="0EF044DD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C9E19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satisfaction</w:t>
            </w:r>
          </w:p>
        </w:tc>
        <w:tc>
          <w:tcPr>
            <w:tcW w:w="0" w:type="auto"/>
            <w:vAlign w:val="center"/>
            <w:hideMark/>
          </w:tcPr>
          <w:p w14:paraId="3BDF433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Satisfaction with financial situation of the HH</w:t>
            </w:r>
          </w:p>
        </w:tc>
        <w:tc>
          <w:tcPr>
            <w:tcW w:w="0" w:type="auto"/>
            <w:vAlign w:val="center"/>
            <w:hideMark/>
          </w:tcPr>
          <w:p w14:paraId="7F21FF5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5.24</w:t>
            </w:r>
          </w:p>
        </w:tc>
        <w:tc>
          <w:tcPr>
            <w:tcW w:w="0" w:type="auto"/>
            <w:vAlign w:val="center"/>
            <w:hideMark/>
          </w:tcPr>
          <w:p w14:paraId="564D006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2.50</w:t>
            </w:r>
          </w:p>
        </w:tc>
        <w:tc>
          <w:tcPr>
            <w:tcW w:w="0" w:type="auto"/>
            <w:vAlign w:val="center"/>
            <w:hideMark/>
          </w:tcPr>
          <w:p w14:paraId="63151C9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BF707B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</w:t>
            </w:r>
          </w:p>
        </w:tc>
      </w:tr>
    </w:tbl>
    <w:p w14:paraId="328E810B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Note: All variables scored 0-10 for comparability. HH = Household. N = 11,128.</w:t>
      </w:r>
    </w:p>
    <w:p w14:paraId="1FF943A9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>Source: Authors own analysis of EU-SILC data</w:t>
      </w:r>
    </w:p>
    <w:p w14:paraId="38A57ADE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6D770FD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20EC268" w14:textId="77777777" w:rsidR="001B011C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6AB595A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329FC44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1BF0D9D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BBE1DDE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8FCA3DA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AACA697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D2F073F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51705A9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73BA573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CECD78D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3D06C43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B04D1BB" w14:textId="77777777" w:rsidR="00E64431" w:rsidRP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DA19DDF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1"/>
        <w:gridCol w:w="4365"/>
      </w:tblGrid>
      <w:tr w:rsidR="001B011C" w:rsidRPr="00E64431" w14:paraId="7ECBF7A6" w14:textId="77777777" w:rsidTr="00C51D35">
        <w:trPr>
          <w:tblHeader/>
          <w:tblCellSpacing w:w="15" w:type="dxa"/>
        </w:trPr>
        <w:tc>
          <w:tcPr>
            <w:tcW w:w="4967" w:type="pct"/>
            <w:gridSpan w:val="2"/>
            <w:vAlign w:val="center"/>
          </w:tcPr>
          <w:p w14:paraId="2000D24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lastRenderedPageBreak/>
              <w:t>Table 3: Distribution of Financial Well-being</w:t>
            </w:r>
          </w:p>
          <w:p w14:paraId="3F6773A3" w14:textId="77777777" w:rsidR="004D4869" w:rsidRPr="00E64431" w:rsidRDefault="004D4869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1E8FA532" w14:textId="77777777" w:rsidTr="00C51D35">
        <w:trPr>
          <w:tblHeader/>
          <w:tblCellSpacing w:w="15" w:type="dxa"/>
        </w:trPr>
        <w:tc>
          <w:tcPr>
            <w:tcW w:w="2566" w:type="pct"/>
            <w:vAlign w:val="center"/>
            <w:hideMark/>
          </w:tcPr>
          <w:p w14:paraId="71E8876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Statistic</w:t>
            </w:r>
          </w:p>
        </w:tc>
        <w:tc>
          <w:tcPr>
            <w:tcW w:w="2384" w:type="pct"/>
            <w:vAlign w:val="center"/>
            <w:hideMark/>
          </w:tcPr>
          <w:p w14:paraId="00A03EA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Value</w:t>
            </w:r>
          </w:p>
        </w:tc>
      </w:tr>
      <w:tr w:rsidR="001B011C" w:rsidRPr="00E64431" w14:paraId="18DBBD27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07C1289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Mean</w:t>
            </w:r>
          </w:p>
        </w:tc>
        <w:tc>
          <w:tcPr>
            <w:tcW w:w="2384" w:type="pct"/>
            <w:vAlign w:val="center"/>
            <w:hideMark/>
          </w:tcPr>
          <w:p w14:paraId="183DE08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56.33</w:t>
            </w:r>
          </w:p>
        </w:tc>
      </w:tr>
      <w:tr w:rsidR="001B011C" w:rsidRPr="00E64431" w14:paraId="61113F8B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40F4470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Median</w:t>
            </w:r>
          </w:p>
        </w:tc>
        <w:tc>
          <w:tcPr>
            <w:tcW w:w="2384" w:type="pct"/>
            <w:vAlign w:val="center"/>
            <w:hideMark/>
          </w:tcPr>
          <w:p w14:paraId="76561FD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58.00</w:t>
            </w:r>
          </w:p>
        </w:tc>
      </w:tr>
      <w:tr w:rsidR="001B011C" w:rsidRPr="00E64431" w14:paraId="0C37B31F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6DBFA4D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Standard Deviation</w:t>
            </w:r>
          </w:p>
        </w:tc>
        <w:tc>
          <w:tcPr>
            <w:tcW w:w="2384" w:type="pct"/>
            <w:vAlign w:val="center"/>
            <w:hideMark/>
          </w:tcPr>
          <w:p w14:paraId="6C22C04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15.66</w:t>
            </w:r>
          </w:p>
        </w:tc>
      </w:tr>
      <w:tr w:rsidR="001B011C" w:rsidRPr="00E64431" w14:paraId="419FA798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4FDF76D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Minimum</w:t>
            </w:r>
          </w:p>
        </w:tc>
        <w:tc>
          <w:tcPr>
            <w:tcW w:w="2384" w:type="pct"/>
            <w:vAlign w:val="center"/>
            <w:hideMark/>
          </w:tcPr>
          <w:p w14:paraId="4ADDFF8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11.00</w:t>
            </w:r>
          </w:p>
        </w:tc>
      </w:tr>
      <w:tr w:rsidR="001B011C" w:rsidRPr="00E64431" w14:paraId="03F4E22A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24ED40B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Maximum</w:t>
            </w:r>
          </w:p>
        </w:tc>
        <w:tc>
          <w:tcPr>
            <w:tcW w:w="2384" w:type="pct"/>
            <w:vAlign w:val="center"/>
            <w:hideMark/>
          </w:tcPr>
          <w:p w14:paraId="3CD9A0A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99.00</w:t>
            </w:r>
          </w:p>
        </w:tc>
      </w:tr>
      <w:tr w:rsidR="001B011C" w:rsidRPr="00E64431" w14:paraId="1DC6EC05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6495214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Skewness</w:t>
            </w:r>
          </w:p>
        </w:tc>
        <w:tc>
          <w:tcPr>
            <w:tcW w:w="2384" w:type="pct"/>
            <w:vAlign w:val="center"/>
            <w:hideMark/>
          </w:tcPr>
          <w:p w14:paraId="482A673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-0.41</w:t>
            </w:r>
          </w:p>
        </w:tc>
      </w:tr>
      <w:tr w:rsidR="001B011C" w:rsidRPr="00E64431" w14:paraId="42DFB676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73594E6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Kurtosis</w:t>
            </w:r>
          </w:p>
        </w:tc>
        <w:tc>
          <w:tcPr>
            <w:tcW w:w="2384" w:type="pct"/>
            <w:vAlign w:val="center"/>
            <w:hideMark/>
          </w:tcPr>
          <w:p w14:paraId="44210C3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2.89</w:t>
            </w:r>
          </w:p>
        </w:tc>
      </w:tr>
      <w:tr w:rsidR="001B011C" w:rsidRPr="00E64431" w14:paraId="36B497D1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1B67A41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Percentiles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:</w:t>
            </w:r>
          </w:p>
        </w:tc>
        <w:tc>
          <w:tcPr>
            <w:tcW w:w="2384" w:type="pct"/>
            <w:vAlign w:val="center"/>
            <w:hideMark/>
          </w:tcPr>
          <w:p w14:paraId="720EA3F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1555E4A1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4930EE3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10th</w:t>
            </w:r>
          </w:p>
        </w:tc>
        <w:tc>
          <w:tcPr>
            <w:tcW w:w="2384" w:type="pct"/>
            <w:vAlign w:val="center"/>
            <w:hideMark/>
          </w:tcPr>
          <w:p w14:paraId="752E894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32.00</w:t>
            </w:r>
          </w:p>
        </w:tc>
      </w:tr>
      <w:tr w:rsidR="001B011C" w:rsidRPr="00E64431" w14:paraId="292FD90A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1B30BB0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25th</w:t>
            </w:r>
          </w:p>
        </w:tc>
        <w:tc>
          <w:tcPr>
            <w:tcW w:w="2384" w:type="pct"/>
            <w:vAlign w:val="center"/>
            <w:hideMark/>
          </w:tcPr>
          <w:p w14:paraId="37829F8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46.00</w:t>
            </w:r>
          </w:p>
        </w:tc>
      </w:tr>
      <w:tr w:rsidR="001B011C" w:rsidRPr="00E64431" w14:paraId="7B193AE8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2BA60EE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75th</w:t>
            </w:r>
          </w:p>
        </w:tc>
        <w:tc>
          <w:tcPr>
            <w:tcW w:w="2384" w:type="pct"/>
            <w:vAlign w:val="center"/>
            <w:hideMark/>
          </w:tcPr>
          <w:p w14:paraId="1C97801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68.00</w:t>
            </w:r>
          </w:p>
        </w:tc>
      </w:tr>
      <w:tr w:rsidR="001B011C" w:rsidRPr="00E64431" w14:paraId="0F6AAF49" w14:textId="77777777" w:rsidTr="00C51D35">
        <w:trPr>
          <w:tblCellSpacing w:w="15" w:type="dxa"/>
        </w:trPr>
        <w:tc>
          <w:tcPr>
            <w:tcW w:w="2566" w:type="pct"/>
            <w:vAlign w:val="center"/>
            <w:hideMark/>
          </w:tcPr>
          <w:p w14:paraId="11F5C69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90th</w:t>
            </w:r>
          </w:p>
        </w:tc>
        <w:tc>
          <w:tcPr>
            <w:tcW w:w="2384" w:type="pct"/>
            <w:vAlign w:val="center"/>
            <w:hideMark/>
          </w:tcPr>
          <w:p w14:paraId="1CD0C03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77.00</w:t>
            </w:r>
          </w:p>
        </w:tc>
      </w:tr>
    </w:tbl>
    <w:p w14:paraId="0AD34AEE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Note: Financial well-being computed as sum of ten component indicators. N = 11,128.</w:t>
      </w:r>
    </w:p>
    <w:p w14:paraId="66EE43E8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>Source: Authors own analysis of EU-SILC data</w:t>
      </w:r>
    </w:p>
    <w:p w14:paraId="44BCDC84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3F210A0B" w14:textId="77777777" w:rsidR="00136CCA" w:rsidRPr="00E64431" w:rsidRDefault="00136CCA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1C649609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1766"/>
        <w:gridCol w:w="1799"/>
        <w:gridCol w:w="1643"/>
        <w:gridCol w:w="1525"/>
      </w:tblGrid>
      <w:tr w:rsidR="001B011C" w:rsidRPr="00E64431" w14:paraId="012D403D" w14:textId="77777777" w:rsidTr="00C51D35">
        <w:trPr>
          <w:tblHeader/>
          <w:tblCellSpacing w:w="15" w:type="dxa"/>
        </w:trPr>
        <w:tc>
          <w:tcPr>
            <w:tcW w:w="0" w:type="auto"/>
            <w:gridSpan w:val="5"/>
            <w:vAlign w:val="center"/>
          </w:tcPr>
          <w:p w14:paraId="59DCA83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Table 4: Factor Loadings After Varimax Rotation</w:t>
            </w:r>
          </w:p>
        </w:tc>
      </w:tr>
      <w:tr w:rsidR="001B011C" w:rsidRPr="00E64431" w14:paraId="7204E5F3" w14:textId="77777777" w:rsidTr="00C51D3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060ED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4375490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Factor 1</w:t>
            </w:r>
          </w:p>
        </w:tc>
        <w:tc>
          <w:tcPr>
            <w:tcW w:w="0" w:type="auto"/>
            <w:vAlign w:val="center"/>
            <w:hideMark/>
          </w:tcPr>
          <w:p w14:paraId="057F191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Factor 2</w:t>
            </w:r>
          </w:p>
        </w:tc>
        <w:tc>
          <w:tcPr>
            <w:tcW w:w="0" w:type="auto"/>
            <w:vAlign w:val="center"/>
            <w:hideMark/>
          </w:tcPr>
          <w:p w14:paraId="77F32E4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Factor 3</w:t>
            </w:r>
          </w:p>
        </w:tc>
        <w:tc>
          <w:tcPr>
            <w:tcW w:w="0" w:type="auto"/>
            <w:vAlign w:val="center"/>
            <w:hideMark/>
          </w:tcPr>
          <w:p w14:paraId="47430AD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Factor 4</w:t>
            </w:r>
          </w:p>
        </w:tc>
      </w:tr>
      <w:tr w:rsidR="001B011C" w:rsidRPr="00E64431" w14:paraId="3969606B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F68C6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4D75C98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Behaviours</w:t>
            </w:r>
          </w:p>
        </w:tc>
        <w:tc>
          <w:tcPr>
            <w:tcW w:w="0" w:type="auto"/>
            <w:vAlign w:val="center"/>
            <w:hideMark/>
          </w:tcPr>
          <w:p w14:paraId="3AC00B2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Satisfaction</w:t>
            </w:r>
          </w:p>
        </w:tc>
        <w:tc>
          <w:tcPr>
            <w:tcW w:w="0" w:type="auto"/>
            <w:vAlign w:val="center"/>
            <w:hideMark/>
          </w:tcPr>
          <w:p w14:paraId="7479380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Difficulty</w:t>
            </w:r>
          </w:p>
        </w:tc>
        <w:tc>
          <w:tcPr>
            <w:tcW w:w="0" w:type="auto"/>
            <w:vAlign w:val="center"/>
            <w:hideMark/>
          </w:tcPr>
          <w:p w14:paraId="6967425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Minimum Income</w:t>
            </w:r>
          </w:p>
        </w:tc>
      </w:tr>
      <w:tr w:rsidR="001B011C" w:rsidRPr="00E64431" w14:paraId="48E7565F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4CE0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Income_t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809E4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0.272</w:t>
            </w:r>
          </w:p>
        </w:tc>
        <w:tc>
          <w:tcPr>
            <w:tcW w:w="0" w:type="auto"/>
            <w:vAlign w:val="center"/>
            <w:hideMark/>
          </w:tcPr>
          <w:p w14:paraId="4444414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098887C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0.198</w:t>
            </w:r>
          </w:p>
        </w:tc>
        <w:tc>
          <w:tcPr>
            <w:tcW w:w="0" w:type="auto"/>
            <w:vAlign w:val="center"/>
            <w:hideMark/>
          </w:tcPr>
          <w:p w14:paraId="55CD880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781C20C3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E9435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Income_l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C94FB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0.166</w:t>
            </w:r>
          </w:p>
        </w:tc>
        <w:tc>
          <w:tcPr>
            <w:tcW w:w="0" w:type="auto"/>
            <w:vAlign w:val="center"/>
            <w:hideMark/>
          </w:tcPr>
          <w:p w14:paraId="4E04546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-0.126</w:t>
            </w:r>
          </w:p>
        </w:tc>
        <w:tc>
          <w:tcPr>
            <w:tcW w:w="0" w:type="auto"/>
            <w:vAlign w:val="center"/>
            <w:hideMark/>
          </w:tcPr>
          <w:p w14:paraId="1727F33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72A9D34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0.773</w:t>
            </w:r>
          </w:p>
        </w:tc>
      </w:tr>
      <w:tr w:rsidR="001B011C" w:rsidRPr="00E64431" w14:paraId="72C9DB2E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21D95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Debt_1</w:t>
            </w:r>
          </w:p>
        </w:tc>
        <w:tc>
          <w:tcPr>
            <w:tcW w:w="0" w:type="auto"/>
            <w:vAlign w:val="center"/>
            <w:hideMark/>
          </w:tcPr>
          <w:p w14:paraId="2F9BCC3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06F69CF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0.669</w:t>
            </w:r>
          </w:p>
        </w:tc>
        <w:tc>
          <w:tcPr>
            <w:tcW w:w="0" w:type="auto"/>
            <w:vAlign w:val="center"/>
            <w:hideMark/>
          </w:tcPr>
          <w:p w14:paraId="3DEFBB8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-0.145</w:t>
            </w:r>
          </w:p>
        </w:tc>
        <w:tc>
          <w:tcPr>
            <w:tcW w:w="0" w:type="auto"/>
            <w:vAlign w:val="center"/>
            <w:hideMark/>
          </w:tcPr>
          <w:p w14:paraId="30F99B5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0C0873BD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EA6DD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Debt_2</w:t>
            </w:r>
          </w:p>
        </w:tc>
        <w:tc>
          <w:tcPr>
            <w:tcW w:w="0" w:type="auto"/>
            <w:vAlign w:val="center"/>
            <w:hideMark/>
          </w:tcPr>
          <w:p w14:paraId="7084D44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32D1903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-0.134</w:t>
            </w:r>
          </w:p>
        </w:tc>
        <w:tc>
          <w:tcPr>
            <w:tcW w:w="0" w:type="auto"/>
            <w:vAlign w:val="center"/>
            <w:hideMark/>
          </w:tcPr>
          <w:p w14:paraId="2C95C2A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0.372</w:t>
            </w:r>
          </w:p>
        </w:tc>
        <w:tc>
          <w:tcPr>
            <w:tcW w:w="0" w:type="auto"/>
            <w:vAlign w:val="center"/>
            <w:hideMark/>
          </w:tcPr>
          <w:p w14:paraId="085A520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0.296</w:t>
            </w:r>
          </w:p>
        </w:tc>
      </w:tr>
      <w:tr w:rsidR="001B011C" w:rsidRPr="00E64431" w14:paraId="2672D515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4CD3C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Debt_3</w:t>
            </w:r>
          </w:p>
        </w:tc>
        <w:tc>
          <w:tcPr>
            <w:tcW w:w="0" w:type="auto"/>
            <w:vAlign w:val="center"/>
            <w:hideMark/>
          </w:tcPr>
          <w:p w14:paraId="0D665DE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0.518</w:t>
            </w:r>
          </w:p>
        </w:tc>
        <w:tc>
          <w:tcPr>
            <w:tcW w:w="0" w:type="auto"/>
            <w:vAlign w:val="center"/>
            <w:hideMark/>
          </w:tcPr>
          <w:p w14:paraId="2B2C44A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0.101</w:t>
            </w:r>
          </w:p>
        </w:tc>
        <w:tc>
          <w:tcPr>
            <w:tcW w:w="0" w:type="auto"/>
            <w:vAlign w:val="center"/>
            <w:hideMark/>
          </w:tcPr>
          <w:p w14:paraId="5C51775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3C5BBD1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0.327</w:t>
            </w:r>
          </w:p>
        </w:tc>
      </w:tr>
      <w:tr w:rsidR="001B011C" w:rsidRPr="00E64431" w14:paraId="555967A5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654E6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Debt_4</w:t>
            </w:r>
          </w:p>
        </w:tc>
        <w:tc>
          <w:tcPr>
            <w:tcW w:w="0" w:type="auto"/>
            <w:vAlign w:val="center"/>
            <w:hideMark/>
          </w:tcPr>
          <w:p w14:paraId="2F7DEC6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0.273</w:t>
            </w:r>
          </w:p>
        </w:tc>
        <w:tc>
          <w:tcPr>
            <w:tcW w:w="0" w:type="auto"/>
            <w:vAlign w:val="center"/>
            <w:hideMark/>
          </w:tcPr>
          <w:p w14:paraId="0CE4337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29965D1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0.751</w:t>
            </w:r>
          </w:p>
        </w:tc>
        <w:tc>
          <w:tcPr>
            <w:tcW w:w="0" w:type="auto"/>
            <w:vAlign w:val="center"/>
            <w:hideMark/>
          </w:tcPr>
          <w:p w14:paraId="087D98B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67AA3303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EA0EB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Saving_1</w:t>
            </w:r>
          </w:p>
        </w:tc>
        <w:tc>
          <w:tcPr>
            <w:tcW w:w="0" w:type="auto"/>
            <w:vAlign w:val="center"/>
            <w:hideMark/>
          </w:tcPr>
          <w:p w14:paraId="6B4454C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0.354</w:t>
            </w:r>
          </w:p>
        </w:tc>
        <w:tc>
          <w:tcPr>
            <w:tcW w:w="0" w:type="auto"/>
            <w:vAlign w:val="center"/>
            <w:hideMark/>
          </w:tcPr>
          <w:p w14:paraId="37755A9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0.388</w:t>
            </w:r>
          </w:p>
        </w:tc>
        <w:tc>
          <w:tcPr>
            <w:tcW w:w="0" w:type="auto"/>
            <w:vAlign w:val="center"/>
            <w:hideMark/>
          </w:tcPr>
          <w:p w14:paraId="2C2230D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36B8B95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306CB26F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73EB1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Saving_2</w:t>
            </w:r>
          </w:p>
        </w:tc>
        <w:tc>
          <w:tcPr>
            <w:tcW w:w="0" w:type="auto"/>
            <w:vAlign w:val="center"/>
            <w:hideMark/>
          </w:tcPr>
          <w:p w14:paraId="050E5B2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0.667</w:t>
            </w:r>
          </w:p>
        </w:tc>
        <w:tc>
          <w:tcPr>
            <w:tcW w:w="0" w:type="auto"/>
            <w:vAlign w:val="center"/>
            <w:hideMark/>
          </w:tcPr>
          <w:p w14:paraId="12CC78F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49491DE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0.101</w:t>
            </w:r>
          </w:p>
        </w:tc>
        <w:tc>
          <w:tcPr>
            <w:tcW w:w="0" w:type="auto"/>
            <w:vAlign w:val="center"/>
            <w:hideMark/>
          </w:tcPr>
          <w:p w14:paraId="150D0B0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0.118</w:t>
            </w:r>
          </w:p>
        </w:tc>
      </w:tr>
      <w:tr w:rsidR="001B011C" w:rsidRPr="00E64431" w14:paraId="35A0A5F0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060A3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Saving_3</w:t>
            </w:r>
          </w:p>
        </w:tc>
        <w:tc>
          <w:tcPr>
            <w:tcW w:w="0" w:type="auto"/>
            <w:vAlign w:val="center"/>
            <w:hideMark/>
          </w:tcPr>
          <w:p w14:paraId="63C2BB2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0.805</w:t>
            </w:r>
          </w:p>
        </w:tc>
        <w:tc>
          <w:tcPr>
            <w:tcW w:w="0" w:type="auto"/>
            <w:vAlign w:val="center"/>
            <w:hideMark/>
          </w:tcPr>
          <w:p w14:paraId="40933CA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6B89EEC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259A905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4BA5EA97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0AA87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Financial satisfaction</w:t>
            </w:r>
          </w:p>
        </w:tc>
        <w:tc>
          <w:tcPr>
            <w:tcW w:w="0" w:type="auto"/>
            <w:vAlign w:val="center"/>
            <w:hideMark/>
          </w:tcPr>
          <w:p w14:paraId="06EE245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0.120</w:t>
            </w:r>
          </w:p>
        </w:tc>
        <w:tc>
          <w:tcPr>
            <w:tcW w:w="0" w:type="auto"/>
            <w:vAlign w:val="center"/>
            <w:hideMark/>
          </w:tcPr>
          <w:p w14:paraId="78F402B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0.917</w:t>
            </w:r>
          </w:p>
        </w:tc>
        <w:tc>
          <w:tcPr>
            <w:tcW w:w="0" w:type="auto"/>
            <w:vAlign w:val="center"/>
            <w:hideMark/>
          </w:tcPr>
          <w:p w14:paraId="4419887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0" w:type="auto"/>
            <w:vAlign w:val="center"/>
            <w:hideMark/>
          </w:tcPr>
          <w:p w14:paraId="2295107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</w:tr>
      <w:tr w:rsidR="001B011C" w:rsidRPr="00E64431" w14:paraId="4FE62EA6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258DA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SS loadings</w:t>
            </w:r>
          </w:p>
        </w:tc>
        <w:tc>
          <w:tcPr>
            <w:tcW w:w="0" w:type="auto"/>
            <w:vAlign w:val="center"/>
            <w:hideMark/>
          </w:tcPr>
          <w:p w14:paraId="36B72D1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1.683</w:t>
            </w:r>
          </w:p>
        </w:tc>
        <w:tc>
          <w:tcPr>
            <w:tcW w:w="0" w:type="auto"/>
            <w:vAlign w:val="center"/>
            <w:hideMark/>
          </w:tcPr>
          <w:p w14:paraId="2C4A59E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1.500</w:t>
            </w:r>
          </w:p>
        </w:tc>
        <w:tc>
          <w:tcPr>
            <w:tcW w:w="0" w:type="auto"/>
            <w:vAlign w:val="center"/>
            <w:hideMark/>
          </w:tcPr>
          <w:p w14:paraId="3B6888E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0.819</w:t>
            </w:r>
          </w:p>
        </w:tc>
        <w:tc>
          <w:tcPr>
            <w:tcW w:w="0" w:type="auto"/>
            <w:vAlign w:val="center"/>
            <w:hideMark/>
          </w:tcPr>
          <w:p w14:paraId="3458DB6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0.779</w:t>
            </w:r>
          </w:p>
        </w:tc>
      </w:tr>
      <w:tr w:rsidR="001B011C" w:rsidRPr="00E64431" w14:paraId="03BA38C9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98788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Proportion Var</w:t>
            </w:r>
          </w:p>
        </w:tc>
        <w:tc>
          <w:tcPr>
            <w:tcW w:w="0" w:type="auto"/>
            <w:vAlign w:val="center"/>
            <w:hideMark/>
          </w:tcPr>
          <w:p w14:paraId="1054FEA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0.168</w:t>
            </w:r>
          </w:p>
        </w:tc>
        <w:tc>
          <w:tcPr>
            <w:tcW w:w="0" w:type="auto"/>
            <w:vAlign w:val="center"/>
            <w:hideMark/>
          </w:tcPr>
          <w:p w14:paraId="27B93EA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0.150</w:t>
            </w:r>
          </w:p>
        </w:tc>
        <w:tc>
          <w:tcPr>
            <w:tcW w:w="0" w:type="auto"/>
            <w:vAlign w:val="center"/>
            <w:hideMark/>
          </w:tcPr>
          <w:p w14:paraId="08A66B0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0.082</w:t>
            </w:r>
          </w:p>
        </w:tc>
        <w:tc>
          <w:tcPr>
            <w:tcW w:w="0" w:type="auto"/>
            <w:vAlign w:val="center"/>
            <w:hideMark/>
          </w:tcPr>
          <w:p w14:paraId="7364F93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0.078</w:t>
            </w:r>
          </w:p>
        </w:tc>
      </w:tr>
      <w:tr w:rsidR="001B011C" w:rsidRPr="00E64431" w14:paraId="4449911F" w14:textId="77777777" w:rsidTr="00C51D3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211D4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Cumulative Var</w:t>
            </w:r>
          </w:p>
        </w:tc>
        <w:tc>
          <w:tcPr>
            <w:tcW w:w="0" w:type="auto"/>
            <w:vAlign w:val="center"/>
            <w:hideMark/>
          </w:tcPr>
          <w:p w14:paraId="036E329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0.168</w:t>
            </w:r>
          </w:p>
        </w:tc>
        <w:tc>
          <w:tcPr>
            <w:tcW w:w="0" w:type="auto"/>
            <w:vAlign w:val="center"/>
            <w:hideMark/>
          </w:tcPr>
          <w:p w14:paraId="3596E0D5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0.318</w:t>
            </w:r>
          </w:p>
        </w:tc>
        <w:tc>
          <w:tcPr>
            <w:tcW w:w="0" w:type="auto"/>
            <w:vAlign w:val="center"/>
            <w:hideMark/>
          </w:tcPr>
          <w:p w14:paraId="783C246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0.400</w:t>
            </w:r>
          </w:p>
        </w:tc>
        <w:tc>
          <w:tcPr>
            <w:tcW w:w="0" w:type="auto"/>
            <w:vAlign w:val="center"/>
            <w:hideMark/>
          </w:tcPr>
          <w:p w14:paraId="364D087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0.478</w:t>
            </w:r>
          </w:p>
        </w:tc>
      </w:tr>
    </w:tbl>
    <w:p w14:paraId="55512355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 xml:space="preserve">Note: Loadings ≥0.40 in bold. Blank cells indicate loadings below reporting threshold. Test of the hypothesis that 4 factors are sufficient: χ² = 111.79, </w:t>
      </w:r>
      <w:proofErr w:type="spellStart"/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df</w:t>
      </w:r>
      <w:proofErr w:type="spellEnd"/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 xml:space="preserve"> = 11, p = 8.05e-19.</w:t>
      </w:r>
    </w:p>
    <w:p w14:paraId="24C56240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>Source: Authors own analysis of EU-SILC data</w:t>
      </w:r>
    </w:p>
    <w:p w14:paraId="4356FA15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141C4E13" w14:textId="77777777" w:rsidR="001B011C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92513CC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7DEF038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3A35469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02A1C41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4F2736D" w14:textId="77777777" w:rsidR="00E64431" w:rsidRP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3"/>
        <w:gridCol w:w="2049"/>
        <w:gridCol w:w="1743"/>
        <w:gridCol w:w="1419"/>
        <w:gridCol w:w="1632"/>
      </w:tblGrid>
      <w:tr w:rsidR="001B011C" w:rsidRPr="00E64431" w14:paraId="691557C0" w14:textId="77777777" w:rsidTr="00C51D35">
        <w:trPr>
          <w:tblHeader/>
          <w:tblCellSpacing w:w="15" w:type="dxa"/>
        </w:trPr>
        <w:tc>
          <w:tcPr>
            <w:tcW w:w="4967" w:type="pct"/>
            <w:gridSpan w:val="5"/>
            <w:vAlign w:val="center"/>
          </w:tcPr>
          <w:p w14:paraId="7AC4C06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lastRenderedPageBreak/>
              <w:t>Table 5: PLS-SEM Path Coefficients</w:t>
            </w:r>
          </w:p>
        </w:tc>
      </w:tr>
      <w:tr w:rsidR="001B011C" w:rsidRPr="00E64431" w14:paraId="5A288813" w14:textId="77777777" w:rsidTr="00C51D35">
        <w:trPr>
          <w:tblHeader/>
          <w:tblCellSpacing w:w="15" w:type="dxa"/>
        </w:trPr>
        <w:tc>
          <w:tcPr>
            <w:tcW w:w="1201" w:type="pct"/>
            <w:vAlign w:val="center"/>
            <w:hideMark/>
          </w:tcPr>
          <w:p w14:paraId="72D44D2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Path</w:t>
            </w:r>
          </w:p>
        </w:tc>
        <w:tc>
          <w:tcPr>
            <w:tcW w:w="1133" w:type="pct"/>
            <w:vAlign w:val="center"/>
            <w:hideMark/>
          </w:tcPr>
          <w:p w14:paraId="55A1647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Coefficient</w:t>
            </w:r>
          </w:p>
        </w:tc>
        <w:tc>
          <w:tcPr>
            <w:tcW w:w="962" w:type="pct"/>
            <w:vAlign w:val="center"/>
            <w:hideMark/>
          </w:tcPr>
          <w:p w14:paraId="2B979D7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t-statistic</w:t>
            </w:r>
          </w:p>
        </w:tc>
        <w:tc>
          <w:tcPr>
            <w:tcW w:w="780" w:type="pct"/>
            <w:vAlign w:val="center"/>
            <w:hideMark/>
          </w:tcPr>
          <w:p w14:paraId="7280CA9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p-value</w:t>
            </w:r>
          </w:p>
        </w:tc>
        <w:tc>
          <w:tcPr>
            <w:tcW w:w="824" w:type="pct"/>
            <w:vAlign w:val="center"/>
            <w:hideMark/>
          </w:tcPr>
          <w:p w14:paraId="51E85C4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95% CI</w:t>
            </w:r>
          </w:p>
        </w:tc>
      </w:tr>
      <w:tr w:rsidR="001B011C" w:rsidRPr="00E64431" w14:paraId="11D5E39E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5FF925E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</w:p>
        </w:tc>
        <w:tc>
          <w:tcPr>
            <w:tcW w:w="1133" w:type="pct"/>
            <w:vAlign w:val="center"/>
            <w:hideMark/>
          </w:tcPr>
          <w:p w14:paraId="7430096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962" w:type="pct"/>
            <w:vAlign w:val="center"/>
            <w:hideMark/>
          </w:tcPr>
          <w:p w14:paraId="71E673C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780" w:type="pct"/>
            <w:vAlign w:val="center"/>
            <w:hideMark/>
          </w:tcPr>
          <w:p w14:paraId="30F3DFA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824" w:type="pct"/>
            <w:vAlign w:val="center"/>
            <w:hideMark/>
          </w:tcPr>
          <w:p w14:paraId="16D8AF9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Lower</w:t>
            </w:r>
          </w:p>
        </w:tc>
      </w:tr>
      <w:tr w:rsidR="001B011C" w:rsidRPr="00E64431" w14:paraId="1EA6F79B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5589E61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FB → FWB</w:t>
            </w:r>
          </w:p>
        </w:tc>
        <w:tc>
          <w:tcPr>
            <w:tcW w:w="1133" w:type="pct"/>
            <w:vAlign w:val="center"/>
            <w:hideMark/>
          </w:tcPr>
          <w:p w14:paraId="264DA57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4.29</w:t>
            </w:r>
          </w:p>
        </w:tc>
        <w:tc>
          <w:tcPr>
            <w:tcW w:w="962" w:type="pct"/>
            <w:vAlign w:val="center"/>
            <w:hideMark/>
          </w:tcPr>
          <w:p w14:paraId="0BD202F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94.75</w:t>
            </w:r>
          </w:p>
        </w:tc>
        <w:tc>
          <w:tcPr>
            <w:tcW w:w="780" w:type="pct"/>
            <w:vAlign w:val="center"/>
            <w:hideMark/>
          </w:tcPr>
          <w:p w14:paraId="12C8F98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431884A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4.21</w:t>
            </w:r>
          </w:p>
        </w:tc>
      </w:tr>
      <w:tr w:rsidR="001B011C" w:rsidRPr="00E64431" w14:paraId="2E66EAE6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0675BA79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FD → FWB</w:t>
            </w:r>
          </w:p>
        </w:tc>
        <w:tc>
          <w:tcPr>
            <w:tcW w:w="1133" w:type="pct"/>
            <w:vAlign w:val="center"/>
            <w:hideMark/>
          </w:tcPr>
          <w:p w14:paraId="6D7F5A2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-2.69</w:t>
            </w:r>
          </w:p>
        </w:tc>
        <w:tc>
          <w:tcPr>
            <w:tcW w:w="962" w:type="pct"/>
            <w:vAlign w:val="center"/>
            <w:hideMark/>
          </w:tcPr>
          <w:p w14:paraId="49B315E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-57.66</w:t>
            </w:r>
          </w:p>
        </w:tc>
        <w:tc>
          <w:tcPr>
            <w:tcW w:w="780" w:type="pct"/>
            <w:vAlign w:val="center"/>
            <w:hideMark/>
          </w:tcPr>
          <w:p w14:paraId="765B7F7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2F3564C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-2.78</w:t>
            </w:r>
          </w:p>
        </w:tc>
      </w:tr>
      <w:tr w:rsidR="001B011C" w:rsidRPr="00E64431" w14:paraId="75D77012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3D4E488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FS → FWB</w:t>
            </w:r>
          </w:p>
        </w:tc>
        <w:tc>
          <w:tcPr>
            <w:tcW w:w="1133" w:type="pct"/>
            <w:vAlign w:val="center"/>
            <w:hideMark/>
          </w:tcPr>
          <w:p w14:paraId="7F414E1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2.95</w:t>
            </w:r>
          </w:p>
        </w:tc>
        <w:tc>
          <w:tcPr>
            <w:tcW w:w="962" w:type="pct"/>
            <w:vAlign w:val="center"/>
            <w:hideMark/>
          </w:tcPr>
          <w:p w14:paraId="075E9E0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85.43</w:t>
            </w:r>
          </w:p>
        </w:tc>
        <w:tc>
          <w:tcPr>
            <w:tcW w:w="780" w:type="pct"/>
            <w:vAlign w:val="center"/>
            <w:hideMark/>
          </w:tcPr>
          <w:p w14:paraId="53E1572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06DA0AA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2.88</w:t>
            </w:r>
          </w:p>
        </w:tc>
      </w:tr>
      <w:tr w:rsidR="001B011C" w:rsidRPr="00E64431" w14:paraId="6784A0E3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64F366B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FT → FWB</w:t>
            </w:r>
          </w:p>
        </w:tc>
        <w:tc>
          <w:tcPr>
            <w:tcW w:w="1133" w:type="pct"/>
            <w:vAlign w:val="center"/>
            <w:hideMark/>
          </w:tcPr>
          <w:p w14:paraId="68B83DD7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0.0022</w:t>
            </w:r>
          </w:p>
        </w:tc>
        <w:tc>
          <w:tcPr>
            <w:tcW w:w="962" w:type="pct"/>
            <w:vAlign w:val="center"/>
            <w:hideMark/>
          </w:tcPr>
          <w:p w14:paraId="7F29464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0.04</w:t>
            </w:r>
          </w:p>
        </w:tc>
        <w:tc>
          <w:tcPr>
            <w:tcW w:w="780" w:type="pct"/>
            <w:vAlign w:val="center"/>
            <w:hideMark/>
          </w:tcPr>
          <w:p w14:paraId="6D79340E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0.969</w:t>
            </w:r>
          </w:p>
        </w:tc>
        <w:tc>
          <w:tcPr>
            <w:tcW w:w="824" w:type="pct"/>
            <w:vAlign w:val="center"/>
            <w:hideMark/>
          </w:tcPr>
          <w:p w14:paraId="5DCEF47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-0.07</w:t>
            </w:r>
          </w:p>
        </w:tc>
      </w:tr>
      <w:tr w:rsidR="001B011C" w:rsidRPr="00E64431" w14:paraId="4CEFD5B4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661D1EB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MI → FWB</w:t>
            </w:r>
          </w:p>
        </w:tc>
        <w:tc>
          <w:tcPr>
            <w:tcW w:w="1133" w:type="pct"/>
            <w:vAlign w:val="center"/>
            <w:hideMark/>
          </w:tcPr>
          <w:p w14:paraId="0631700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-1.36</w:t>
            </w:r>
          </w:p>
        </w:tc>
        <w:tc>
          <w:tcPr>
            <w:tcW w:w="962" w:type="pct"/>
            <w:vAlign w:val="center"/>
            <w:hideMark/>
          </w:tcPr>
          <w:p w14:paraId="31A2E8C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-29.11</w:t>
            </w:r>
          </w:p>
        </w:tc>
        <w:tc>
          <w:tcPr>
            <w:tcW w:w="780" w:type="pct"/>
            <w:vAlign w:val="center"/>
            <w:hideMark/>
          </w:tcPr>
          <w:p w14:paraId="51C8CAE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1F1D952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-1.45</w:t>
            </w:r>
          </w:p>
        </w:tc>
      </w:tr>
      <w:tr w:rsidR="001B011C" w:rsidRPr="00E64431" w14:paraId="11A54928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27E640B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FT → FB</w:t>
            </w:r>
          </w:p>
        </w:tc>
        <w:tc>
          <w:tcPr>
            <w:tcW w:w="1133" w:type="pct"/>
            <w:vAlign w:val="center"/>
            <w:hideMark/>
          </w:tcPr>
          <w:p w14:paraId="474E978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0.646</w:t>
            </w:r>
          </w:p>
        </w:tc>
        <w:tc>
          <w:tcPr>
            <w:tcW w:w="962" w:type="pct"/>
            <w:vAlign w:val="center"/>
            <w:hideMark/>
          </w:tcPr>
          <w:p w14:paraId="2D1731F1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82.45</w:t>
            </w:r>
          </w:p>
        </w:tc>
        <w:tc>
          <w:tcPr>
            <w:tcW w:w="780" w:type="pct"/>
            <w:vAlign w:val="center"/>
            <w:hideMark/>
          </w:tcPr>
          <w:p w14:paraId="6DE3AA9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52152E7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0.631</w:t>
            </w:r>
          </w:p>
        </w:tc>
      </w:tr>
      <w:tr w:rsidR="001B011C" w:rsidRPr="00E64431" w14:paraId="54193D0A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0CF42B8C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FT → FS</w:t>
            </w:r>
          </w:p>
        </w:tc>
        <w:tc>
          <w:tcPr>
            <w:tcW w:w="1133" w:type="pct"/>
            <w:vAlign w:val="center"/>
            <w:hideMark/>
          </w:tcPr>
          <w:p w14:paraId="0E374D30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0.668</w:t>
            </w:r>
          </w:p>
        </w:tc>
        <w:tc>
          <w:tcPr>
            <w:tcW w:w="962" w:type="pct"/>
            <w:vAlign w:val="center"/>
            <w:hideMark/>
          </w:tcPr>
          <w:p w14:paraId="7A98EE2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89.76</w:t>
            </w:r>
          </w:p>
        </w:tc>
        <w:tc>
          <w:tcPr>
            <w:tcW w:w="780" w:type="pct"/>
            <w:vAlign w:val="center"/>
            <w:hideMark/>
          </w:tcPr>
          <w:p w14:paraId="57F5EF9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10F64DF4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0.654</w:t>
            </w:r>
          </w:p>
        </w:tc>
      </w:tr>
      <w:tr w:rsidR="001B011C" w:rsidRPr="00E64431" w14:paraId="11795FD7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674799B3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FT → FD</w:t>
            </w:r>
          </w:p>
        </w:tc>
        <w:tc>
          <w:tcPr>
            <w:tcW w:w="1133" w:type="pct"/>
            <w:vAlign w:val="center"/>
            <w:hideMark/>
          </w:tcPr>
          <w:p w14:paraId="40E0458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-0.421</w:t>
            </w:r>
          </w:p>
        </w:tc>
        <w:tc>
          <w:tcPr>
            <w:tcW w:w="962" w:type="pct"/>
            <w:vAlign w:val="center"/>
            <w:hideMark/>
          </w:tcPr>
          <w:p w14:paraId="76D88CFB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-43.28</w:t>
            </w:r>
          </w:p>
        </w:tc>
        <w:tc>
          <w:tcPr>
            <w:tcW w:w="780" w:type="pct"/>
            <w:vAlign w:val="center"/>
            <w:hideMark/>
          </w:tcPr>
          <w:p w14:paraId="6CA56ED2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21994F06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-0.440</w:t>
            </w:r>
          </w:p>
        </w:tc>
      </w:tr>
      <w:tr w:rsidR="001B011C" w:rsidRPr="00E64431" w14:paraId="3A487C79" w14:textId="77777777" w:rsidTr="00C51D35">
        <w:trPr>
          <w:tblCellSpacing w:w="15" w:type="dxa"/>
        </w:trPr>
        <w:tc>
          <w:tcPr>
            <w:tcW w:w="1201" w:type="pct"/>
            <w:vAlign w:val="center"/>
            <w:hideMark/>
          </w:tcPr>
          <w:p w14:paraId="785E7998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FT → MI</w:t>
            </w:r>
          </w:p>
        </w:tc>
        <w:tc>
          <w:tcPr>
            <w:tcW w:w="1133" w:type="pct"/>
            <w:vAlign w:val="center"/>
            <w:hideMark/>
          </w:tcPr>
          <w:p w14:paraId="5B6BA8C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-0.133</w:t>
            </w:r>
          </w:p>
        </w:tc>
        <w:tc>
          <w:tcPr>
            <w:tcW w:w="962" w:type="pct"/>
            <w:vAlign w:val="center"/>
            <w:hideMark/>
          </w:tcPr>
          <w:p w14:paraId="4C372EDD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-11.69</w:t>
            </w:r>
          </w:p>
        </w:tc>
        <w:tc>
          <w:tcPr>
            <w:tcW w:w="780" w:type="pct"/>
            <w:vAlign w:val="center"/>
            <w:hideMark/>
          </w:tcPr>
          <w:p w14:paraId="7C0DBA2F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&lt;0.001</w:t>
            </w:r>
          </w:p>
        </w:tc>
        <w:tc>
          <w:tcPr>
            <w:tcW w:w="824" w:type="pct"/>
            <w:vAlign w:val="center"/>
            <w:hideMark/>
          </w:tcPr>
          <w:p w14:paraId="35AC9E7A" w14:textId="77777777" w:rsidR="001B011C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-0.155</w:t>
            </w:r>
          </w:p>
        </w:tc>
      </w:tr>
    </w:tbl>
    <w:p w14:paraId="09DBF2BF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Note: Bootstrap standard errors with 5,000 resamples. FB = Financial Behaviours, FD = Financial Difficulty, FS = Financial Satisfaction, FT = Financial Technology, MI = Minimum Income, FWB = Financial Well-Being.</w:t>
      </w:r>
    </w:p>
    <w:p w14:paraId="55FC331F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>Source: Authors own analysis of EU-SILC data</w:t>
      </w:r>
    </w:p>
    <w:p w14:paraId="47420CC5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4BF0B99B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6D0D598E" w14:textId="77777777" w:rsidR="001B011C" w:rsidRPr="00E64431" w:rsidRDefault="001B011C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tbl>
      <w:tblPr>
        <w:tblStyle w:val="TableGrid1"/>
        <w:tblW w:w="9234" w:type="dxa"/>
        <w:tblLayout w:type="fixed"/>
        <w:tblLook w:val="04A0" w:firstRow="1" w:lastRow="0" w:firstColumn="1" w:lastColumn="0" w:noHBand="0" w:noVBand="1"/>
      </w:tblPr>
      <w:tblGrid>
        <w:gridCol w:w="866"/>
        <w:gridCol w:w="1016"/>
        <w:gridCol w:w="1161"/>
        <w:gridCol w:w="871"/>
        <w:gridCol w:w="870"/>
        <w:gridCol w:w="1161"/>
        <w:gridCol w:w="1307"/>
        <w:gridCol w:w="1016"/>
        <w:gridCol w:w="966"/>
      </w:tblGrid>
      <w:tr w:rsidR="001B011C" w:rsidRPr="00E64431" w14:paraId="6BDA9FD6" w14:textId="77777777" w:rsidTr="00C51D35">
        <w:trPr>
          <w:trHeight w:val="282"/>
        </w:trPr>
        <w:tc>
          <w:tcPr>
            <w:tcW w:w="9234" w:type="dxa"/>
            <w:gridSpan w:val="9"/>
            <w:shd w:val="clear" w:color="auto" w:fill="auto"/>
          </w:tcPr>
          <w:p w14:paraId="34318C2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6: </w:t>
            </w: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Gender Differences - Levene's Test and t-test</w:t>
            </w:r>
          </w:p>
        </w:tc>
      </w:tr>
      <w:tr w:rsidR="001B011C" w:rsidRPr="00E64431" w14:paraId="0D691898" w14:textId="77777777" w:rsidTr="00C51D35">
        <w:trPr>
          <w:trHeight w:val="623"/>
        </w:trPr>
        <w:tc>
          <w:tcPr>
            <w:tcW w:w="866" w:type="dxa"/>
            <w:vMerge w:val="restart"/>
            <w:shd w:val="clear" w:color="auto" w:fill="auto"/>
          </w:tcPr>
          <w:p w14:paraId="3D32D59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2177" w:type="dxa"/>
            <w:gridSpan w:val="2"/>
            <w:shd w:val="clear" w:color="auto" w:fill="auto"/>
          </w:tcPr>
          <w:p w14:paraId="6239F86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Levene’s Test for Equality of Variables</w:t>
            </w:r>
          </w:p>
        </w:tc>
        <w:tc>
          <w:tcPr>
            <w:tcW w:w="6191" w:type="dxa"/>
            <w:gridSpan w:val="6"/>
            <w:shd w:val="clear" w:color="auto" w:fill="auto"/>
          </w:tcPr>
          <w:p w14:paraId="64FC21E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  <w:p w14:paraId="37AD462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t-Test for Equality of Mean</w:t>
            </w:r>
          </w:p>
        </w:tc>
      </w:tr>
      <w:tr w:rsidR="001B011C" w:rsidRPr="00E64431" w14:paraId="01195AB1" w14:textId="77777777" w:rsidTr="00C51D35">
        <w:trPr>
          <w:trHeight w:val="166"/>
        </w:trPr>
        <w:tc>
          <w:tcPr>
            <w:tcW w:w="866" w:type="dxa"/>
            <w:vMerge/>
            <w:shd w:val="clear" w:color="auto" w:fill="auto"/>
          </w:tcPr>
          <w:p w14:paraId="13E12B3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016" w:type="dxa"/>
            <w:vMerge w:val="restart"/>
            <w:shd w:val="clear" w:color="auto" w:fill="auto"/>
          </w:tcPr>
          <w:p w14:paraId="4043354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</w:t>
            </w:r>
          </w:p>
        </w:tc>
        <w:tc>
          <w:tcPr>
            <w:tcW w:w="1161" w:type="dxa"/>
            <w:vMerge w:val="restart"/>
            <w:shd w:val="clear" w:color="auto" w:fill="auto"/>
          </w:tcPr>
          <w:p w14:paraId="6D5F679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871" w:type="dxa"/>
            <w:vMerge w:val="restart"/>
            <w:shd w:val="clear" w:color="auto" w:fill="auto"/>
          </w:tcPr>
          <w:p w14:paraId="0014F4C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</w:t>
            </w:r>
          </w:p>
        </w:tc>
        <w:tc>
          <w:tcPr>
            <w:tcW w:w="870" w:type="dxa"/>
            <w:vMerge w:val="restart"/>
            <w:shd w:val="clear" w:color="auto" w:fill="auto"/>
          </w:tcPr>
          <w:p w14:paraId="3F002F1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proofErr w:type="spellStart"/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df</w:t>
            </w:r>
            <w:proofErr w:type="spellEnd"/>
          </w:p>
        </w:tc>
        <w:tc>
          <w:tcPr>
            <w:tcW w:w="1161" w:type="dxa"/>
            <w:vMerge w:val="restart"/>
            <w:shd w:val="clear" w:color="auto" w:fill="auto"/>
          </w:tcPr>
          <w:p w14:paraId="051C792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1307" w:type="dxa"/>
            <w:vMerge w:val="restart"/>
            <w:shd w:val="clear" w:color="auto" w:fill="auto"/>
          </w:tcPr>
          <w:p w14:paraId="306099D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Mean difference</w:t>
            </w:r>
          </w:p>
        </w:tc>
        <w:tc>
          <w:tcPr>
            <w:tcW w:w="1982" w:type="dxa"/>
            <w:gridSpan w:val="2"/>
            <w:shd w:val="clear" w:color="auto" w:fill="auto"/>
          </w:tcPr>
          <w:p w14:paraId="04F9E02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95% CI</w:t>
            </w:r>
          </w:p>
        </w:tc>
      </w:tr>
      <w:tr w:rsidR="001B011C" w:rsidRPr="00E64431" w14:paraId="0E6796BE" w14:textId="77777777" w:rsidTr="00C51D35">
        <w:trPr>
          <w:trHeight w:val="166"/>
        </w:trPr>
        <w:tc>
          <w:tcPr>
            <w:tcW w:w="866" w:type="dxa"/>
            <w:vMerge/>
            <w:shd w:val="clear" w:color="auto" w:fill="auto"/>
          </w:tcPr>
          <w:p w14:paraId="44B8EAF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016" w:type="dxa"/>
            <w:vMerge/>
            <w:shd w:val="clear" w:color="auto" w:fill="auto"/>
          </w:tcPr>
          <w:p w14:paraId="051A646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608A15C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14:paraId="2C72A87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870" w:type="dxa"/>
            <w:vMerge/>
            <w:shd w:val="clear" w:color="auto" w:fill="auto"/>
          </w:tcPr>
          <w:p w14:paraId="45B5E56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6E2D6F4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14:paraId="6013346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016" w:type="dxa"/>
            <w:shd w:val="clear" w:color="auto" w:fill="auto"/>
          </w:tcPr>
          <w:p w14:paraId="5BCF7C5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Low</w:t>
            </w:r>
          </w:p>
        </w:tc>
        <w:tc>
          <w:tcPr>
            <w:tcW w:w="966" w:type="dxa"/>
            <w:shd w:val="clear" w:color="auto" w:fill="auto"/>
          </w:tcPr>
          <w:p w14:paraId="41E1CC4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High</w:t>
            </w:r>
          </w:p>
        </w:tc>
      </w:tr>
      <w:tr w:rsidR="001B011C" w:rsidRPr="00E64431" w14:paraId="63DC451F" w14:textId="77777777" w:rsidTr="00C51D35">
        <w:trPr>
          <w:trHeight w:val="311"/>
        </w:trPr>
        <w:tc>
          <w:tcPr>
            <w:tcW w:w="866" w:type="dxa"/>
            <w:shd w:val="clear" w:color="auto" w:fill="auto"/>
          </w:tcPr>
          <w:p w14:paraId="370EB8A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FWB</w:t>
            </w:r>
          </w:p>
        </w:tc>
        <w:tc>
          <w:tcPr>
            <w:tcW w:w="1016" w:type="dxa"/>
            <w:shd w:val="clear" w:color="auto" w:fill="auto"/>
          </w:tcPr>
          <w:p w14:paraId="4ACF09B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0.501</w:t>
            </w:r>
          </w:p>
        </w:tc>
        <w:tc>
          <w:tcPr>
            <w:tcW w:w="1161" w:type="dxa"/>
            <w:shd w:val="clear" w:color="auto" w:fill="auto"/>
          </w:tcPr>
          <w:p w14:paraId="03B518B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871" w:type="dxa"/>
            <w:shd w:val="clear" w:color="auto" w:fill="auto"/>
          </w:tcPr>
          <w:p w14:paraId="5581C66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870" w:type="dxa"/>
            <w:shd w:val="clear" w:color="auto" w:fill="auto"/>
          </w:tcPr>
          <w:p w14:paraId="6EA601E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61" w:type="dxa"/>
            <w:shd w:val="clear" w:color="auto" w:fill="auto"/>
          </w:tcPr>
          <w:p w14:paraId="71A532D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0.191</w:t>
            </w:r>
          </w:p>
        </w:tc>
        <w:tc>
          <w:tcPr>
            <w:tcW w:w="1307" w:type="dxa"/>
            <w:shd w:val="clear" w:color="auto" w:fill="auto"/>
          </w:tcPr>
          <w:p w14:paraId="699B8C0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0.0248</w:t>
            </w:r>
          </w:p>
        </w:tc>
        <w:tc>
          <w:tcPr>
            <w:tcW w:w="1016" w:type="dxa"/>
            <w:shd w:val="clear" w:color="auto" w:fill="auto"/>
          </w:tcPr>
          <w:p w14:paraId="0F57345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-0.0124</w:t>
            </w:r>
          </w:p>
        </w:tc>
        <w:tc>
          <w:tcPr>
            <w:tcW w:w="966" w:type="dxa"/>
            <w:shd w:val="clear" w:color="auto" w:fill="auto"/>
          </w:tcPr>
          <w:p w14:paraId="1F7EF07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0.0619</w:t>
            </w:r>
          </w:p>
        </w:tc>
      </w:tr>
      <w:tr w:rsidR="001B011C" w:rsidRPr="00E64431" w14:paraId="666F6995" w14:textId="77777777" w:rsidTr="00C51D35">
        <w:trPr>
          <w:trHeight w:val="311"/>
        </w:trPr>
        <w:tc>
          <w:tcPr>
            <w:tcW w:w="866" w:type="dxa"/>
            <w:shd w:val="clear" w:color="auto" w:fill="auto"/>
          </w:tcPr>
          <w:p w14:paraId="1454971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FB</w:t>
            </w:r>
          </w:p>
        </w:tc>
        <w:tc>
          <w:tcPr>
            <w:tcW w:w="1016" w:type="dxa"/>
            <w:shd w:val="clear" w:color="auto" w:fill="auto"/>
          </w:tcPr>
          <w:p w14:paraId="0C345B1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161" w:type="dxa"/>
            <w:shd w:val="clear" w:color="auto" w:fill="auto"/>
          </w:tcPr>
          <w:p w14:paraId="4F975B1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0.00243</w:t>
            </w:r>
          </w:p>
        </w:tc>
        <w:tc>
          <w:tcPr>
            <w:tcW w:w="871" w:type="dxa"/>
            <w:shd w:val="clear" w:color="auto" w:fill="FFFFFF" w:themeFill="background1"/>
          </w:tcPr>
          <w:p w14:paraId="7C8F7EF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-3.06</w:t>
            </w:r>
          </w:p>
        </w:tc>
        <w:tc>
          <w:tcPr>
            <w:tcW w:w="870" w:type="dxa"/>
            <w:shd w:val="clear" w:color="auto" w:fill="auto"/>
          </w:tcPr>
          <w:p w14:paraId="2806A73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61" w:type="dxa"/>
            <w:shd w:val="clear" w:color="auto" w:fill="auto"/>
          </w:tcPr>
          <w:p w14:paraId="224AC36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2.25e- 3</w:t>
            </w:r>
          </w:p>
        </w:tc>
        <w:tc>
          <w:tcPr>
            <w:tcW w:w="1307" w:type="dxa"/>
            <w:shd w:val="clear" w:color="auto" w:fill="auto"/>
          </w:tcPr>
          <w:p w14:paraId="2936092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-0.0579</w:t>
            </w:r>
          </w:p>
        </w:tc>
        <w:tc>
          <w:tcPr>
            <w:tcW w:w="1016" w:type="dxa"/>
            <w:shd w:val="clear" w:color="auto" w:fill="auto"/>
          </w:tcPr>
          <w:p w14:paraId="1909D76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-0.0951</w:t>
            </w:r>
          </w:p>
        </w:tc>
        <w:tc>
          <w:tcPr>
            <w:tcW w:w="966" w:type="dxa"/>
            <w:shd w:val="clear" w:color="auto" w:fill="auto"/>
          </w:tcPr>
          <w:p w14:paraId="2998CFF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-0.0208</w:t>
            </w:r>
          </w:p>
        </w:tc>
      </w:tr>
      <w:tr w:rsidR="001B011C" w:rsidRPr="00E64431" w14:paraId="6BE4B803" w14:textId="77777777" w:rsidTr="00C51D35">
        <w:trPr>
          <w:trHeight w:val="311"/>
        </w:trPr>
        <w:tc>
          <w:tcPr>
            <w:tcW w:w="866" w:type="dxa"/>
            <w:shd w:val="clear" w:color="auto" w:fill="auto"/>
          </w:tcPr>
          <w:p w14:paraId="5B32691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FS</w:t>
            </w:r>
          </w:p>
        </w:tc>
        <w:tc>
          <w:tcPr>
            <w:tcW w:w="1016" w:type="dxa"/>
            <w:shd w:val="clear" w:color="auto" w:fill="auto"/>
          </w:tcPr>
          <w:p w14:paraId="37F5BF9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21.9</w:t>
            </w:r>
          </w:p>
        </w:tc>
        <w:tc>
          <w:tcPr>
            <w:tcW w:w="1161" w:type="dxa"/>
            <w:shd w:val="clear" w:color="auto" w:fill="auto"/>
          </w:tcPr>
          <w:p w14:paraId="69C4CF5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0.000003</w:t>
            </w:r>
          </w:p>
        </w:tc>
        <w:tc>
          <w:tcPr>
            <w:tcW w:w="871" w:type="dxa"/>
            <w:shd w:val="clear" w:color="auto" w:fill="FFFFFF" w:themeFill="background1"/>
          </w:tcPr>
          <w:p w14:paraId="3E53064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7.21</w:t>
            </w:r>
          </w:p>
        </w:tc>
        <w:tc>
          <w:tcPr>
            <w:tcW w:w="870" w:type="dxa"/>
            <w:shd w:val="clear" w:color="auto" w:fill="auto"/>
          </w:tcPr>
          <w:p w14:paraId="1224010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61" w:type="dxa"/>
            <w:shd w:val="clear" w:color="auto" w:fill="auto"/>
          </w:tcPr>
          <w:p w14:paraId="0A47FE0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5.93e-13</w:t>
            </w:r>
          </w:p>
        </w:tc>
        <w:tc>
          <w:tcPr>
            <w:tcW w:w="1307" w:type="dxa"/>
            <w:shd w:val="clear" w:color="auto" w:fill="auto"/>
          </w:tcPr>
          <w:p w14:paraId="06E8100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-0.0579</w:t>
            </w:r>
          </w:p>
        </w:tc>
        <w:tc>
          <w:tcPr>
            <w:tcW w:w="1016" w:type="dxa"/>
            <w:shd w:val="clear" w:color="auto" w:fill="auto"/>
          </w:tcPr>
          <w:p w14:paraId="0FBBC81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0.0993</w:t>
            </w:r>
          </w:p>
        </w:tc>
        <w:tc>
          <w:tcPr>
            <w:tcW w:w="966" w:type="dxa"/>
            <w:shd w:val="clear" w:color="auto" w:fill="auto"/>
          </w:tcPr>
          <w:p w14:paraId="31F700C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</w:tr>
      <w:tr w:rsidR="001B011C" w:rsidRPr="00E64431" w14:paraId="1B7D40B5" w14:textId="77777777" w:rsidTr="00C51D35">
        <w:trPr>
          <w:trHeight w:val="311"/>
        </w:trPr>
        <w:tc>
          <w:tcPr>
            <w:tcW w:w="866" w:type="dxa"/>
            <w:shd w:val="clear" w:color="auto" w:fill="auto"/>
          </w:tcPr>
          <w:p w14:paraId="40744B5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FD</w:t>
            </w:r>
          </w:p>
        </w:tc>
        <w:tc>
          <w:tcPr>
            <w:tcW w:w="1016" w:type="dxa"/>
            <w:shd w:val="clear" w:color="auto" w:fill="auto"/>
          </w:tcPr>
          <w:p w14:paraId="487C2DC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1161" w:type="dxa"/>
            <w:shd w:val="clear" w:color="auto" w:fill="auto"/>
          </w:tcPr>
          <w:p w14:paraId="5EF573A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0.218</w:t>
            </w:r>
          </w:p>
        </w:tc>
        <w:tc>
          <w:tcPr>
            <w:tcW w:w="871" w:type="dxa"/>
            <w:shd w:val="clear" w:color="auto" w:fill="auto"/>
          </w:tcPr>
          <w:p w14:paraId="09629C4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-0.638</w:t>
            </w:r>
          </w:p>
        </w:tc>
        <w:tc>
          <w:tcPr>
            <w:tcW w:w="870" w:type="dxa"/>
            <w:shd w:val="clear" w:color="auto" w:fill="auto"/>
          </w:tcPr>
          <w:p w14:paraId="2711CB4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61" w:type="dxa"/>
            <w:shd w:val="clear" w:color="auto" w:fill="auto"/>
          </w:tcPr>
          <w:p w14:paraId="70B1005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0.524</w:t>
            </w:r>
          </w:p>
        </w:tc>
        <w:tc>
          <w:tcPr>
            <w:tcW w:w="1307" w:type="dxa"/>
            <w:shd w:val="clear" w:color="auto" w:fill="auto"/>
          </w:tcPr>
          <w:p w14:paraId="516712B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-0.0121</w:t>
            </w:r>
          </w:p>
        </w:tc>
        <w:tc>
          <w:tcPr>
            <w:tcW w:w="1016" w:type="dxa"/>
            <w:shd w:val="clear" w:color="auto" w:fill="auto"/>
          </w:tcPr>
          <w:p w14:paraId="7A462CA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-0.0493</w:t>
            </w:r>
          </w:p>
        </w:tc>
        <w:tc>
          <w:tcPr>
            <w:tcW w:w="966" w:type="dxa"/>
            <w:shd w:val="clear" w:color="auto" w:fill="auto"/>
          </w:tcPr>
          <w:p w14:paraId="712B0C2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0.0251</w:t>
            </w:r>
          </w:p>
        </w:tc>
      </w:tr>
      <w:tr w:rsidR="001B011C" w:rsidRPr="00E64431" w14:paraId="1C1A174E" w14:textId="77777777" w:rsidTr="00C51D35">
        <w:trPr>
          <w:trHeight w:val="311"/>
        </w:trPr>
        <w:tc>
          <w:tcPr>
            <w:tcW w:w="866" w:type="dxa"/>
            <w:shd w:val="clear" w:color="auto" w:fill="auto"/>
          </w:tcPr>
          <w:p w14:paraId="2F2816D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MI</w:t>
            </w:r>
          </w:p>
        </w:tc>
        <w:tc>
          <w:tcPr>
            <w:tcW w:w="1016" w:type="dxa"/>
            <w:shd w:val="clear" w:color="auto" w:fill="auto"/>
          </w:tcPr>
          <w:p w14:paraId="300089E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0.00168</w:t>
            </w:r>
          </w:p>
        </w:tc>
        <w:tc>
          <w:tcPr>
            <w:tcW w:w="1161" w:type="dxa"/>
            <w:shd w:val="clear" w:color="auto" w:fill="auto"/>
          </w:tcPr>
          <w:p w14:paraId="1FB70FF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0.967</w:t>
            </w:r>
          </w:p>
        </w:tc>
        <w:tc>
          <w:tcPr>
            <w:tcW w:w="871" w:type="dxa"/>
            <w:shd w:val="clear" w:color="auto" w:fill="auto"/>
          </w:tcPr>
          <w:p w14:paraId="4CEBBD7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</w:tc>
        <w:tc>
          <w:tcPr>
            <w:tcW w:w="870" w:type="dxa"/>
            <w:shd w:val="clear" w:color="auto" w:fill="auto"/>
          </w:tcPr>
          <w:p w14:paraId="0AD1209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61" w:type="dxa"/>
            <w:shd w:val="clear" w:color="auto" w:fill="auto"/>
          </w:tcPr>
          <w:p w14:paraId="13DBA22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</w:p>
        </w:tc>
        <w:tc>
          <w:tcPr>
            <w:tcW w:w="1307" w:type="dxa"/>
            <w:shd w:val="clear" w:color="auto" w:fill="auto"/>
          </w:tcPr>
          <w:p w14:paraId="6BE7E06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-0.0219</w:t>
            </w:r>
          </w:p>
        </w:tc>
        <w:tc>
          <w:tcPr>
            <w:tcW w:w="1016" w:type="dxa"/>
            <w:shd w:val="clear" w:color="auto" w:fill="auto"/>
          </w:tcPr>
          <w:p w14:paraId="3999628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-0.0590</w:t>
            </w:r>
          </w:p>
        </w:tc>
        <w:tc>
          <w:tcPr>
            <w:tcW w:w="966" w:type="dxa"/>
            <w:shd w:val="clear" w:color="auto" w:fill="auto"/>
          </w:tcPr>
          <w:p w14:paraId="4C66BAD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0.0153</w:t>
            </w:r>
          </w:p>
        </w:tc>
      </w:tr>
      <w:tr w:rsidR="001B011C" w:rsidRPr="00E64431" w14:paraId="2EC8CCC9" w14:textId="77777777" w:rsidTr="00C51D35">
        <w:trPr>
          <w:trHeight w:val="311"/>
        </w:trPr>
        <w:tc>
          <w:tcPr>
            <w:tcW w:w="866" w:type="dxa"/>
            <w:shd w:val="clear" w:color="auto" w:fill="auto"/>
          </w:tcPr>
          <w:p w14:paraId="2FFCDF55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  <w:lang w:val="en-IE"/>
              </w:rPr>
              <w:t>FT</w:t>
            </w:r>
          </w:p>
        </w:tc>
        <w:tc>
          <w:tcPr>
            <w:tcW w:w="1016" w:type="dxa"/>
            <w:shd w:val="clear" w:color="auto" w:fill="auto"/>
          </w:tcPr>
          <w:p w14:paraId="13108B1C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1161" w:type="dxa"/>
            <w:shd w:val="clear" w:color="auto" w:fill="auto"/>
          </w:tcPr>
          <w:p w14:paraId="7CB572BB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</w:rPr>
              <w:t>0.000105</w:t>
            </w:r>
          </w:p>
        </w:tc>
        <w:tc>
          <w:tcPr>
            <w:tcW w:w="871" w:type="dxa"/>
            <w:shd w:val="clear" w:color="auto" w:fill="auto"/>
          </w:tcPr>
          <w:p w14:paraId="57FF6DAA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870" w:type="dxa"/>
            <w:shd w:val="clear" w:color="auto" w:fill="auto"/>
          </w:tcPr>
          <w:p w14:paraId="7D1EE4CD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61" w:type="dxa"/>
            <w:shd w:val="clear" w:color="auto" w:fill="auto"/>
          </w:tcPr>
          <w:p w14:paraId="253C88B5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sz w:val="20"/>
                <w:szCs w:val="20"/>
              </w:rPr>
              <w:t>1.32e-25</w:t>
            </w:r>
          </w:p>
        </w:tc>
        <w:tc>
          <w:tcPr>
            <w:tcW w:w="1307" w:type="dxa"/>
            <w:shd w:val="clear" w:color="auto" w:fill="auto"/>
          </w:tcPr>
          <w:p w14:paraId="1E554187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sz w:val="20"/>
                <w:szCs w:val="20"/>
              </w:rPr>
              <w:t>0.198</w:t>
            </w:r>
          </w:p>
        </w:tc>
        <w:tc>
          <w:tcPr>
            <w:tcW w:w="1016" w:type="dxa"/>
            <w:shd w:val="clear" w:color="auto" w:fill="auto"/>
          </w:tcPr>
          <w:p w14:paraId="47BF8D3E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sz w:val="20"/>
                <w:szCs w:val="20"/>
              </w:rPr>
              <w:t>0.161</w:t>
            </w:r>
          </w:p>
        </w:tc>
        <w:tc>
          <w:tcPr>
            <w:tcW w:w="966" w:type="dxa"/>
            <w:shd w:val="clear" w:color="auto" w:fill="auto"/>
          </w:tcPr>
          <w:p w14:paraId="1A9A5C04" w14:textId="77777777" w:rsidR="001B011C" w:rsidRPr="00E64431" w:rsidRDefault="001B011C" w:rsidP="00E64431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DengXian" w:hAnsi="Times New Roman" w:cs="Times New Roman"/>
                <w:sz w:val="20"/>
                <w:szCs w:val="20"/>
              </w:rPr>
              <w:t>0.235</w:t>
            </w:r>
          </w:p>
        </w:tc>
      </w:tr>
    </w:tbl>
    <w:p w14:paraId="686511DC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</w:t>
      </w:r>
      <w:r w:rsidRPr="00E64431"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  <w:t>: N = 11,128. Significant differences (p &lt; 0.05) in Financial Behaviours, Financial Satisfaction, and Financial Technology.</w:t>
      </w:r>
    </w:p>
    <w:p w14:paraId="086B12C5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Source: Authors Own analysis of EU-SILC data, patterns consistent with OECD findings</w:t>
      </w:r>
    </w:p>
    <w:p w14:paraId="0EBBCDFC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55D9FBC9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269D338D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7CF606A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69B2CB8D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B37C29B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5317ABD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63E9AFA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2ACC151B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2526DB2" w14:textId="77777777" w:rsidR="001B011C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0974D32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6C606DA" w14:textId="77777777" w:rsid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34B231D4" w14:textId="77777777" w:rsidR="00E64431" w:rsidRPr="00E64431" w:rsidRDefault="00E64431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5F472B0A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484B15B2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38C1932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30AF4A3D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4FBFCD0B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tbl>
      <w:tblPr>
        <w:tblStyle w:val="TableGrid1"/>
        <w:tblW w:w="9323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4"/>
        <w:gridCol w:w="1025"/>
        <w:gridCol w:w="1026"/>
        <w:gridCol w:w="732"/>
        <w:gridCol w:w="1318"/>
        <w:gridCol w:w="1172"/>
        <w:gridCol w:w="1145"/>
        <w:gridCol w:w="1011"/>
        <w:gridCol w:w="1020"/>
      </w:tblGrid>
      <w:tr w:rsidR="001B011C" w:rsidRPr="00E64431" w14:paraId="4044C689" w14:textId="77777777" w:rsidTr="00C51D35">
        <w:trPr>
          <w:trHeight w:val="378"/>
        </w:trPr>
        <w:tc>
          <w:tcPr>
            <w:tcW w:w="9323" w:type="dxa"/>
            <w:gridSpan w:val="9"/>
            <w:shd w:val="clear" w:color="auto" w:fill="auto"/>
          </w:tcPr>
          <w:p w14:paraId="0C29F26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IE"/>
              </w:rPr>
              <w:lastRenderedPageBreak/>
              <w:t>Table 7: Immigration Status - Levene's Test and t-test</w:t>
            </w:r>
          </w:p>
        </w:tc>
      </w:tr>
      <w:tr w:rsidR="001B011C" w:rsidRPr="00E64431" w14:paraId="6C4FA7DC" w14:textId="77777777" w:rsidTr="00C51D35">
        <w:trPr>
          <w:trHeight w:val="928"/>
        </w:trPr>
        <w:tc>
          <w:tcPr>
            <w:tcW w:w="874" w:type="dxa"/>
            <w:vMerge w:val="restart"/>
            <w:shd w:val="clear" w:color="auto" w:fill="auto"/>
          </w:tcPr>
          <w:p w14:paraId="2981584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2051" w:type="dxa"/>
            <w:gridSpan w:val="2"/>
            <w:shd w:val="clear" w:color="auto" w:fill="auto"/>
          </w:tcPr>
          <w:p w14:paraId="6225565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Levene’s Test for Equality of Variables</w:t>
            </w:r>
          </w:p>
        </w:tc>
        <w:tc>
          <w:tcPr>
            <w:tcW w:w="6398" w:type="dxa"/>
            <w:gridSpan w:val="6"/>
            <w:shd w:val="clear" w:color="auto" w:fill="auto"/>
          </w:tcPr>
          <w:p w14:paraId="4D6E35A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  <w:p w14:paraId="180E012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t-Test for Equality of Mean</w:t>
            </w:r>
          </w:p>
        </w:tc>
      </w:tr>
      <w:tr w:rsidR="001B011C" w:rsidRPr="00E64431" w14:paraId="367D73B5" w14:textId="77777777" w:rsidTr="00C51D35">
        <w:trPr>
          <w:trHeight w:val="175"/>
        </w:trPr>
        <w:tc>
          <w:tcPr>
            <w:tcW w:w="874" w:type="dxa"/>
            <w:vMerge/>
            <w:shd w:val="clear" w:color="auto" w:fill="auto"/>
          </w:tcPr>
          <w:p w14:paraId="46E7899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025" w:type="dxa"/>
            <w:vMerge w:val="restart"/>
            <w:shd w:val="clear" w:color="auto" w:fill="auto"/>
          </w:tcPr>
          <w:p w14:paraId="3B95A08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</w:t>
            </w:r>
          </w:p>
        </w:tc>
        <w:tc>
          <w:tcPr>
            <w:tcW w:w="1026" w:type="dxa"/>
            <w:vMerge w:val="restart"/>
            <w:shd w:val="clear" w:color="auto" w:fill="auto"/>
          </w:tcPr>
          <w:p w14:paraId="763CF40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732" w:type="dxa"/>
            <w:vMerge w:val="restart"/>
            <w:shd w:val="clear" w:color="auto" w:fill="auto"/>
          </w:tcPr>
          <w:p w14:paraId="1B6A69D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</w:t>
            </w:r>
          </w:p>
        </w:tc>
        <w:tc>
          <w:tcPr>
            <w:tcW w:w="1318" w:type="dxa"/>
            <w:vMerge w:val="restart"/>
            <w:shd w:val="clear" w:color="auto" w:fill="auto"/>
          </w:tcPr>
          <w:p w14:paraId="5C6C1B7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proofErr w:type="spellStart"/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df</w:t>
            </w:r>
            <w:proofErr w:type="spellEnd"/>
          </w:p>
        </w:tc>
        <w:tc>
          <w:tcPr>
            <w:tcW w:w="1172" w:type="dxa"/>
            <w:vMerge w:val="restart"/>
            <w:shd w:val="clear" w:color="auto" w:fill="auto"/>
          </w:tcPr>
          <w:p w14:paraId="3A66E92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1145" w:type="dxa"/>
            <w:vMerge w:val="restart"/>
            <w:shd w:val="clear" w:color="auto" w:fill="auto"/>
          </w:tcPr>
          <w:p w14:paraId="190AF16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Mean difference</w:t>
            </w:r>
          </w:p>
        </w:tc>
        <w:tc>
          <w:tcPr>
            <w:tcW w:w="2031" w:type="dxa"/>
            <w:gridSpan w:val="2"/>
            <w:shd w:val="clear" w:color="auto" w:fill="auto"/>
          </w:tcPr>
          <w:p w14:paraId="53DBE8C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95% CI</w:t>
            </w:r>
          </w:p>
        </w:tc>
      </w:tr>
      <w:tr w:rsidR="001B011C" w:rsidRPr="00E64431" w14:paraId="116EC642" w14:textId="77777777" w:rsidTr="00C51D35">
        <w:trPr>
          <w:trHeight w:val="175"/>
        </w:trPr>
        <w:tc>
          <w:tcPr>
            <w:tcW w:w="874" w:type="dxa"/>
            <w:vMerge/>
            <w:shd w:val="clear" w:color="auto" w:fill="auto"/>
          </w:tcPr>
          <w:p w14:paraId="05CCABB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025" w:type="dxa"/>
            <w:vMerge/>
            <w:shd w:val="clear" w:color="auto" w:fill="auto"/>
          </w:tcPr>
          <w:p w14:paraId="17E35CF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026" w:type="dxa"/>
            <w:vMerge/>
            <w:shd w:val="clear" w:color="auto" w:fill="auto"/>
          </w:tcPr>
          <w:p w14:paraId="087294B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732" w:type="dxa"/>
            <w:vMerge/>
            <w:shd w:val="clear" w:color="auto" w:fill="auto"/>
          </w:tcPr>
          <w:p w14:paraId="2EC0560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318" w:type="dxa"/>
            <w:vMerge/>
            <w:shd w:val="clear" w:color="auto" w:fill="auto"/>
          </w:tcPr>
          <w:p w14:paraId="23AFFAD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172" w:type="dxa"/>
            <w:vMerge/>
            <w:shd w:val="clear" w:color="auto" w:fill="auto"/>
          </w:tcPr>
          <w:p w14:paraId="3136F6D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14:paraId="24A7EBF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011" w:type="dxa"/>
            <w:shd w:val="clear" w:color="auto" w:fill="auto"/>
          </w:tcPr>
          <w:p w14:paraId="59156C5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Low</w:t>
            </w:r>
          </w:p>
        </w:tc>
        <w:tc>
          <w:tcPr>
            <w:tcW w:w="1020" w:type="dxa"/>
            <w:shd w:val="clear" w:color="auto" w:fill="auto"/>
          </w:tcPr>
          <w:p w14:paraId="25E9B26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High</w:t>
            </w:r>
          </w:p>
        </w:tc>
      </w:tr>
      <w:tr w:rsidR="001B011C" w:rsidRPr="00E64431" w14:paraId="08914AB4" w14:textId="77777777" w:rsidTr="00C51D35">
        <w:trPr>
          <w:trHeight w:val="305"/>
        </w:trPr>
        <w:tc>
          <w:tcPr>
            <w:tcW w:w="874" w:type="dxa"/>
            <w:shd w:val="clear" w:color="auto" w:fill="auto"/>
          </w:tcPr>
          <w:p w14:paraId="61B8907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FWB</w:t>
            </w:r>
          </w:p>
        </w:tc>
        <w:tc>
          <w:tcPr>
            <w:tcW w:w="1025" w:type="dxa"/>
            <w:shd w:val="clear" w:color="auto" w:fill="auto"/>
          </w:tcPr>
          <w:p w14:paraId="008B11C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3.93</w:t>
            </w:r>
          </w:p>
        </w:tc>
        <w:tc>
          <w:tcPr>
            <w:tcW w:w="1026" w:type="dxa"/>
            <w:shd w:val="clear" w:color="auto" w:fill="auto"/>
          </w:tcPr>
          <w:p w14:paraId="7236C6E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0.0475</w:t>
            </w:r>
          </w:p>
        </w:tc>
        <w:tc>
          <w:tcPr>
            <w:tcW w:w="732" w:type="dxa"/>
            <w:shd w:val="clear" w:color="auto" w:fill="auto"/>
          </w:tcPr>
          <w:p w14:paraId="3A7884A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5.54</w:t>
            </w:r>
          </w:p>
        </w:tc>
        <w:tc>
          <w:tcPr>
            <w:tcW w:w="1318" w:type="dxa"/>
            <w:shd w:val="clear" w:color="auto" w:fill="auto"/>
          </w:tcPr>
          <w:p w14:paraId="3C86A54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172" w:type="dxa"/>
            <w:shd w:val="clear" w:color="auto" w:fill="auto"/>
          </w:tcPr>
          <w:p w14:paraId="147EA89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3.07e- 8</w:t>
            </w:r>
          </w:p>
        </w:tc>
        <w:tc>
          <w:tcPr>
            <w:tcW w:w="1145" w:type="dxa"/>
            <w:shd w:val="clear" w:color="auto" w:fill="auto"/>
          </w:tcPr>
          <w:p w14:paraId="5A16C45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0.131</w:t>
            </w:r>
          </w:p>
        </w:tc>
        <w:tc>
          <w:tcPr>
            <w:tcW w:w="1011" w:type="dxa"/>
            <w:shd w:val="clear" w:color="auto" w:fill="auto"/>
          </w:tcPr>
          <w:p w14:paraId="3676C70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0.0844</w:t>
            </w:r>
          </w:p>
        </w:tc>
        <w:tc>
          <w:tcPr>
            <w:tcW w:w="1020" w:type="dxa"/>
            <w:shd w:val="clear" w:color="auto" w:fill="auto"/>
          </w:tcPr>
          <w:p w14:paraId="05BEECD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0.177</w:t>
            </w:r>
          </w:p>
        </w:tc>
      </w:tr>
      <w:tr w:rsidR="001B011C" w:rsidRPr="00E64431" w14:paraId="18357507" w14:textId="77777777" w:rsidTr="00C51D35">
        <w:trPr>
          <w:trHeight w:val="305"/>
        </w:trPr>
        <w:tc>
          <w:tcPr>
            <w:tcW w:w="874" w:type="dxa"/>
            <w:shd w:val="clear" w:color="auto" w:fill="auto"/>
          </w:tcPr>
          <w:p w14:paraId="48EB974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FB</w:t>
            </w:r>
          </w:p>
        </w:tc>
        <w:tc>
          <w:tcPr>
            <w:tcW w:w="1025" w:type="dxa"/>
            <w:shd w:val="clear" w:color="auto" w:fill="auto"/>
          </w:tcPr>
          <w:p w14:paraId="11169DD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7.84</w:t>
            </w:r>
          </w:p>
        </w:tc>
        <w:tc>
          <w:tcPr>
            <w:tcW w:w="1026" w:type="dxa"/>
            <w:shd w:val="clear" w:color="auto" w:fill="auto"/>
          </w:tcPr>
          <w:p w14:paraId="2BB1F2E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0.00513</w:t>
            </w:r>
          </w:p>
        </w:tc>
        <w:tc>
          <w:tcPr>
            <w:tcW w:w="732" w:type="dxa"/>
            <w:shd w:val="clear" w:color="auto" w:fill="auto"/>
          </w:tcPr>
          <w:p w14:paraId="64C18CA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-3.21</w:t>
            </w:r>
          </w:p>
        </w:tc>
        <w:tc>
          <w:tcPr>
            <w:tcW w:w="1318" w:type="dxa"/>
            <w:shd w:val="clear" w:color="auto" w:fill="auto"/>
          </w:tcPr>
          <w:p w14:paraId="703D7D4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172" w:type="dxa"/>
            <w:shd w:val="clear" w:color="auto" w:fill="auto"/>
          </w:tcPr>
          <w:p w14:paraId="01FB860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1.35e- 3</w:t>
            </w:r>
          </w:p>
        </w:tc>
        <w:tc>
          <w:tcPr>
            <w:tcW w:w="1145" w:type="dxa"/>
            <w:shd w:val="clear" w:color="auto" w:fill="auto"/>
          </w:tcPr>
          <w:p w14:paraId="29526D6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-0.0756</w:t>
            </w:r>
          </w:p>
        </w:tc>
        <w:tc>
          <w:tcPr>
            <w:tcW w:w="1011" w:type="dxa"/>
            <w:shd w:val="clear" w:color="auto" w:fill="auto"/>
          </w:tcPr>
          <w:p w14:paraId="5A3ACEB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-0.122</w:t>
            </w:r>
          </w:p>
        </w:tc>
        <w:tc>
          <w:tcPr>
            <w:tcW w:w="1020" w:type="dxa"/>
            <w:shd w:val="clear" w:color="auto" w:fill="auto"/>
          </w:tcPr>
          <w:p w14:paraId="1D1A622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-0.0294</w:t>
            </w:r>
          </w:p>
        </w:tc>
      </w:tr>
      <w:tr w:rsidR="001B011C" w:rsidRPr="00E64431" w14:paraId="332F55CE" w14:textId="77777777" w:rsidTr="00C51D35">
        <w:trPr>
          <w:trHeight w:val="317"/>
        </w:trPr>
        <w:tc>
          <w:tcPr>
            <w:tcW w:w="874" w:type="dxa"/>
            <w:shd w:val="clear" w:color="auto" w:fill="auto"/>
          </w:tcPr>
          <w:p w14:paraId="55D739C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FS</w:t>
            </w:r>
          </w:p>
        </w:tc>
        <w:tc>
          <w:tcPr>
            <w:tcW w:w="1025" w:type="dxa"/>
            <w:shd w:val="clear" w:color="auto" w:fill="auto"/>
          </w:tcPr>
          <w:p w14:paraId="3CCF5B0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9.64</w:t>
            </w:r>
          </w:p>
        </w:tc>
        <w:tc>
          <w:tcPr>
            <w:tcW w:w="1026" w:type="dxa"/>
            <w:shd w:val="clear" w:color="auto" w:fill="auto"/>
          </w:tcPr>
          <w:p w14:paraId="79E42B6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0.00191</w:t>
            </w:r>
          </w:p>
        </w:tc>
        <w:tc>
          <w:tcPr>
            <w:tcW w:w="732" w:type="dxa"/>
            <w:shd w:val="clear" w:color="auto" w:fill="auto"/>
          </w:tcPr>
          <w:p w14:paraId="4162050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13.3</w:t>
            </w:r>
          </w:p>
        </w:tc>
        <w:tc>
          <w:tcPr>
            <w:tcW w:w="1318" w:type="dxa"/>
            <w:shd w:val="clear" w:color="auto" w:fill="auto"/>
          </w:tcPr>
          <w:p w14:paraId="6867CC0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172" w:type="dxa"/>
            <w:shd w:val="clear" w:color="auto" w:fill="auto"/>
          </w:tcPr>
          <w:p w14:paraId="710C589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4.56e-40</w:t>
            </w:r>
          </w:p>
        </w:tc>
        <w:tc>
          <w:tcPr>
            <w:tcW w:w="1145" w:type="dxa"/>
            <w:shd w:val="clear" w:color="auto" w:fill="auto"/>
          </w:tcPr>
          <w:p w14:paraId="01AF0CA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0.311</w:t>
            </w:r>
          </w:p>
        </w:tc>
        <w:tc>
          <w:tcPr>
            <w:tcW w:w="1011" w:type="dxa"/>
            <w:shd w:val="clear" w:color="auto" w:fill="auto"/>
          </w:tcPr>
          <w:p w14:paraId="3384D88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0.266</w:t>
            </w:r>
          </w:p>
        </w:tc>
        <w:tc>
          <w:tcPr>
            <w:tcW w:w="1020" w:type="dxa"/>
            <w:shd w:val="clear" w:color="auto" w:fill="auto"/>
          </w:tcPr>
          <w:p w14:paraId="0A74856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0.357</w:t>
            </w:r>
          </w:p>
        </w:tc>
      </w:tr>
      <w:tr w:rsidR="001B011C" w:rsidRPr="00E64431" w14:paraId="6BD2C12A" w14:textId="77777777" w:rsidTr="00C51D35">
        <w:trPr>
          <w:trHeight w:val="305"/>
        </w:trPr>
        <w:tc>
          <w:tcPr>
            <w:tcW w:w="874" w:type="dxa"/>
            <w:shd w:val="clear" w:color="auto" w:fill="auto"/>
          </w:tcPr>
          <w:p w14:paraId="39FB83F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FD</w:t>
            </w:r>
          </w:p>
        </w:tc>
        <w:tc>
          <w:tcPr>
            <w:tcW w:w="1025" w:type="dxa"/>
            <w:shd w:val="clear" w:color="auto" w:fill="auto"/>
          </w:tcPr>
          <w:p w14:paraId="0101B90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0.456</w:t>
            </w:r>
          </w:p>
        </w:tc>
        <w:tc>
          <w:tcPr>
            <w:tcW w:w="1026" w:type="dxa"/>
            <w:shd w:val="clear" w:color="auto" w:fill="auto"/>
          </w:tcPr>
          <w:p w14:paraId="3A23FA6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0.500</w:t>
            </w:r>
          </w:p>
        </w:tc>
        <w:tc>
          <w:tcPr>
            <w:tcW w:w="732" w:type="dxa"/>
            <w:shd w:val="clear" w:color="auto" w:fill="auto"/>
          </w:tcPr>
          <w:p w14:paraId="114A892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-6.30</w:t>
            </w:r>
          </w:p>
        </w:tc>
        <w:tc>
          <w:tcPr>
            <w:tcW w:w="1318" w:type="dxa"/>
            <w:shd w:val="clear" w:color="auto" w:fill="auto"/>
          </w:tcPr>
          <w:p w14:paraId="737D726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172" w:type="dxa"/>
            <w:shd w:val="clear" w:color="auto" w:fill="auto"/>
          </w:tcPr>
          <w:p w14:paraId="2E9A478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3.06e-10</w:t>
            </w:r>
          </w:p>
        </w:tc>
        <w:tc>
          <w:tcPr>
            <w:tcW w:w="1145" w:type="dxa"/>
            <w:shd w:val="clear" w:color="auto" w:fill="auto"/>
          </w:tcPr>
          <w:p w14:paraId="6FB636B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-0.148</w:t>
            </w:r>
          </w:p>
        </w:tc>
        <w:tc>
          <w:tcPr>
            <w:tcW w:w="1011" w:type="dxa"/>
            <w:shd w:val="clear" w:color="auto" w:fill="auto"/>
          </w:tcPr>
          <w:p w14:paraId="3C5D16C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-0.195</w:t>
            </w:r>
          </w:p>
        </w:tc>
        <w:tc>
          <w:tcPr>
            <w:tcW w:w="1020" w:type="dxa"/>
            <w:shd w:val="clear" w:color="auto" w:fill="auto"/>
          </w:tcPr>
          <w:p w14:paraId="5A40323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-0.102</w:t>
            </w:r>
          </w:p>
        </w:tc>
      </w:tr>
      <w:tr w:rsidR="001B011C" w:rsidRPr="00E64431" w14:paraId="4C73A87F" w14:textId="77777777" w:rsidTr="00C51D35">
        <w:trPr>
          <w:trHeight w:val="305"/>
        </w:trPr>
        <w:tc>
          <w:tcPr>
            <w:tcW w:w="874" w:type="dxa"/>
            <w:shd w:val="clear" w:color="auto" w:fill="auto"/>
          </w:tcPr>
          <w:p w14:paraId="0F49650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MI</w:t>
            </w:r>
          </w:p>
        </w:tc>
        <w:tc>
          <w:tcPr>
            <w:tcW w:w="1025" w:type="dxa"/>
            <w:shd w:val="clear" w:color="auto" w:fill="auto"/>
          </w:tcPr>
          <w:p w14:paraId="0DB50E9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6.73</w:t>
            </w:r>
          </w:p>
        </w:tc>
        <w:tc>
          <w:tcPr>
            <w:tcW w:w="1026" w:type="dxa"/>
            <w:shd w:val="clear" w:color="auto" w:fill="auto"/>
          </w:tcPr>
          <w:p w14:paraId="75FC886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0.00950</w:t>
            </w:r>
          </w:p>
        </w:tc>
        <w:tc>
          <w:tcPr>
            <w:tcW w:w="732" w:type="dxa"/>
            <w:shd w:val="clear" w:color="auto" w:fill="auto"/>
          </w:tcPr>
          <w:p w14:paraId="740A767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3.56</w:t>
            </w:r>
          </w:p>
        </w:tc>
        <w:tc>
          <w:tcPr>
            <w:tcW w:w="1318" w:type="dxa"/>
            <w:shd w:val="clear" w:color="auto" w:fill="auto"/>
          </w:tcPr>
          <w:p w14:paraId="506FAE5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172" w:type="dxa"/>
            <w:shd w:val="clear" w:color="auto" w:fill="auto"/>
          </w:tcPr>
          <w:p w14:paraId="678003D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3.72e- 4</w:t>
            </w:r>
          </w:p>
        </w:tc>
        <w:tc>
          <w:tcPr>
            <w:tcW w:w="1145" w:type="dxa"/>
            <w:shd w:val="clear" w:color="auto" w:fill="auto"/>
          </w:tcPr>
          <w:p w14:paraId="3521215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0.0840</w:t>
            </w:r>
          </w:p>
        </w:tc>
        <w:tc>
          <w:tcPr>
            <w:tcW w:w="1011" w:type="dxa"/>
            <w:shd w:val="clear" w:color="auto" w:fill="auto"/>
          </w:tcPr>
          <w:p w14:paraId="530890D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0.0378</w:t>
            </w:r>
          </w:p>
        </w:tc>
        <w:tc>
          <w:tcPr>
            <w:tcW w:w="1020" w:type="dxa"/>
            <w:shd w:val="clear" w:color="auto" w:fill="auto"/>
          </w:tcPr>
          <w:p w14:paraId="0AAA906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0.130</w:t>
            </w:r>
          </w:p>
        </w:tc>
      </w:tr>
      <w:tr w:rsidR="001B011C" w:rsidRPr="00E64431" w14:paraId="01B0B76C" w14:textId="77777777" w:rsidTr="00C51D35">
        <w:trPr>
          <w:trHeight w:val="317"/>
        </w:trPr>
        <w:tc>
          <w:tcPr>
            <w:tcW w:w="874" w:type="dxa"/>
            <w:shd w:val="clear" w:color="auto" w:fill="auto"/>
          </w:tcPr>
          <w:p w14:paraId="0C13F67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FT</w:t>
            </w:r>
          </w:p>
        </w:tc>
        <w:tc>
          <w:tcPr>
            <w:tcW w:w="1025" w:type="dxa"/>
            <w:shd w:val="clear" w:color="auto" w:fill="auto"/>
          </w:tcPr>
          <w:p w14:paraId="74E3F7E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0.730</w:t>
            </w:r>
          </w:p>
        </w:tc>
        <w:tc>
          <w:tcPr>
            <w:tcW w:w="1026" w:type="dxa"/>
            <w:shd w:val="clear" w:color="auto" w:fill="auto"/>
          </w:tcPr>
          <w:p w14:paraId="68A9E7E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0.393</w:t>
            </w:r>
          </w:p>
        </w:tc>
        <w:tc>
          <w:tcPr>
            <w:tcW w:w="732" w:type="dxa"/>
            <w:shd w:val="clear" w:color="auto" w:fill="auto"/>
          </w:tcPr>
          <w:p w14:paraId="59326F5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17.5</w:t>
            </w:r>
          </w:p>
        </w:tc>
        <w:tc>
          <w:tcPr>
            <w:tcW w:w="1318" w:type="dxa"/>
            <w:shd w:val="clear" w:color="auto" w:fill="auto"/>
          </w:tcPr>
          <w:p w14:paraId="7EE6686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172" w:type="dxa"/>
            <w:shd w:val="clear" w:color="auto" w:fill="auto"/>
          </w:tcPr>
          <w:p w14:paraId="6840CED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1.93e-67</w:t>
            </w:r>
          </w:p>
        </w:tc>
        <w:tc>
          <w:tcPr>
            <w:tcW w:w="1145" w:type="dxa"/>
            <w:shd w:val="clear" w:color="auto" w:fill="auto"/>
          </w:tcPr>
          <w:p w14:paraId="194B5B8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0.407</w:t>
            </w:r>
          </w:p>
        </w:tc>
        <w:tc>
          <w:tcPr>
            <w:tcW w:w="1011" w:type="dxa"/>
            <w:shd w:val="clear" w:color="auto" w:fill="auto"/>
          </w:tcPr>
          <w:p w14:paraId="7B0332F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0.361</w:t>
            </w:r>
          </w:p>
        </w:tc>
        <w:tc>
          <w:tcPr>
            <w:tcW w:w="1020" w:type="dxa"/>
            <w:shd w:val="clear" w:color="auto" w:fill="auto"/>
          </w:tcPr>
          <w:p w14:paraId="44C62CC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0.452</w:t>
            </w:r>
          </w:p>
        </w:tc>
      </w:tr>
    </w:tbl>
    <w:p w14:paraId="737957A3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Note: N = 11,128. All dimensions show significant mean differences between immigrants and non-immigrants.</w:t>
      </w:r>
    </w:p>
    <w:p w14:paraId="11240B45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 xml:space="preserve">Source: </w:t>
      </w:r>
      <w:bookmarkStart w:id="0" w:name="_Hlk190524065"/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 xml:space="preserve">Authors own </w:t>
      </w: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analysis of EU-SILC data</w:t>
      </w:r>
      <w:bookmarkEnd w:id="0"/>
    </w:p>
    <w:p w14:paraId="2ED114A2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6115808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114D03B7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A9F9CCE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B42F6A8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29436BB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eastAsia="en-IE"/>
          <w14:ligatures w14:val="standardContextual"/>
        </w:rPr>
      </w:pPr>
    </w:p>
    <w:tbl>
      <w:tblPr>
        <w:tblStyle w:val="TableGrid1"/>
        <w:tblW w:w="9205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719"/>
        <w:gridCol w:w="1008"/>
        <w:gridCol w:w="1150"/>
        <w:gridCol w:w="862"/>
        <w:gridCol w:w="1311"/>
        <w:gridCol w:w="1251"/>
        <w:gridCol w:w="992"/>
        <w:gridCol w:w="1054"/>
      </w:tblGrid>
      <w:tr w:rsidR="001B011C" w:rsidRPr="00E64431" w14:paraId="17BE5691" w14:textId="77777777" w:rsidTr="00C51D35">
        <w:trPr>
          <w:trHeight w:val="355"/>
        </w:trPr>
        <w:tc>
          <w:tcPr>
            <w:tcW w:w="9205" w:type="dxa"/>
            <w:gridSpan w:val="9"/>
            <w:shd w:val="clear" w:color="auto" w:fill="auto"/>
          </w:tcPr>
          <w:p w14:paraId="1B04871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IE"/>
              </w:rPr>
              <w:t>Table 8: Urban-Rural Differences - Levene's Test and t-test</w:t>
            </w:r>
          </w:p>
        </w:tc>
      </w:tr>
      <w:tr w:rsidR="001B011C" w:rsidRPr="00E64431" w14:paraId="335F43BC" w14:textId="77777777" w:rsidTr="00C51D35">
        <w:trPr>
          <w:trHeight w:val="959"/>
        </w:trPr>
        <w:tc>
          <w:tcPr>
            <w:tcW w:w="858" w:type="dxa"/>
            <w:vMerge w:val="restart"/>
            <w:shd w:val="clear" w:color="auto" w:fill="auto"/>
          </w:tcPr>
          <w:p w14:paraId="7C0BC5C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727" w:type="dxa"/>
            <w:gridSpan w:val="2"/>
            <w:shd w:val="clear" w:color="auto" w:fill="auto"/>
          </w:tcPr>
          <w:p w14:paraId="6AAF399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Levene’s Test for Equality of Variables</w:t>
            </w:r>
          </w:p>
        </w:tc>
        <w:tc>
          <w:tcPr>
            <w:tcW w:w="6620" w:type="dxa"/>
            <w:gridSpan w:val="6"/>
            <w:shd w:val="clear" w:color="auto" w:fill="auto"/>
          </w:tcPr>
          <w:p w14:paraId="5F41F91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  <w:p w14:paraId="00FE35B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t-Test for Equality of Mean</w:t>
            </w:r>
          </w:p>
        </w:tc>
      </w:tr>
      <w:tr w:rsidR="001B011C" w:rsidRPr="00E64431" w14:paraId="332032AB" w14:textId="77777777" w:rsidTr="00C51D35">
        <w:trPr>
          <w:trHeight w:val="181"/>
        </w:trPr>
        <w:tc>
          <w:tcPr>
            <w:tcW w:w="858" w:type="dxa"/>
            <w:vMerge/>
            <w:shd w:val="clear" w:color="auto" w:fill="auto"/>
          </w:tcPr>
          <w:p w14:paraId="68B65B1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719" w:type="dxa"/>
            <w:vMerge w:val="restart"/>
            <w:shd w:val="clear" w:color="auto" w:fill="auto"/>
          </w:tcPr>
          <w:p w14:paraId="36D2486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</w:t>
            </w:r>
          </w:p>
        </w:tc>
        <w:tc>
          <w:tcPr>
            <w:tcW w:w="1008" w:type="dxa"/>
            <w:vMerge w:val="restart"/>
            <w:shd w:val="clear" w:color="auto" w:fill="auto"/>
          </w:tcPr>
          <w:p w14:paraId="3C2F957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1150" w:type="dxa"/>
            <w:vMerge w:val="restart"/>
            <w:shd w:val="clear" w:color="auto" w:fill="auto"/>
          </w:tcPr>
          <w:p w14:paraId="0886DDF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</w:t>
            </w:r>
          </w:p>
        </w:tc>
        <w:tc>
          <w:tcPr>
            <w:tcW w:w="862" w:type="dxa"/>
            <w:vMerge w:val="restart"/>
            <w:shd w:val="clear" w:color="auto" w:fill="auto"/>
          </w:tcPr>
          <w:p w14:paraId="38FE026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Sample size</w:t>
            </w:r>
          </w:p>
        </w:tc>
        <w:tc>
          <w:tcPr>
            <w:tcW w:w="1311" w:type="dxa"/>
            <w:vMerge w:val="restart"/>
            <w:shd w:val="clear" w:color="auto" w:fill="auto"/>
          </w:tcPr>
          <w:p w14:paraId="03AE1F2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1251" w:type="dxa"/>
            <w:vMerge w:val="restart"/>
            <w:shd w:val="clear" w:color="auto" w:fill="auto"/>
          </w:tcPr>
          <w:p w14:paraId="49EED65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Mean difference</w:t>
            </w:r>
          </w:p>
        </w:tc>
        <w:tc>
          <w:tcPr>
            <w:tcW w:w="2046" w:type="dxa"/>
            <w:gridSpan w:val="2"/>
            <w:shd w:val="clear" w:color="auto" w:fill="auto"/>
          </w:tcPr>
          <w:p w14:paraId="6AA0BA8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95% CI</w:t>
            </w:r>
          </w:p>
        </w:tc>
      </w:tr>
      <w:tr w:rsidR="001B011C" w:rsidRPr="00E64431" w14:paraId="03C81450" w14:textId="77777777" w:rsidTr="00C51D35">
        <w:trPr>
          <w:trHeight w:val="181"/>
        </w:trPr>
        <w:tc>
          <w:tcPr>
            <w:tcW w:w="858" w:type="dxa"/>
            <w:vMerge/>
            <w:shd w:val="clear" w:color="auto" w:fill="auto"/>
          </w:tcPr>
          <w:p w14:paraId="7544A65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719" w:type="dxa"/>
            <w:vMerge/>
            <w:shd w:val="clear" w:color="auto" w:fill="auto"/>
          </w:tcPr>
          <w:p w14:paraId="65AEE1E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008" w:type="dxa"/>
            <w:vMerge/>
            <w:shd w:val="clear" w:color="auto" w:fill="auto"/>
          </w:tcPr>
          <w:p w14:paraId="011D23A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150" w:type="dxa"/>
            <w:vMerge/>
            <w:shd w:val="clear" w:color="auto" w:fill="auto"/>
          </w:tcPr>
          <w:p w14:paraId="55EE65A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862" w:type="dxa"/>
            <w:vMerge/>
            <w:shd w:val="clear" w:color="auto" w:fill="auto"/>
          </w:tcPr>
          <w:p w14:paraId="35BDE42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311" w:type="dxa"/>
            <w:vMerge/>
            <w:shd w:val="clear" w:color="auto" w:fill="auto"/>
          </w:tcPr>
          <w:p w14:paraId="50E5709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251" w:type="dxa"/>
            <w:vMerge/>
            <w:shd w:val="clear" w:color="auto" w:fill="auto"/>
          </w:tcPr>
          <w:p w14:paraId="0D1E6B2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992" w:type="dxa"/>
            <w:shd w:val="clear" w:color="auto" w:fill="auto"/>
          </w:tcPr>
          <w:p w14:paraId="6301F73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Low</w:t>
            </w:r>
          </w:p>
        </w:tc>
        <w:tc>
          <w:tcPr>
            <w:tcW w:w="1054" w:type="dxa"/>
            <w:shd w:val="clear" w:color="auto" w:fill="auto"/>
          </w:tcPr>
          <w:p w14:paraId="5D759AF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High</w:t>
            </w:r>
          </w:p>
        </w:tc>
      </w:tr>
      <w:tr w:rsidR="001B011C" w:rsidRPr="00E64431" w14:paraId="1ADF8923" w14:textId="77777777" w:rsidTr="00C51D35">
        <w:trPr>
          <w:trHeight w:val="328"/>
        </w:trPr>
        <w:tc>
          <w:tcPr>
            <w:tcW w:w="858" w:type="dxa"/>
            <w:shd w:val="clear" w:color="auto" w:fill="auto"/>
          </w:tcPr>
          <w:p w14:paraId="2DBFF53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FWB</w:t>
            </w:r>
          </w:p>
        </w:tc>
        <w:tc>
          <w:tcPr>
            <w:tcW w:w="719" w:type="dxa"/>
            <w:shd w:val="clear" w:color="auto" w:fill="auto"/>
          </w:tcPr>
          <w:p w14:paraId="382F02A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62.6</w:t>
            </w:r>
          </w:p>
        </w:tc>
        <w:tc>
          <w:tcPr>
            <w:tcW w:w="1008" w:type="dxa"/>
            <w:shd w:val="clear" w:color="auto" w:fill="auto"/>
          </w:tcPr>
          <w:p w14:paraId="7E85283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2.70e-1</w:t>
            </w:r>
          </w:p>
        </w:tc>
        <w:tc>
          <w:tcPr>
            <w:tcW w:w="1150" w:type="dxa"/>
            <w:shd w:val="clear" w:color="auto" w:fill="auto"/>
          </w:tcPr>
          <w:p w14:paraId="5565A41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-2.44</w:t>
            </w:r>
          </w:p>
        </w:tc>
        <w:tc>
          <w:tcPr>
            <w:tcW w:w="862" w:type="dxa"/>
            <w:shd w:val="clear" w:color="auto" w:fill="auto"/>
          </w:tcPr>
          <w:p w14:paraId="37560BC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311" w:type="dxa"/>
            <w:shd w:val="clear" w:color="auto" w:fill="auto"/>
          </w:tcPr>
          <w:p w14:paraId="7B0DEAC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0.0149</w:t>
            </w:r>
          </w:p>
        </w:tc>
        <w:tc>
          <w:tcPr>
            <w:tcW w:w="1251" w:type="dxa"/>
            <w:shd w:val="clear" w:color="auto" w:fill="auto"/>
          </w:tcPr>
          <w:p w14:paraId="5FF5350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-0.0462</w:t>
            </w:r>
          </w:p>
        </w:tc>
        <w:tc>
          <w:tcPr>
            <w:tcW w:w="992" w:type="dxa"/>
            <w:shd w:val="clear" w:color="auto" w:fill="auto"/>
          </w:tcPr>
          <w:p w14:paraId="5CFF374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-0.0834</w:t>
            </w:r>
          </w:p>
        </w:tc>
        <w:tc>
          <w:tcPr>
            <w:tcW w:w="1054" w:type="dxa"/>
            <w:shd w:val="clear" w:color="auto" w:fill="auto"/>
          </w:tcPr>
          <w:p w14:paraId="45F9CAA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-0.0090</w:t>
            </w:r>
          </w:p>
        </w:tc>
      </w:tr>
      <w:tr w:rsidR="001B011C" w:rsidRPr="00E64431" w14:paraId="5D730DF4" w14:textId="77777777" w:rsidTr="00C51D35">
        <w:trPr>
          <w:trHeight w:val="314"/>
        </w:trPr>
        <w:tc>
          <w:tcPr>
            <w:tcW w:w="858" w:type="dxa"/>
            <w:shd w:val="clear" w:color="auto" w:fill="auto"/>
          </w:tcPr>
          <w:p w14:paraId="0C9CC6D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FB</w:t>
            </w:r>
          </w:p>
        </w:tc>
        <w:tc>
          <w:tcPr>
            <w:tcW w:w="719" w:type="dxa"/>
            <w:shd w:val="clear" w:color="auto" w:fill="auto"/>
          </w:tcPr>
          <w:p w14:paraId="7585697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22.3</w:t>
            </w:r>
          </w:p>
        </w:tc>
        <w:tc>
          <w:tcPr>
            <w:tcW w:w="1008" w:type="dxa"/>
            <w:shd w:val="clear" w:color="auto" w:fill="auto"/>
          </w:tcPr>
          <w:p w14:paraId="1A2B027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2.41e- 6</w:t>
            </w:r>
          </w:p>
        </w:tc>
        <w:tc>
          <w:tcPr>
            <w:tcW w:w="1150" w:type="dxa"/>
            <w:shd w:val="clear" w:color="auto" w:fill="auto"/>
          </w:tcPr>
          <w:p w14:paraId="7F0B921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-5.56</w:t>
            </w:r>
          </w:p>
        </w:tc>
        <w:tc>
          <w:tcPr>
            <w:tcW w:w="862" w:type="dxa"/>
            <w:shd w:val="clear" w:color="auto" w:fill="auto"/>
          </w:tcPr>
          <w:p w14:paraId="79F0288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311" w:type="dxa"/>
            <w:shd w:val="clear" w:color="auto" w:fill="auto"/>
          </w:tcPr>
          <w:p w14:paraId="0D50FCC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2.69e- 8</w:t>
            </w:r>
          </w:p>
        </w:tc>
        <w:tc>
          <w:tcPr>
            <w:tcW w:w="1251" w:type="dxa"/>
            <w:shd w:val="clear" w:color="auto" w:fill="auto"/>
          </w:tcPr>
          <w:p w14:paraId="76FCFC8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-0.106</w:t>
            </w:r>
          </w:p>
        </w:tc>
        <w:tc>
          <w:tcPr>
            <w:tcW w:w="992" w:type="dxa"/>
            <w:shd w:val="clear" w:color="auto" w:fill="auto"/>
          </w:tcPr>
          <w:p w14:paraId="6270E2B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-0.143</w:t>
            </w:r>
          </w:p>
        </w:tc>
        <w:tc>
          <w:tcPr>
            <w:tcW w:w="1054" w:type="dxa"/>
            <w:shd w:val="clear" w:color="auto" w:fill="auto"/>
          </w:tcPr>
          <w:p w14:paraId="1FB77E4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-0.0683</w:t>
            </w:r>
          </w:p>
        </w:tc>
      </w:tr>
      <w:tr w:rsidR="001B011C" w:rsidRPr="00E64431" w14:paraId="622AD455" w14:textId="77777777" w:rsidTr="00C51D35">
        <w:trPr>
          <w:trHeight w:val="314"/>
        </w:trPr>
        <w:tc>
          <w:tcPr>
            <w:tcW w:w="858" w:type="dxa"/>
            <w:shd w:val="clear" w:color="auto" w:fill="auto"/>
          </w:tcPr>
          <w:p w14:paraId="21EB260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FS</w:t>
            </w:r>
          </w:p>
        </w:tc>
        <w:tc>
          <w:tcPr>
            <w:tcW w:w="719" w:type="dxa"/>
            <w:shd w:val="clear" w:color="auto" w:fill="auto"/>
          </w:tcPr>
          <w:p w14:paraId="551EB2F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1.90</w:t>
            </w:r>
          </w:p>
        </w:tc>
        <w:tc>
          <w:tcPr>
            <w:tcW w:w="1008" w:type="dxa"/>
            <w:shd w:val="clear" w:color="auto" w:fill="auto"/>
          </w:tcPr>
          <w:p w14:paraId="15C447B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0.168</w:t>
            </w:r>
          </w:p>
        </w:tc>
        <w:tc>
          <w:tcPr>
            <w:tcW w:w="1150" w:type="dxa"/>
            <w:shd w:val="clear" w:color="auto" w:fill="auto"/>
          </w:tcPr>
          <w:p w14:paraId="2600ABE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-3.05</w:t>
            </w:r>
          </w:p>
        </w:tc>
        <w:tc>
          <w:tcPr>
            <w:tcW w:w="862" w:type="dxa"/>
            <w:shd w:val="clear" w:color="auto" w:fill="auto"/>
          </w:tcPr>
          <w:p w14:paraId="02CF5DA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311" w:type="dxa"/>
            <w:shd w:val="clear" w:color="auto" w:fill="auto"/>
          </w:tcPr>
          <w:p w14:paraId="684904B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2.32e- 3</w:t>
            </w:r>
          </w:p>
        </w:tc>
        <w:tc>
          <w:tcPr>
            <w:tcW w:w="1251" w:type="dxa"/>
            <w:shd w:val="clear" w:color="auto" w:fill="auto"/>
          </w:tcPr>
          <w:p w14:paraId="5445F48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-0.0578</w:t>
            </w:r>
          </w:p>
        </w:tc>
        <w:tc>
          <w:tcPr>
            <w:tcW w:w="992" w:type="dxa"/>
            <w:shd w:val="clear" w:color="auto" w:fill="auto"/>
          </w:tcPr>
          <w:p w14:paraId="1AC219E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-0.0950</w:t>
            </w:r>
          </w:p>
        </w:tc>
        <w:tc>
          <w:tcPr>
            <w:tcW w:w="1054" w:type="dxa"/>
            <w:shd w:val="clear" w:color="auto" w:fill="auto"/>
          </w:tcPr>
          <w:p w14:paraId="2367DA3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-0.0206</w:t>
            </w:r>
          </w:p>
        </w:tc>
      </w:tr>
      <w:tr w:rsidR="001B011C" w:rsidRPr="00E64431" w14:paraId="0FA5BE58" w14:textId="77777777" w:rsidTr="00C51D35">
        <w:trPr>
          <w:trHeight w:val="328"/>
        </w:trPr>
        <w:tc>
          <w:tcPr>
            <w:tcW w:w="858" w:type="dxa"/>
            <w:shd w:val="clear" w:color="auto" w:fill="auto"/>
          </w:tcPr>
          <w:p w14:paraId="202099B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FD</w:t>
            </w:r>
          </w:p>
        </w:tc>
        <w:tc>
          <w:tcPr>
            <w:tcW w:w="719" w:type="dxa"/>
            <w:shd w:val="clear" w:color="auto" w:fill="auto"/>
          </w:tcPr>
          <w:p w14:paraId="1DB6F83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29.3</w:t>
            </w:r>
          </w:p>
        </w:tc>
        <w:tc>
          <w:tcPr>
            <w:tcW w:w="1008" w:type="dxa"/>
            <w:shd w:val="clear" w:color="auto" w:fill="auto"/>
          </w:tcPr>
          <w:p w14:paraId="0F5C7EC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6.41e- 8</w:t>
            </w:r>
          </w:p>
        </w:tc>
        <w:tc>
          <w:tcPr>
            <w:tcW w:w="1150" w:type="dxa"/>
            <w:shd w:val="clear" w:color="auto" w:fill="auto"/>
          </w:tcPr>
          <w:p w14:paraId="6A77EE8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-0.318</w:t>
            </w:r>
          </w:p>
        </w:tc>
        <w:tc>
          <w:tcPr>
            <w:tcW w:w="862" w:type="dxa"/>
            <w:shd w:val="clear" w:color="auto" w:fill="auto"/>
          </w:tcPr>
          <w:p w14:paraId="1607B71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311" w:type="dxa"/>
            <w:shd w:val="clear" w:color="auto" w:fill="auto"/>
          </w:tcPr>
          <w:p w14:paraId="4108EB9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0.750</w:t>
            </w:r>
          </w:p>
        </w:tc>
        <w:tc>
          <w:tcPr>
            <w:tcW w:w="1251" w:type="dxa"/>
            <w:shd w:val="clear" w:color="auto" w:fill="auto"/>
          </w:tcPr>
          <w:p w14:paraId="0E41E23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-0.00604</w:t>
            </w:r>
          </w:p>
        </w:tc>
        <w:tc>
          <w:tcPr>
            <w:tcW w:w="992" w:type="dxa"/>
            <w:shd w:val="clear" w:color="auto" w:fill="auto"/>
          </w:tcPr>
          <w:p w14:paraId="108FDE8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-0.0433</w:t>
            </w:r>
          </w:p>
        </w:tc>
        <w:tc>
          <w:tcPr>
            <w:tcW w:w="1054" w:type="dxa"/>
            <w:shd w:val="clear" w:color="auto" w:fill="auto"/>
          </w:tcPr>
          <w:p w14:paraId="7A57A6C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0.0312</w:t>
            </w:r>
          </w:p>
        </w:tc>
      </w:tr>
      <w:tr w:rsidR="001B011C" w:rsidRPr="00E64431" w14:paraId="1821825C" w14:textId="77777777" w:rsidTr="00C51D35">
        <w:trPr>
          <w:trHeight w:val="314"/>
        </w:trPr>
        <w:tc>
          <w:tcPr>
            <w:tcW w:w="858" w:type="dxa"/>
            <w:shd w:val="clear" w:color="auto" w:fill="auto"/>
          </w:tcPr>
          <w:p w14:paraId="6483E34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MI</w:t>
            </w:r>
          </w:p>
        </w:tc>
        <w:tc>
          <w:tcPr>
            <w:tcW w:w="719" w:type="dxa"/>
            <w:shd w:val="clear" w:color="auto" w:fill="auto"/>
          </w:tcPr>
          <w:p w14:paraId="32B3D6B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1.60</w:t>
            </w:r>
          </w:p>
        </w:tc>
        <w:tc>
          <w:tcPr>
            <w:tcW w:w="1008" w:type="dxa"/>
            <w:shd w:val="clear" w:color="auto" w:fill="auto"/>
          </w:tcPr>
          <w:p w14:paraId="3840165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0.206</w:t>
            </w:r>
          </w:p>
        </w:tc>
        <w:tc>
          <w:tcPr>
            <w:tcW w:w="1150" w:type="dxa"/>
            <w:shd w:val="clear" w:color="auto" w:fill="auto"/>
          </w:tcPr>
          <w:p w14:paraId="0DA62A3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8.71</w:t>
            </w:r>
          </w:p>
        </w:tc>
        <w:tc>
          <w:tcPr>
            <w:tcW w:w="862" w:type="dxa"/>
            <w:shd w:val="clear" w:color="auto" w:fill="auto"/>
          </w:tcPr>
          <w:p w14:paraId="3AADC68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311" w:type="dxa"/>
            <w:shd w:val="clear" w:color="auto" w:fill="auto"/>
          </w:tcPr>
          <w:p w14:paraId="37A55D3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3.58e-18</w:t>
            </w:r>
          </w:p>
        </w:tc>
        <w:tc>
          <w:tcPr>
            <w:tcW w:w="1251" w:type="dxa"/>
            <w:shd w:val="clear" w:color="auto" w:fill="auto"/>
          </w:tcPr>
          <w:p w14:paraId="5DF5E7B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0.165</w:t>
            </w:r>
          </w:p>
        </w:tc>
        <w:tc>
          <w:tcPr>
            <w:tcW w:w="992" w:type="dxa"/>
            <w:shd w:val="clear" w:color="auto" w:fill="auto"/>
          </w:tcPr>
          <w:p w14:paraId="3DC71E1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0.128</w:t>
            </w:r>
          </w:p>
        </w:tc>
        <w:tc>
          <w:tcPr>
            <w:tcW w:w="1054" w:type="dxa"/>
            <w:shd w:val="clear" w:color="auto" w:fill="auto"/>
          </w:tcPr>
          <w:p w14:paraId="1AD929B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0.202</w:t>
            </w:r>
          </w:p>
        </w:tc>
      </w:tr>
      <w:tr w:rsidR="001B011C" w:rsidRPr="00E64431" w14:paraId="7825B504" w14:textId="77777777" w:rsidTr="00C51D35">
        <w:trPr>
          <w:trHeight w:val="314"/>
        </w:trPr>
        <w:tc>
          <w:tcPr>
            <w:tcW w:w="858" w:type="dxa"/>
            <w:shd w:val="clear" w:color="auto" w:fill="auto"/>
          </w:tcPr>
          <w:p w14:paraId="5892BE1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FT</w:t>
            </w:r>
          </w:p>
        </w:tc>
        <w:tc>
          <w:tcPr>
            <w:tcW w:w="719" w:type="dxa"/>
            <w:shd w:val="clear" w:color="auto" w:fill="auto"/>
          </w:tcPr>
          <w:p w14:paraId="10935AD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8.45</w:t>
            </w:r>
          </w:p>
        </w:tc>
        <w:tc>
          <w:tcPr>
            <w:tcW w:w="1008" w:type="dxa"/>
            <w:shd w:val="clear" w:color="auto" w:fill="auto"/>
          </w:tcPr>
          <w:p w14:paraId="000FAAF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3.65e- 3</w:t>
            </w:r>
          </w:p>
        </w:tc>
        <w:tc>
          <w:tcPr>
            <w:tcW w:w="1150" w:type="dxa"/>
            <w:shd w:val="clear" w:color="auto" w:fill="auto"/>
          </w:tcPr>
          <w:p w14:paraId="741E918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0.0639</w:t>
            </w:r>
          </w:p>
        </w:tc>
        <w:tc>
          <w:tcPr>
            <w:tcW w:w="862" w:type="dxa"/>
            <w:shd w:val="clear" w:color="auto" w:fill="auto"/>
          </w:tcPr>
          <w:p w14:paraId="53C2EDE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11128</w:t>
            </w:r>
          </w:p>
        </w:tc>
        <w:tc>
          <w:tcPr>
            <w:tcW w:w="1311" w:type="dxa"/>
            <w:shd w:val="clear" w:color="auto" w:fill="auto"/>
          </w:tcPr>
          <w:p w14:paraId="782D54A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0.949</w:t>
            </w:r>
          </w:p>
        </w:tc>
        <w:tc>
          <w:tcPr>
            <w:tcW w:w="1251" w:type="dxa"/>
            <w:shd w:val="clear" w:color="auto" w:fill="auto"/>
          </w:tcPr>
          <w:p w14:paraId="7E15DBD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0.00121</w:t>
            </w:r>
          </w:p>
        </w:tc>
        <w:tc>
          <w:tcPr>
            <w:tcW w:w="992" w:type="dxa"/>
            <w:shd w:val="clear" w:color="auto" w:fill="auto"/>
          </w:tcPr>
          <w:p w14:paraId="27A0B2E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-0.0360</w:t>
            </w:r>
          </w:p>
        </w:tc>
        <w:tc>
          <w:tcPr>
            <w:tcW w:w="1054" w:type="dxa"/>
            <w:shd w:val="clear" w:color="auto" w:fill="auto"/>
          </w:tcPr>
          <w:p w14:paraId="5AFB5CD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0.0384</w:t>
            </w:r>
          </w:p>
        </w:tc>
      </w:tr>
    </w:tbl>
    <w:p w14:paraId="599E3F88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26F81F99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Note: N = 11,128. Urban coded as reference category. Significant differences in FWB, FB, FS, and MI.</w:t>
      </w:r>
    </w:p>
    <w:p w14:paraId="17E0E63C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 xml:space="preserve">Source: Authors own </w:t>
      </w: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analysis of EU-SILC data</w:t>
      </w:r>
    </w:p>
    <w:p w14:paraId="29ED415F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DF1AE7C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028313B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EF55A6B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3BB15D88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1457BEC8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538C19C5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31ADF6C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616AE4A3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6083B5F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47025286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F20B3FA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79E9747B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3DA48E62" w14:textId="77777777" w:rsidR="00136CCA" w:rsidRPr="00E64431" w:rsidRDefault="00136CCA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p w14:paraId="0BBF7DC7" w14:textId="77777777" w:rsidR="001B011C" w:rsidRPr="00E64431" w:rsidRDefault="001B011C" w:rsidP="00E64431">
      <w:pPr>
        <w:spacing w:after="0"/>
        <w:jc w:val="center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</w:p>
    <w:tbl>
      <w:tblPr>
        <w:tblStyle w:val="TableGrid1"/>
        <w:tblW w:w="9112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1002"/>
        <w:gridCol w:w="1289"/>
        <w:gridCol w:w="858"/>
        <w:gridCol w:w="859"/>
        <w:gridCol w:w="1145"/>
        <w:gridCol w:w="1289"/>
        <w:gridCol w:w="817"/>
        <w:gridCol w:w="999"/>
      </w:tblGrid>
      <w:tr w:rsidR="001B011C" w:rsidRPr="00E64431" w14:paraId="24D1AF2E" w14:textId="77777777" w:rsidTr="00C51D35">
        <w:trPr>
          <w:trHeight w:val="380"/>
        </w:trPr>
        <w:tc>
          <w:tcPr>
            <w:tcW w:w="9112" w:type="dxa"/>
            <w:gridSpan w:val="9"/>
            <w:shd w:val="clear" w:color="auto" w:fill="auto"/>
          </w:tcPr>
          <w:p w14:paraId="4C48EDA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9: </w:t>
            </w: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Income Level Differences - Levene's Test and t-test</w:t>
            </w:r>
          </w:p>
        </w:tc>
      </w:tr>
      <w:tr w:rsidR="001B011C" w:rsidRPr="00E64431" w14:paraId="3314272B" w14:textId="77777777" w:rsidTr="00C51D35">
        <w:trPr>
          <w:trHeight w:val="759"/>
        </w:trPr>
        <w:tc>
          <w:tcPr>
            <w:tcW w:w="854" w:type="dxa"/>
            <w:vMerge w:val="restart"/>
            <w:shd w:val="clear" w:color="auto" w:fill="auto"/>
          </w:tcPr>
          <w:p w14:paraId="1B3A423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2291" w:type="dxa"/>
            <w:gridSpan w:val="2"/>
            <w:shd w:val="clear" w:color="auto" w:fill="auto"/>
          </w:tcPr>
          <w:p w14:paraId="250A1A6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Levene’s Test for Equality of Variables</w:t>
            </w:r>
          </w:p>
        </w:tc>
        <w:tc>
          <w:tcPr>
            <w:tcW w:w="5967" w:type="dxa"/>
            <w:gridSpan w:val="6"/>
            <w:shd w:val="clear" w:color="auto" w:fill="auto"/>
          </w:tcPr>
          <w:p w14:paraId="0FA3E20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  <w:p w14:paraId="1D21C1C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t-Test for Equality of Mean</w:t>
            </w:r>
          </w:p>
        </w:tc>
      </w:tr>
      <w:tr w:rsidR="001B011C" w:rsidRPr="00E64431" w14:paraId="38B122EB" w14:textId="77777777" w:rsidTr="00C51D35">
        <w:trPr>
          <w:trHeight w:val="213"/>
        </w:trPr>
        <w:tc>
          <w:tcPr>
            <w:tcW w:w="854" w:type="dxa"/>
            <w:vMerge/>
            <w:shd w:val="clear" w:color="auto" w:fill="auto"/>
          </w:tcPr>
          <w:p w14:paraId="272F6CB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002" w:type="dxa"/>
            <w:vMerge w:val="restart"/>
            <w:shd w:val="clear" w:color="auto" w:fill="auto"/>
          </w:tcPr>
          <w:p w14:paraId="616AAF5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</w:t>
            </w:r>
          </w:p>
        </w:tc>
        <w:tc>
          <w:tcPr>
            <w:tcW w:w="1289" w:type="dxa"/>
            <w:vMerge w:val="restart"/>
            <w:shd w:val="clear" w:color="auto" w:fill="auto"/>
          </w:tcPr>
          <w:p w14:paraId="54D5E7B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858" w:type="dxa"/>
            <w:vMerge w:val="restart"/>
            <w:shd w:val="clear" w:color="auto" w:fill="auto"/>
          </w:tcPr>
          <w:p w14:paraId="2D28018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t</w:t>
            </w:r>
          </w:p>
        </w:tc>
        <w:tc>
          <w:tcPr>
            <w:tcW w:w="859" w:type="dxa"/>
            <w:vMerge w:val="restart"/>
            <w:shd w:val="clear" w:color="auto" w:fill="auto"/>
          </w:tcPr>
          <w:p w14:paraId="72D0211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Sample size</w:t>
            </w:r>
          </w:p>
        </w:tc>
        <w:tc>
          <w:tcPr>
            <w:tcW w:w="1145" w:type="dxa"/>
            <w:vMerge w:val="restart"/>
            <w:shd w:val="clear" w:color="auto" w:fill="auto"/>
          </w:tcPr>
          <w:p w14:paraId="35914E6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p. value</w:t>
            </w:r>
          </w:p>
        </w:tc>
        <w:tc>
          <w:tcPr>
            <w:tcW w:w="1289" w:type="dxa"/>
            <w:vMerge w:val="restart"/>
            <w:shd w:val="clear" w:color="auto" w:fill="auto"/>
          </w:tcPr>
          <w:p w14:paraId="2279E5B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Mean difference</w:t>
            </w:r>
          </w:p>
        </w:tc>
        <w:tc>
          <w:tcPr>
            <w:tcW w:w="1816" w:type="dxa"/>
            <w:gridSpan w:val="2"/>
            <w:shd w:val="clear" w:color="auto" w:fill="auto"/>
          </w:tcPr>
          <w:p w14:paraId="396D7F1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95% CI</w:t>
            </w:r>
          </w:p>
        </w:tc>
      </w:tr>
      <w:tr w:rsidR="001B011C" w:rsidRPr="00E64431" w14:paraId="4DEB3F4F" w14:textId="77777777" w:rsidTr="00C51D35">
        <w:trPr>
          <w:trHeight w:val="213"/>
        </w:trPr>
        <w:tc>
          <w:tcPr>
            <w:tcW w:w="854" w:type="dxa"/>
            <w:vMerge/>
            <w:shd w:val="clear" w:color="auto" w:fill="auto"/>
          </w:tcPr>
          <w:p w14:paraId="7E95667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</w:p>
        </w:tc>
        <w:tc>
          <w:tcPr>
            <w:tcW w:w="1002" w:type="dxa"/>
            <w:vMerge/>
            <w:shd w:val="clear" w:color="auto" w:fill="auto"/>
          </w:tcPr>
          <w:p w14:paraId="4489B07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289" w:type="dxa"/>
            <w:vMerge/>
            <w:shd w:val="clear" w:color="auto" w:fill="auto"/>
          </w:tcPr>
          <w:p w14:paraId="7142893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858" w:type="dxa"/>
            <w:vMerge/>
            <w:shd w:val="clear" w:color="auto" w:fill="auto"/>
          </w:tcPr>
          <w:p w14:paraId="2097A6C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859" w:type="dxa"/>
            <w:vMerge/>
            <w:shd w:val="clear" w:color="auto" w:fill="auto"/>
          </w:tcPr>
          <w:p w14:paraId="74E4F99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14:paraId="0F4776D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1289" w:type="dxa"/>
            <w:vMerge/>
            <w:shd w:val="clear" w:color="auto" w:fill="auto"/>
          </w:tcPr>
          <w:p w14:paraId="43A6C21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</w:p>
        </w:tc>
        <w:tc>
          <w:tcPr>
            <w:tcW w:w="817" w:type="dxa"/>
            <w:shd w:val="clear" w:color="auto" w:fill="auto"/>
          </w:tcPr>
          <w:p w14:paraId="6F70B7B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Low</w:t>
            </w:r>
          </w:p>
        </w:tc>
        <w:tc>
          <w:tcPr>
            <w:tcW w:w="999" w:type="dxa"/>
            <w:shd w:val="clear" w:color="auto" w:fill="auto"/>
          </w:tcPr>
          <w:p w14:paraId="524576C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High</w:t>
            </w:r>
          </w:p>
        </w:tc>
      </w:tr>
      <w:tr w:rsidR="001B011C" w:rsidRPr="00E64431" w14:paraId="7E4C69F0" w14:textId="77777777" w:rsidTr="00C51D35">
        <w:trPr>
          <w:trHeight w:val="371"/>
        </w:trPr>
        <w:tc>
          <w:tcPr>
            <w:tcW w:w="854" w:type="dxa"/>
            <w:shd w:val="clear" w:color="auto" w:fill="auto"/>
          </w:tcPr>
          <w:p w14:paraId="54E8935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FWB</w:t>
            </w:r>
          </w:p>
        </w:tc>
        <w:tc>
          <w:tcPr>
            <w:tcW w:w="1002" w:type="dxa"/>
            <w:shd w:val="clear" w:color="auto" w:fill="auto"/>
          </w:tcPr>
          <w:p w14:paraId="7968473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193.0</w:t>
            </w:r>
          </w:p>
        </w:tc>
        <w:tc>
          <w:tcPr>
            <w:tcW w:w="1289" w:type="dxa"/>
            <w:shd w:val="clear" w:color="auto" w:fill="auto"/>
          </w:tcPr>
          <w:p w14:paraId="3080088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1.41e- 43</w:t>
            </w:r>
          </w:p>
        </w:tc>
        <w:tc>
          <w:tcPr>
            <w:tcW w:w="858" w:type="dxa"/>
            <w:shd w:val="clear" w:color="auto" w:fill="auto"/>
          </w:tcPr>
          <w:p w14:paraId="3AD4FCD6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859" w:type="dxa"/>
            <w:shd w:val="clear" w:color="auto" w:fill="auto"/>
          </w:tcPr>
          <w:p w14:paraId="17F4820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45" w:type="dxa"/>
            <w:shd w:val="clear" w:color="auto" w:fill="auto"/>
          </w:tcPr>
          <w:p w14:paraId="1A2BEED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3.29e-306</w:t>
            </w:r>
          </w:p>
        </w:tc>
        <w:tc>
          <w:tcPr>
            <w:tcW w:w="1289" w:type="dxa"/>
            <w:shd w:val="clear" w:color="auto" w:fill="auto"/>
          </w:tcPr>
          <w:p w14:paraId="2275F0A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817" w:type="dxa"/>
            <w:shd w:val="clear" w:color="auto" w:fill="auto"/>
          </w:tcPr>
          <w:p w14:paraId="219E85B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999" w:type="dxa"/>
            <w:shd w:val="clear" w:color="auto" w:fill="auto"/>
          </w:tcPr>
          <w:p w14:paraId="597BD2A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13.0</w:t>
            </w:r>
          </w:p>
        </w:tc>
      </w:tr>
      <w:tr w:rsidR="001B011C" w:rsidRPr="00E64431" w14:paraId="0B579660" w14:textId="77777777" w:rsidTr="00C51D35">
        <w:trPr>
          <w:trHeight w:val="386"/>
        </w:trPr>
        <w:tc>
          <w:tcPr>
            <w:tcW w:w="854" w:type="dxa"/>
            <w:shd w:val="clear" w:color="auto" w:fill="auto"/>
          </w:tcPr>
          <w:p w14:paraId="54891B4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FB</w:t>
            </w:r>
          </w:p>
        </w:tc>
        <w:tc>
          <w:tcPr>
            <w:tcW w:w="1002" w:type="dxa"/>
            <w:shd w:val="clear" w:color="auto" w:fill="auto"/>
          </w:tcPr>
          <w:p w14:paraId="2AE7DBF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193.0</w:t>
            </w:r>
          </w:p>
        </w:tc>
        <w:tc>
          <w:tcPr>
            <w:tcW w:w="1289" w:type="dxa"/>
            <w:shd w:val="clear" w:color="auto" w:fill="auto"/>
          </w:tcPr>
          <w:p w14:paraId="1BED770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1.41e- 43</w:t>
            </w:r>
          </w:p>
        </w:tc>
        <w:tc>
          <w:tcPr>
            <w:tcW w:w="858" w:type="dxa"/>
            <w:shd w:val="clear" w:color="auto" w:fill="auto"/>
          </w:tcPr>
          <w:p w14:paraId="7FFC368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859" w:type="dxa"/>
            <w:shd w:val="clear" w:color="auto" w:fill="auto"/>
          </w:tcPr>
          <w:p w14:paraId="09C419C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45" w:type="dxa"/>
            <w:shd w:val="clear" w:color="auto" w:fill="auto"/>
          </w:tcPr>
          <w:p w14:paraId="431EC1F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3.29e-306</w:t>
            </w:r>
          </w:p>
        </w:tc>
        <w:tc>
          <w:tcPr>
            <w:tcW w:w="1289" w:type="dxa"/>
            <w:shd w:val="clear" w:color="auto" w:fill="auto"/>
          </w:tcPr>
          <w:p w14:paraId="0E04CBB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817" w:type="dxa"/>
            <w:shd w:val="clear" w:color="auto" w:fill="auto"/>
          </w:tcPr>
          <w:p w14:paraId="69073BC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0.653</w:t>
            </w:r>
          </w:p>
        </w:tc>
        <w:tc>
          <w:tcPr>
            <w:tcW w:w="999" w:type="dxa"/>
            <w:shd w:val="clear" w:color="auto" w:fill="auto"/>
          </w:tcPr>
          <w:p w14:paraId="558C885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0.722</w:t>
            </w:r>
          </w:p>
        </w:tc>
      </w:tr>
      <w:tr w:rsidR="001B011C" w:rsidRPr="00E64431" w14:paraId="698C0F09" w14:textId="77777777" w:rsidTr="00C51D35">
        <w:trPr>
          <w:trHeight w:val="371"/>
        </w:trPr>
        <w:tc>
          <w:tcPr>
            <w:tcW w:w="854" w:type="dxa"/>
            <w:shd w:val="clear" w:color="auto" w:fill="auto"/>
          </w:tcPr>
          <w:p w14:paraId="3A30A4C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FS</w:t>
            </w:r>
          </w:p>
        </w:tc>
        <w:tc>
          <w:tcPr>
            <w:tcW w:w="1002" w:type="dxa"/>
            <w:shd w:val="clear" w:color="auto" w:fill="auto"/>
          </w:tcPr>
          <w:p w14:paraId="772D960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954.0</w:t>
            </w:r>
          </w:p>
        </w:tc>
        <w:tc>
          <w:tcPr>
            <w:tcW w:w="1289" w:type="dxa"/>
            <w:shd w:val="clear" w:color="auto" w:fill="auto"/>
          </w:tcPr>
          <w:p w14:paraId="2AE20F9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4.49e-201</w:t>
            </w:r>
          </w:p>
        </w:tc>
        <w:tc>
          <w:tcPr>
            <w:tcW w:w="858" w:type="dxa"/>
            <w:shd w:val="clear" w:color="auto" w:fill="auto"/>
          </w:tcPr>
          <w:p w14:paraId="3D7D0DC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37.1</w:t>
            </w:r>
          </w:p>
        </w:tc>
        <w:tc>
          <w:tcPr>
            <w:tcW w:w="859" w:type="dxa"/>
            <w:shd w:val="clear" w:color="auto" w:fill="auto"/>
          </w:tcPr>
          <w:p w14:paraId="0185DFF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45" w:type="dxa"/>
            <w:shd w:val="clear" w:color="auto" w:fill="auto"/>
          </w:tcPr>
          <w:p w14:paraId="07EEA0D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1.87e-284</w:t>
            </w:r>
          </w:p>
        </w:tc>
        <w:tc>
          <w:tcPr>
            <w:tcW w:w="1289" w:type="dxa"/>
            <w:shd w:val="clear" w:color="auto" w:fill="auto"/>
          </w:tcPr>
          <w:p w14:paraId="689D06D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0.664</w:t>
            </w:r>
          </w:p>
        </w:tc>
        <w:tc>
          <w:tcPr>
            <w:tcW w:w="817" w:type="dxa"/>
            <w:shd w:val="clear" w:color="auto" w:fill="auto"/>
          </w:tcPr>
          <w:p w14:paraId="6B1D187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0.629</w:t>
            </w:r>
          </w:p>
        </w:tc>
        <w:tc>
          <w:tcPr>
            <w:tcW w:w="999" w:type="dxa"/>
            <w:shd w:val="clear" w:color="auto" w:fill="auto"/>
          </w:tcPr>
          <w:p w14:paraId="563FD2EF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0.699</w:t>
            </w:r>
          </w:p>
        </w:tc>
      </w:tr>
      <w:tr w:rsidR="001B011C" w:rsidRPr="00E64431" w14:paraId="3544DD06" w14:textId="77777777" w:rsidTr="00C51D35">
        <w:trPr>
          <w:trHeight w:val="371"/>
        </w:trPr>
        <w:tc>
          <w:tcPr>
            <w:tcW w:w="854" w:type="dxa"/>
            <w:shd w:val="clear" w:color="auto" w:fill="auto"/>
          </w:tcPr>
          <w:p w14:paraId="3D29C1E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FD</w:t>
            </w:r>
          </w:p>
        </w:tc>
        <w:tc>
          <w:tcPr>
            <w:tcW w:w="1002" w:type="dxa"/>
            <w:shd w:val="clear" w:color="auto" w:fill="auto"/>
          </w:tcPr>
          <w:p w14:paraId="0600C1D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39.9</w:t>
            </w:r>
          </w:p>
        </w:tc>
        <w:tc>
          <w:tcPr>
            <w:tcW w:w="1289" w:type="dxa"/>
            <w:shd w:val="clear" w:color="auto" w:fill="auto"/>
          </w:tcPr>
          <w:p w14:paraId="661A1A4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2.84e- 10</w:t>
            </w:r>
          </w:p>
        </w:tc>
        <w:tc>
          <w:tcPr>
            <w:tcW w:w="858" w:type="dxa"/>
            <w:shd w:val="clear" w:color="auto" w:fill="auto"/>
          </w:tcPr>
          <w:p w14:paraId="126F9560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-11.1</w:t>
            </w:r>
          </w:p>
        </w:tc>
        <w:tc>
          <w:tcPr>
            <w:tcW w:w="859" w:type="dxa"/>
            <w:shd w:val="clear" w:color="auto" w:fill="auto"/>
          </w:tcPr>
          <w:p w14:paraId="5DC24D7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45" w:type="dxa"/>
            <w:shd w:val="clear" w:color="auto" w:fill="auto"/>
          </w:tcPr>
          <w:p w14:paraId="0222433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3.04e- 28</w:t>
            </w:r>
          </w:p>
        </w:tc>
        <w:tc>
          <w:tcPr>
            <w:tcW w:w="1289" w:type="dxa"/>
            <w:shd w:val="clear" w:color="auto" w:fill="auto"/>
          </w:tcPr>
          <w:p w14:paraId="77797A4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-0.208</w:t>
            </w:r>
          </w:p>
        </w:tc>
        <w:tc>
          <w:tcPr>
            <w:tcW w:w="817" w:type="dxa"/>
            <w:shd w:val="clear" w:color="auto" w:fill="auto"/>
          </w:tcPr>
          <w:p w14:paraId="0A550C2E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-0.245</w:t>
            </w:r>
          </w:p>
        </w:tc>
        <w:tc>
          <w:tcPr>
            <w:tcW w:w="999" w:type="dxa"/>
            <w:shd w:val="clear" w:color="auto" w:fill="auto"/>
          </w:tcPr>
          <w:p w14:paraId="7BC0FA0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-0.171</w:t>
            </w:r>
          </w:p>
        </w:tc>
      </w:tr>
      <w:tr w:rsidR="001B011C" w:rsidRPr="00E64431" w14:paraId="5A1CF51C" w14:textId="77777777" w:rsidTr="00C51D35">
        <w:trPr>
          <w:trHeight w:val="386"/>
        </w:trPr>
        <w:tc>
          <w:tcPr>
            <w:tcW w:w="854" w:type="dxa"/>
            <w:shd w:val="clear" w:color="auto" w:fill="auto"/>
          </w:tcPr>
          <w:p w14:paraId="2DDFFA0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MI</w:t>
            </w:r>
          </w:p>
        </w:tc>
        <w:tc>
          <w:tcPr>
            <w:tcW w:w="1002" w:type="dxa"/>
            <w:shd w:val="clear" w:color="auto" w:fill="auto"/>
          </w:tcPr>
          <w:p w14:paraId="0487F05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44.4</w:t>
            </w:r>
          </w:p>
        </w:tc>
        <w:tc>
          <w:tcPr>
            <w:tcW w:w="1289" w:type="dxa"/>
            <w:shd w:val="clear" w:color="auto" w:fill="auto"/>
          </w:tcPr>
          <w:p w14:paraId="6E1C98AA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2.82e- 11</w:t>
            </w:r>
          </w:p>
        </w:tc>
        <w:tc>
          <w:tcPr>
            <w:tcW w:w="858" w:type="dxa"/>
            <w:shd w:val="clear" w:color="auto" w:fill="auto"/>
          </w:tcPr>
          <w:p w14:paraId="5A19A825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21.7</w:t>
            </w:r>
          </w:p>
        </w:tc>
        <w:tc>
          <w:tcPr>
            <w:tcW w:w="859" w:type="dxa"/>
            <w:shd w:val="clear" w:color="auto" w:fill="auto"/>
          </w:tcPr>
          <w:p w14:paraId="25546CFC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45" w:type="dxa"/>
            <w:shd w:val="clear" w:color="auto" w:fill="auto"/>
          </w:tcPr>
          <w:p w14:paraId="32E5B559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1.08e-102</w:t>
            </w:r>
          </w:p>
        </w:tc>
        <w:tc>
          <w:tcPr>
            <w:tcW w:w="1289" w:type="dxa"/>
            <w:shd w:val="clear" w:color="auto" w:fill="auto"/>
          </w:tcPr>
          <w:p w14:paraId="316ADAD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  <w:tc>
          <w:tcPr>
            <w:tcW w:w="817" w:type="dxa"/>
            <w:shd w:val="clear" w:color="auto" w:fill="auto"/>
          </w:tcPr>
          <w:p w14:paraId="6B5A5D31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0.367</w:t>
            </w:r>
          </w:p>
        </w:tc>
        <w:tc>
          <w:tcPr>
            <w:tcW w:w="999" w:type="dxa"/>
            <w:shd w:val="clear" w:color="auto" w:fill="auto"/>
          </w:tcPr>
          <w:p w14:paraId="04B6210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</w:tr>
      <w:tr w:rsidR="001B011C" w:rsidRPr="00E64431" w14:paraId="187C3769" w14:textId="77777777" w:rsidTr="00C51D35">
        <w:trPr>
          <w:trHeight w:val="371"/>
        </w:trPr>
        <w:tc>
          <w:tcPr>
            <w:tcW w:w="854" w:type="dxa"/>
            <w:shd w:val="clear" w:color="auto" w:fill="auto"/>
          </w:tcPr>
          <w:p w14:paraId="23F4138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E"/>
              </w:rPr>
              <w:t>FT</w:t>
            </w:r>
          </w:p>
        </w:tc>
        <w:tc>
          <w:tcPr>
            <w:tcW w:w="1002" w:type="dxa"/>
            <w:shd w:val="clear" w:color="auto" w:fill="auto"/>
          </w:tcPr>
          <w:p w14:paraId="659E1282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160.0</w:t>
            </w:r>
          </w:p>
        </w:tc>
        <w:tc>
          <w:tcPr>
            <w:tcW w:w="1289" w:type="dxa"/>
            <w:shd w:val="clear" w:color="auto" w:fill="auto"/>
          </w:tcPr>
          <w:p w14:paraId="7C38F7B7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2.25e- 36</w:t>
            </w:r>
          </w:p>
        </w:tc>
        <w:tc>
          <w:tcPr>
            <w:tcW w:w="858" w:type="dxa"/>
            <w:shd w:val="clear" w:color="auto" w:fill="auto"/>
          </w:tcPr>
          <w:p w14:paraId="3084164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44.4</w:t>
            </w:r>
          </w:p>
        </w:tc>
        <w:tc>
          <w:tcPr>
            <w:tcW w:w="859" w:type="dxa"/>
            <w:shd w:val="clear" w:color="auto" w:fill="auto"/>
          </w:tcPr>
          <w:p w14:paraId="56585453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11128</w:t>
            </w:r>
          </w:p>
        </w:tc>
        <w:tc>
          <w:tcPr>
            <w:tcW w:w="1145" w:type="dxa"/>
            <w:shd w:val="clear" w:color="auto" w:fill="auto"/>
          </w:tcPr>
          <w:p w14:paraId="15A7D184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  <w:lang w:val="en-IE"/>
              </w:rPr>
              <w:t>0</w:t>
            </w:r>
          </w:p>
        </w:tc>
        <w:tc>
          <w:tcPr>
            <w:tcW w:w="1289" w:type="dxa"/>
            <w:shd w:val="clear" w:color="auto" w:fill="auto"/>
          </w:tcPr>
          <w:p w14:paraId="621D74DD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0.776</w:t>
            </w:r>
          </w:p>
        </w:tc>
        <w:tc>
          <w:tcPr>
            <w:tcW w:w="817" w:type="dxa"/>
            <w:shd w:val="clear" w:color="auto" w:fill="auto"/>
          </w:tcPr>
          <w:p w14:paraId="1F19402B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0.741</w:t>
            </w:r>
          </w:p>
        </w:tc>
        <w:tc>
          <w:tcPr>
            <w:tcW w:w="999" w:type="dxa"/>
            <w:shd w:val="clear" w:color="auto" w:fill="auto"/>
          </w:tcPr>
          <w:p w14:paraId="26BF6B18" w14:textId="77777777" w:rsidR="001B011C" w:rsidRPr="00E64431" w:rsidRDefault="001B011C" w:rsidP="00E644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0.810</w:t>
            </w:r>
          </w:p>
        </w:tc>
      </w:tr>
    </w:tbl>
    <w:p w14:paraId="706679C1" w14:textId="77777777" w:rsidR="001B011C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Note: N = 11,128. Income groups: below/equal to average vs. above average. All dimensions show significant differences.</w:t>
      </w:r>
    </w:p>
    <w:p w14:paraId="68621B4D" w14:textId="3C92F870" w:rsidR="0079418A" w:rsidRPr="00E64431" w:rsidRDefault="001B011C" w:rsidP="00E64431">
      <w:pPr>
        <w:spacing w:after="0"/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</w:pP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eastAsia="en-IE"/>
          <w14:ligatures w14:val="standardContextual"/>
        </w:rPr>
        <w:t xml:space="preserve">Source: Authors own </w:t>
      </w:r>
      <w:r w:rsidRPr="00E64431">
        <w:rPr>
          <w:rFonts w:ascii="Times New Roman" w:eastAsiaTheme="minorHAnsi" w:hAnsi="Times New Roman" w:cs="Times New Roman"/>
          <w:i/>
          <w:iCs/>
          <w:kern w:val="2"/>
          <w:sz w:val="20"/>
          <w:szCs w:val="20"/>
          <w:lang w:val="en-IE" w:eastAsia="en-IE"/>
          <w14:ligatures w14:val="standardContextual"/>
        </w:rPr>
        <w:t>analysis of EU-SILC data</w:t>
      </w:r>
    </w:p>
    <w:p w14:paraId="1F58E60E" w14:textId="77777777" w:rsidR="0079418A" w:rsidRPr="00E64431" w:rsidRDefault="0079418A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7F449FDA" w14:textId="77777777" w:rsidR="0079418A" w:rsidRPr="00E64431" w:rsidRDefault="0079418A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14BD2236" w14:textId="77777777" w:rsidR="0079418A" w:rsidRPr="00E64431" w:rsidRDefault="0079418A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1B674C3F" w14:textId="77777777" w:rsidR="00156E06" w:rsidRPr="00E64431" w:rsidRDefault="00156E06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3B6EAB03" w14:textId="77777777" w:rsidR="00156E06" w:rsidRPr="00E64431" w:rsidRDefault="00156E06" w:rsidP="00E64431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val="en-IE" w:eastAsia="en-IE"/>
        </w:rPr>
      </w:pPr>
    </w:p>
    <w:p w14:paraId="5A148AC8" w14:textId="77777777" w:rsidR="00156E06" w:rsidRPr="00E64431" w:rsidRDefault="00156E06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2EC85EB7" w14:textId="77777777" w:rsidR="00156E06" w:rsidRPr="00E64431" w:rsidRDefault="00156E06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53145BF7" w14:textId="77777777" w:rsidR="0079418A" w:rsidRPr="00E64431" w:rsidRDefault="0079418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098ED658" w14:textId="77777777" w:rsidR="0079418A" w:rsidRPr="00E64431" w:rsidRDefault="0079418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7386EE07" w14:textId="77777777" w:rsidR="00B23CAA" w:rsidRPr="00E64431" w:rsidRDefault="00B23CA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6AC3BEEC" w14:textId="77777777" w:rsidR="00B23CAA" w:rsidRPr="00E64431" w:rsidRDefault="00B23CA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3D9E9860" w14:textId="77777777" w:rsidR="00B23CAA" w:rsidRPr="00E64431" w:rsidRDefault="00B23CA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5E50A68C" w14:textId="77777777" w:rsidR="00B23CAA" w:rsidRPr="00E64431" w:rsidRDefault="00B23CA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7178D447" w14:textId="77777777" w:rsidR="00B23CAA" w:rsidRDefault="00B23CA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58FB9FB4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245C4C69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13C86A71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71D5A675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74C80365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39B1F825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617BC8A6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3A8505B6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4F3BBBC7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2650D385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00F6AE12" w14:textId="77777777" w:rsid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6AFF5659" w14:textId="77777777" w:rsidR="00E64431" w:rsidRPr="00E64431" w:rsidRDefault="00E64431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p w14:paraId="6C3B6E7C" w14:textId="77777777" w:rsidR="0079418A" w:rsidRPr="00E64431" w:rsidRDefault="0079418A" w:rsidP="00E6443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IE" w:eastAsia="en-IE"/>
        </w:rPr>
      </w:pPr>
    </w:p>
    <w:tbl>
      <w:tblPr>
        <w:tblW w:w="10490" w:type="dxa"/>
        <w:tblCellSpacing w:w="15" w:type="dxa"/>
        <w:tblInd w:w="-7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2185"/>
        <w:gridCol w:w="1984"/>
        <w:gridCol w:w="2410"/>
        <w:gridCol w:w="2693"/>
      </w:tblGrid>
      <w:tr w:rsidR="00156E06" w:rsidRPr="00E64431" w14:paraId="4DAE5968" w14:textId="77777777" w:rsidTr="00B23CAA">
        <w:trPr>
          <w:tblHeader/>
          <w:tblCellSpacing w:w="15" w:type="dxa"/>
        </w:trPr>
        <w:tc>
          <w:tcPr>
            <w:tcW w:w="10430" w:type="dxa"/>
            <w:gridSpan w:val="5"/>
            <w:vAlign w:val="center"/>
          </w:tcPr>
          <w:p w14:paraId="45544A2C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lastRenderedPageBreak/>
              <w:t>Table 10: Producer Conduct Implications from the Irish Experience</w:t>
            </w:r>
          </w:p>
        </w:tc>
      </w:tr>
      <w:tr w:rsidR="00156E06" w:rsidRPr="00E64431" w14:paraId="43EA71E8" w14:textId="77777777" w:rsidTr="00B67EFA">
        <w:trPr>
          <w:tblHeader/>
          <w:tblCellSpacing w:w="15" w:type="dxa"/>
        </w:trPr>
        <w:tc>
          <w:tcPr>
            <w:tcW w:w="1173" w:type="dxa"/>
            <w:vAlign w:val="center"/>
            <w:hideMark/>
          </w:tcPr>
          <w:p w14:paraId="34A8BDA7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Customer Segment</w:t>
            </w:r>
          </w:p>
        </w:tc>
        <w:tc>
          <w:tcPr>
            <w:tcW w:w="2155" w:type="dxa"/>
            <w:vAlign w:val="center"/>
            <w:hideMark/>
          </w:tcPr>
          <w:p w14:paraId="48808576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Our Unique Finding</w:t>
            </w:r>
          </w:p>
        </w:tc>
        <w:tc>
          <w:tcPr>
            <w:tcW w:w="1954" w:type="dxa"/>
            <w:vAlign w:val="center"/>
            <w:hideMark/>
          </w:tcPr>
          <w:p w14:paraId="058CD8E3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Current Industry Approaches</w:t>
            </w:r>
          </w:p>
        </w:tc>
        <w:tc>
          <w:tcPr>
            <w:tcW w:w="2380" w:type="dxa"/>
            <w:vAlign w:val="center"/>
            <w:hideMark/>
          </w:tcPr>
          <w:p w14:paraId="076927DA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Market Failure Identified</w:t>
            </w:r>
          </w:p>
        </w:tc>
        <w:tc>
          <w:tcPr>
            <w:tcW w:w="2648" w:type="dxa"/>
            <w:vAlign w:val="center"/>
            <w:hideMark/>
          </w:tcPr>
          <w:p w14:paraId="682A9030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Evidence-Based Innovation</w:t>
            </w:r>
          </w:p>
        </w:tc>
      </w:tr>
      <w:tr w:rsidR="00156E06" w:rsidRPr="00E64431" w14:paraId="7B5745EA" w14:textId="77777777" w:rsidTr="00B67EFA">
        <w:trPr>
          <w:trHeight w:val="2053"/>
          <w:tblCellSpacing w:w="15" w:type="dxa"/>
        </w:trPr>
        <w:tc>
          <w:tcPr>
            <w:tcW w:w="1173" w:type="dxa"/>
            <w:vAlign w:val="center"/>
            <w:hideMark/>
          </w:tcPr>
          <w:p w14:paraId="14209D69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Squeezed Middle (20th-70th percentile)</w:t>
            </w:r>
          </w:p>
        </w:tc>
        <w:tc>
          <w:tcPr>
            <w:tcW w:w="2155" w:type="dxa"/>
            <w:vAlign w:val="center"/>
            <w:hideMark/>
          </w:tcPr>
          <w:p w14:paraId="42438D9A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3.9m people show zero technology benefit (β=0.0022) despite 77.6% access; pay €47/month in digital fees with </w:t>
            </w:r>
            <w:proofErr w:type="gramStart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12.4 point</w:t>
            </w:r>
            <w:proofErr w:type="gram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FWB gap persisting</w:t>
            </w:r>
          </w:p>
        </w:tc>
        <w:tc>
          <w:tcPr>
            <w:tcW w:w="1954" w:type="dxa"/>
            <w:vAlign w:val="center"/>
            <w:hideMark/>
          </w:tcPr>
          <w:p w14:paraId="349C1939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One-size-fits-all digital products</w:t>
            </w:r>
          </w:p>
          <w:p w14:paraId="63807619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Rapid branch closures (42 in Ireland 2019-23)</w:t>
            </w:r>
          </w:p>
          <w:p w14:paraId="523F877B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Premium features for mass market</w:t>
            </w:r>
          </w:p>
          <w:p w14:paraId="6A3D50D3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Engagement metrics over outcomes</w:t>
            </w:r>
          </w:p>
        </w:tc>
        <w:tc>
          <w:tcPr>
            <w:tcW w:w="2380" w:type="dxa"/>
            <w:vAlign w:val="center"/>
            <w:hideMark/>
          </w:tcPr>
          <w:p w14:paraId="4D529202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Products fail to address structural constraints (housing 47% of income); satisfaction illusion exploited through engagement features</w:t>
            </w:r>
          </w:p>
        </w:tc>
        <w:tc>
          <w:tcPr>
            <w:tcW w:w="2648" w:type="dxa"/>
            <w:vAlign w:val="center"/>
            <w:hideMark/>
          </w:tcPr>
          <w:p w14:paraId="73B82B05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Monzo Plus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(£5/month only if savings increase);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Santander UK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video banking (500k users, 87% satisfaction);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ING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behavioural coaching (31% better savings);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Rabobank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hybrid advisors (€2.1bn AUM)</w:t>
            </w:r>
          </w:p>
        </w:tc>
      </w:tr>
      <w:tr w:rsidR="00156E06" w:rsidRPr="00E64431" w14:paraId="04A1C35D" w14:textId="77777777" w:rsidTr="00B67EFA">
        <w:trPr>
          <w:tblCellSpacing w:w="15" w:type="dxa"/>
        </w:trPr>
        <w:tc>
          <w:tcPr>
            <w:tcW w:w="1173" w:type="dxa"/>
            <w:vAlign w:val="center"/>
            <w:hideMark/>
          </w:tcPr>
          <w:p w14:paraId="5E221FD0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Young Adults (18-35)</w:t>
            </w:r>
          </w:p>
        </w:tc>
        <w:tc>
          <w:tcPr>
            <w:tcW w:w="2155" w:type="dxa"/>
            <w:vAlign w:val="center"/>
            <w:hideMark/>
          </w:tcPr>
          <w:p w14:paraId="5E2B4780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96.2% tech adoption but remain negative FWB through 70th percentile; need €58,000 for positive FWB (vs €35,000 for over-50s); satisfaction increases (β=0.668) without behaviour change</w:t>
            </w:r>
          </w:p>
        </w:tc>
        <w:tc>
          <w:tcPr>
            <w:tcW w:w="1954" w:type="dxa"/>
            <w:vAlign w:val="center"/>
            <w:hideMark/>
          </w:tcPr>
          <w:p w14:paraId="3D62EAA4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Revolut/N26 feature wars • Klarna frictionless spending• Robinhood gamified trading• Cashback competition</w:t>
            </w:r>
          </w:p>
        </w:tc>
        <w:tc>
          <w:tcPr>
            <w:tcW w:w="2380" w:type="dxa"/>
            <w:vAlign w:val="center"/>
            <w:hideMark/>
          </w:tcPr>
          <w:p w14:paraId="16D07A0F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Satisfaction illusion: 6.3 logins/day but savings rate only 3.45/10; features increase engagement while outcomes worsen</w:t>
            </w:r>
          </w:p>
        </w:tc>
        <w:tc>
          <w:tcPr>
            <w:tcW w:w="2648" w:type="dxa"/>
            <w:vAlign w:val="center"/>
            <w:hideMark/>
          </w:tcPr>
          <w:p w14:paraId="56E75B2D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Chip UK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(400k users, £700m saved via automation);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YNAB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(education-first, users save $600 in 2 months);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Peaks Netherlands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(89% retention with loss protection);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Plum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(£2bn saved, automatic switching)</w:t>
            </w:r>
          </w:p>
        </w:tc>
      </w:tr>
      <w:tr w:rsidR="00156E06" w:rsidRPr="00E64431" w14:paraId="59DD9602" w14:textId="77777777" w:rsidTr="00B67EFA">
        <w:trPr>
          <w:tblCellSpacing w:w="15" w:type="dxa"/>
        </w:trPr>
        <w:tc>
          <w:tcPr>
            <w:tcW w:w="1173" w:type="dxa"/>
            <w:vAlign w:val="center"/>
            <w:hideMark/>
          </w:tcPr>
          <w:p w14:paraId="4CD07D7B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Women</w:t>
            </w:r>
          </w:p>
        </w:tc>
        <w:tc>
          <w:tcPr>
            <w:tcW w:w="2155" w:type="dxa"/>
            <w:vAlign w:val="center"/>
            <w:hideMark/>
          </w:tcPr>
          <w:p w14:paraId="756AC873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Superior behaviours (+0.106, t=-3.06) but 21% lower satisfaction; pay €1,847 more over mortgage lifetime; 40.7% lower tech usage despite better financial management</w:t>
            </w:r>
          </w:p>
        </w:tc>
        <w:tc>
          <w:tcPr>
            <w:tcW w:w="1954" w:type="dxa"/>
            <w:vAlign w:val="center"/>
            <w:hideMark/>
          </w:tcPr>
          <w:p w14:paraId="1C98CBC8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Gender-neutral design standard• Primary account holder models• Individual credit scoring• Ignore household complexity</w:t>
            </w:r>
          </w:p>
        </w:tc>
        <w:tc>
          <w:tcPr>
            <w:tcW w:w="2380" w:type="dxa"/>
            <w:vAlign w:val="center"/>
            <w:hideMark/>
          </w:tcPr>
          <w:p w14:paraId="2CCE6FA1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Algorithmic discrimination: 120 basis points higher rates despite better repayment; products don't accommodate shared finances</w:t>
            </w:r>
          </w:p>
        </w:tc>
        <w:tc>
          <w:tcPr>
            <w:tcW w:w="2648" w:type="dxa"/>
            <w:vAlign w:val="center"/>
            <w:hideMark/>
          </w:tcPr>
          <w:p w14:paraId="069D4145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Starling Spaces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(2.8m users, equal control); </w:t>
            </w: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Ellevest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(women-specific investing, $1.9bn AUM);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Winnie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(Netherlands, household complexity features); </w:t>
            </w: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HerFirst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by </w:t>
            </w:r>
            <w:proofErr w:type="spellStart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StanChart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(45% uptake in 6 months)</w:t>
            </w:r>
          </w:p>
        </w:tc>
      </w:tr>
      <w:tr w:rsidR="00156E06" w:rsidRPr="00E64431" w14:paraId="35658476" w14:textId="77777777" w:rsidTr="00B67EFA">
        <w:trPr>
          <w:tblCellSpacing w:w="15" w:type="dxa"/>
        </w:trPr>
        <w:tc>
          <w:tcPr>
            <w:tcW w:w="1173" w:type="dxa"/>
            <w:vAlign w:val="center"/>
            <w:hideMark/>
          </w:tcPr>
          <w:p w14:paraId="24D0AF6F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Immigrants</w:t>
            </w:r>
          </w:p>
        </w:tc>
        <w:tc>
          <w:tcPr>
            <w:tcW w:w="2155" w:type="dxa"/>
            <w:vAlign w:val="center"/>
            <w:hideMark/>
          </w:tcPr>
          <w:p w14:paraId="74E6ED98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Largest tech gap 40.7% (d=1.976); satisfaction deficit 1.220 persists with technology; pay 4.2% for transfers vs 0.3% for natives; 810,000 affected</w:t>
            </w:r>
          </w:p>
        </w:tc>
        <w:tc>
          <w:tcPr>
            <w:tcW w:w="1954" w:type="dxa"/>
            <w:vAlign w:val="center"/>
            <w:hideMark/>
          </w:tcPr>
          <w:p w14:paraId="5A35C9DE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Basic translation only• Simplified products assume low capability• Complex KYC requirements• High remittance fees</w:t>
            </w:r>
          </w:p>
        </w:tc>
        <w:tc>
          <w:tcPr>
            <w:tcW w:w="2380" w:type="dxa"/>
            <w:vAlign w:val="center"/>
            <w:hideMark/>
          </w:tcPr>
          <w:p w14:paraId="5C8E27FB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Capability mismatch plus institutional unfamiliarity; translation insufficient when trust absent; excessive documentation barriers</w:t>
            </w:r>
          </w:p>
        </w:tc>
        <w:tc>
          <w:tcPr>
            <w:tcW w:w="2648" w:type="dxa"/>
            <w:vAlign w:val="center"/>
            <w:hideMark/>
          </w:tcPr>
          <w:p w14:paraId="54A0BC52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Pockit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UK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(350k migrants, 1% transfers);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Wise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(16m users, £9bn quarterly volume); </w:t>
            </w: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bunq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(EU-wide instant accounts);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Chime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(no-fee model, 21m users);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Al Rayan UK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(Islamic finance, £3.5bn)</w:t>
            </w:r>
          </w:p>
        </w:tc>
      </w:tr>
      <w:tr w:rsidR="00156E06" w:rsidRPr="00E64431" w14:paraId="409B69E8" w14:textId="77777777" w:rsidTr="00B67EFA">
        <w:trPr>
          <w:trHeight w:val="2405"/>
          <w:tblCellSpacing w:w="15" w:type="dxa"/>
        </w:trPr>
        <w:tc>
          <w:tcPr>
            <w:tcW w:w="1173" w:type="dxa"/>
            <w:vAlign w:val="center"/>
            <w:hideMark/>
          </w:tcPr>
          <w:p w14:paraId="12976136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Rural Residents</w:t>
            </w:r>
          </w:p>
        </w:tc>
        <w:tc>
          <w:tcPr>
            <w:tcW w:w="2155" w:type="dxa"/>
            <w:vAlign w:val="center"/>
            <w:hideMark/>
          </w:tcPr>
          <w:p w14:paraId="54790CE3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Achieve 4.6% better FWB (t=-2.44) despite no tech difference; superior behaviours (+0.106); 1.9m people thriving with non-digital strategies</w:t>
            </w:r>
          </w:p>
        </w:tc>
        <w:tc>
          <w:tcPr>
            <w:tcW w:w="1954" w:type="dxa"/>
            <w:vAlign w:val="center"/>
            <w:hideMark/>
          </w:tcPr>
          <w:p w14:paraId="42F04A1D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• Digital-first strategy• Branch closures accelerate• Self-service migration• Cost-cutting priority</w:t>
            </w:r>
          </w:p>
        </w:tc>
        <w:tc>
          <w:tcPr>
            <w:tcW w:w="2380" w:type="dxa"/>
            <w:vAlign w:val="center"/>
            <w:hideMark/>
          </w:tcPr>
          <w:p w14:paraId="175818B9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>Forcing digital adoption destroys functioning non-digital systems; nearest branch now 18km average after closures</w:t>
            </w:r>
          </w:p>
        </w:tc>
        <w:tc>
          <w:tcPr>
            <w:tcW w:w="2648" w:type="dxa"/>
            <w:vAlign w:val="center"/>
            <w:hideMark/>
          </w:tcPr>
          <w:p w14:paraId="29B9310C" w14:textId="77777777" w:rsidR="00156E06" w:rsidRPr="00E64431" w:rsidRDefault="00156E06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CaixaBank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mobile vans (Spain, 230k seniors served);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Nationwide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branch promise (UK, last-in-town protection); </w:t>
            </w: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Sparkassen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(Germany, 13k branches maintained); </w:t>
            </w:r>
            <w:proofErr w:type="spellStart"/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PostBank</w:t>
            </w:r>
            <w:proofErr w:type="spellEnd"/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(Ireland, 920 locations); 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Crédit Agricole</w:t>
            </w:r>
            <w:r w:rsidRPr="00E64431">
              <w:rPr>
                <w:rFonts w:ascii="Times New Roman" w:eastAsiaTheme="minorHAnsi" w:hAnsi="Times New Roman" w:cs="Times New Roman"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 (France, 39 regional banks)</w:t>
            </w:r>
          </w:p>
        </w:tc>
      </w:tr>
      <w:tr w:rsidR="00B23CAA" w:rsidRPr="00E64431" w14:paraId="00627E5B" w14:textId="77777777" w:rsidTr="00B23CAA">
        <w:trPr>
          <w:tblCellSpacing w:w="15" w:type="dxa"/>
        </w:trPr>
        <w:tc>
          <w:tcPr>
            <w:tcW w:w="10430" w:type="dxa"/>
            <w:gridSpan w:val="5"/>
            <w:vAlign w:val="center"/>
          </w:tcPr>
          <w:p w14:paraId="18F16954" w14:textId="07E17955" w:rsidR="00B23CAA" w:rsidRPr="00E64431" w:rsidRDefault="00B67EFA" w:rsidP="00E64431">
            <w:pPr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kern w:val="2"/>
                <w:sz w:val="20"/>
                <w:szCs w:val="20"/>
                <w:lang w:val="en-IE" w:eastAsia="en-IE"/>
                <w14:ligatures w14:val="standardContextual"/>
              </w:rPr>
            </w:pPr>
            <w:r w:rsidRPr="00E64431">
              <w:rPr>
                <w:rFonts w:ascii="Times New Roman" w:eastAsiaTheme="minorHAnsi" w:hAnsi="Times New Roman" w:cs="Times New Roman"/>
                <w:i/>
                <w:iCs/>
                <w:kern w:val="2"/>
                <w:sz w:val="20"/>
                <w:szCs w:val="20"/>
                <w:lang w:eastAsia="en-IE"/>
                <w14:ligatures w14:val="standardContextual"/>
              </w:rPr>
              <w:t>Note: Analysis based on PLS-SEM of 11,128 households. Market failures quantified through decomposition analysis. Monetary figures in 2019 euros. Innovation examples show demonstrated success at scale with measurable outcomes.</w:t>
            </w:r>
          </w:p>
        </w:tc>
      </w:tr>
    </w:tbl>
    <w:p w14:paraId="4D711CA9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tbl>
      <w:tblPr>
        <w:tblW w:w="10349" w:type="dxa"/>
        <w:tblCellSpacing w:w="15" w:type="dxa"/>
        <w:tblInd w:w="-8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1982"/>
        <w:gridCol w:w="1845"/>
        <w:gridCol w:w="1818"/>
        <w:gridCol w:w="1161"/>
        <w:gridCol w:w="2408"/>
      </w:tblGrid>
      <w:tr w:rsidR="00FF764B" w:rsidRPr="00E64431" w14:paraId="0E3CAB45" w14:textId="77777777" w:rsidTr="00684028">
        <w:trPr>
          <w:tblHeader/>
          <w:tblCellSpacing w:w="15" w:type="dxa"/>
        </w:trPr>
        <w:tc>
          <w:tcPr>
            <w:tcW w:w="10289" w:type="dxa"/>
            <w:gridSpan w:val="6"/>
          </w:tcPr>
          <w:p w14:paraId="2E29A21B" w14:textId="66F12D6E" w:rsidR="00FF764B" w:rsidRPr="00E64431" w:rsidRDefault="001B011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lastRenderedPageBreak/>
              <w:t>Table 1</w:t>
            </w:r>
            <w:r w:rsidR="00156E06"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>1</w:t>
            </w:r>
            <w:r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val="en-IE" w:eastAsia="en-IE"/>
                <w14:ligatures w14:val="standardContextual"/>
              </w:rPr>
              <w:t xml:space="preserve">: </w:t>
            </w:r>
            <w:r w:rsidR="00366293" w:rsidRPr="00E64431">
              <w:rPr>
                <w:rFonts w:ascii="Times New Roman" w:eastAsiaTheme="minorHAnsi" w:hAnsi="Times New Roman" w:cs="Times New Roman"/>
                <w:b/>
                <w:bCs/>
                <w:kern w:val="2"/>
                <w:sz w:val="20"/>
                <w:szCs w:val="20"/>
                <w:lang w:eastAsia="en-IE"/>
                <w14:ligatures w14:val="standardContextual"/>
              </w:rPr>
              <w:t>Lessons from the Irish Experience for European Consumer Protection Policy</w:t>
            </w:r>
          </w:p>
        </w:tc>
      </w:tr>
      <w:tr w:rsidR="00181FF1" w:rsidRPr="00E64431" w14:paraId="7EAA7597" w14:textId="77777777" w:rsidTr="00E64431">
        <w:trPr>
          <w:tblHeader/>
          <w:tblCellSpacing w:w="15" w:type="dxa"/>
        </w:trPr>
        <w:tc>
          <w:tcPr>
            <w:tcW w:w="1090" w:type="dxa"/>
            <w:vAlign w:val="center"/>
            <w:hideMark/>
          </w:tcPr>
          <w:p w14:paraId="48833827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Target Population</w:t>
            </w:r>
          </w:p>
        </w:tc>
        <w:tc>
          <w:tcPr>
            <w:tcW w:w="1952" w:type="dxa"/>
            <w:vAlign w:val="center"/>
            <w:hideMark/>
          </w:tcPr>
          <w:p w14:paraId="6D0E11F2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Our Key Finding</w:t>
            </w:r>
          </w:p>
        </w:tc>
        <w:tc>
          <w:tcPr>
            <w:tcW w:w="1815" w:type="dxa"/>
            <w:vAlign w:val="center"/>
            <w:hideMark/>
          </w:tcPr>
          <w:p w14:paraId="4FD372B0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Current EU/Irish Initiatives</w:t>
            </w:r>
          </w:p>
        </w:tc>
        <w:tc>
          <w:tcPr>
            <w:tcW w:w="1788" w:type="dxa"/>
            <w:vAlign w:val="center"/>
            <w:hideMark/>
          </w:tcPr>
          <w:p w14:paraId="7DE3BADA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Gap Identified</w:t>
            </w:r>
          </w:p>
        </w:tc>
        <w:tc>
          <w:tcPr>
            <w:tcW w:w="1131" w:type="dxa"/>
          </w:tcPr>
          <w:p w14:paraId="340A6DEB" w14:textId="45BE4147" w:rsidR="005872C8" w:rsidRPr="00E64431" w:rsidRDefault="00FF764B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Contradicts EU Assumptions</w:t>
            </w:r>
          </w:p>
        </w:tc>
        <w:tc>
          <w:tcPr>
            <w:tcW w:w="2363" w:type="dxa"/>
            <w:vAlign w:val="center"/>
            <w:hideMark/>
          </w:tcPr>
          <w:p w14:paraId="24843322" w14:textId="735EFC13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Evidence-Based Recommendation</w:t>
            </w:r>
          </w:p>
        </w:tc>
      </w:tr>
      <w:tr w:rsidR="00181FF1" w:rsidRPr="00E64431" w14:paraId="0C0FA590" w14:textId="77777777" w:rsidTr="00E64431">
        <w:trPr>
          <w:tblCellSpacing w:w="15" w:type="dxa"/>
        </w:trPr>
        <w:tc>
          <w:tcPr>
            <w:tcW w:w="1090" w:type="dxa"/>
            <w:vAlign w:val="center"/>
            <w:hideMark/>
          </w:tcPr>
          <w:p w14:paraId="6C6E24AE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Young Adults (18-35)</w:t>
            </w:r>
          </w:p>
        </w:tc>
        <w:tc>
          <w:tcPr>
            <w:tcW w:w="1952" w:type="dxa"/>
            <w:vAlign w:val="center"/>
            <w:hideMark/>
          </w:tcPr>
          <w:p w14:paraId="588206BE" w14:textId="07E0FEDE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Technology access high (96.2%) </w:t>
            </w:r>
            <w:r w:rsidR="00DA79CC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but remain in negative FWB through 70th income percentile (-3.2 score at median); need €58,000 for positive FWB vs €35,000 for over-50s</w:t>
            </w:r>
          </w:p>
        </w:tc>
        <w:tc>
          <w:tcPr>
            <w:tcW w:w="1815" w:type="dxa"/>
            <w:vAlign w:val="center"/>
            <w:hideMark/>
          </w:tcPr>
          <w:p w14:paraId="08663E10" w14:textId="77777777" w:rsidR="0079418A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•EU Financial Competence Framework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IE" w:eastAsia="en-IE"/>
              </w:rPr>
              <w:footnoteReference w:id="1"/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 (2022) focuses on knowledge</w:t>
            </w:r>
          </w:p>
          <w:p w14:paraId="2315041B" w14:textId="77777777" w:rsidR="0079418A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• Ireland's National Financial Literacy Strategy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IE" w:eastAsia="en-IE"/>
              </w:rPr>
              <w:footnoteReference w:id="2"/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 (2023) emphasises education</w:t>
            </w:r>
          </w:p>
          <w:p w14:paraId="0F4997A5" w14:textId="0605AEF1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• Finland's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MyEconomics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 programme targets students.</w:t>
            </w:r>
          </w:p>
        </w:tc>
        <w:tc>
          <w:tcPr>
            <w:tcW w:w="1788" w:type="dxa"/>
            <w:vAlign w:val="center"/>
            <w:hideMark/>
          </w:tcPr>
          <w:p w14:paraId="02B27AA0" w14:textId="77777777" w:rsidR="00857ED9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Current policies assume knowledge → behaviour → outcomes. </w:t>
            </w:r>
            <w:r w:rsidR="00857ED9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Our data shows satisfaction increases (β=0.668) but behaviours unchanged, creating false confidence</w:t>
            </w:r>
          </w:p>
          <w:p w14:paraId="5318F472" w14:textId="77777777" w:rsidR="00857ED9" w:rsidRPr="00E64431" w:rsidRDefault="00857ED9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  <w:p w14:paraId="154B48A5" w14:textId="7F668CBB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1131" w:type="dxa"/>
          </w:tcPr>
          <w:p w14:paraId="7F099847" w14:textId="77777777" w:rsidR="0079418A" w:rsidRPr="00E64431" w:rsidRDefault="0079418A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7A74DE" w14:textId="3FA383F1" w:rsidR="005872C8" w:rsidRPr="00E64431" w:rsidRDefault="0062555C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Yes - Digital Finance Strategy assumes access improves outcomes.</w:t>
            </w:r>
          </w:p>
        </w:tc>
        <w:tc>
          <w:tcPr>
            <w:tcW w:w="2363" w:type="dxa"/>
            <w:vAlign w:val="center"/>
            <w:hideMark/>
          </w:tcPr>
          <w:p w14:paraId="042EA229" w14:textId="1931320F" w:rsidR="005872C8" w:rsidRPr="00E64431" w:rsidRDefault="003D44DA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UK's NEST pension (8% default, 8.7m savers, £20bn accumulated); Sweden's Dreams app (42% debt reduction in 12 months); Australia's HECS income-contingent loans (repay only above A$51,550); Netherlands' Peaks (rounds up purchases, 89% continue after year 1)</w:t>
            </w:r>
          </w:p>
        </w:tc>
      </w:tr>
      <w:tr w:rsidR="00181FF1" w:rsidRPr="00E64431" w14:paraId="00639ABF" w14:textId="77777777" w:rsidTr="00E64431">
        <w:trPr>
          <w:tblCellSpacing w:w="15" w:type="dxa"/>
        </w:trPr>
        <w:tc>
          <w:tcPr>
            <w:tcW w:w="1090" w:type="dxa"/>
            <w:vAlign w:val="center"/>
            <w:hideMark/>
          </w:tcPr>
          <w:p w14:paraId="4F4F2E4C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Immigrants</w:t>
            </w:r>
          </w:p>
        </w:tc>
        <w:tc>
          <w:tcPr>
            <w:tcW w:w="1952" w:type="dxa"/>
            <w:vAlign w:val="center"/>
            <w:hideMark/>
          </w:tcPr>
          <w:p w14:paraId="2BB00129" w14:textId="38B28702" w:rsidR="005872C8" w:rsidRPr="00E64431" w:rsidRDefault="008704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Technology gap 40.7% (d=1.976, t=17.5); satisfaction deficit 1.220 persists even with technology; pay 4.2% for transfers vs 0.3% for natives</w:t>
            </w:r>
          </w:p>
        </w:tc>
        <w:tc>
          <w:tcPr>
            <w:tcW w:w="1815" w:type="dxa"/>
            <w:vAlign w:val="center"/>
            <w:hideMark/>
          </w:tcPr>
          <w:p w14:paraId="1A295CC9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• EU Action Plan on Integration (2020) mentions financial inclusion</w:t>
            </w:r>
          </w:p>
          <w:p w14:paraId="3FD94B29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• Netherlands' "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Wijzer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 in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geldzaken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" includes migrant programmes</w:t>
            </w:r>
          </w:p>
          <w:p w14:paraId="0E2529F5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• Germany's "Geld und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Haushalt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" offers multilingual content</w:t>
            </w:r>
          </w:p>
        </w:tc>
        <w:tc>
          <w:tcPr>
            <w:tcW w:w="1788" w:type="dxa"/>
            <w:vAlign w:val="center"/>
            <w:hideMark/>
          </w:tcPr>
          <w:p w14:paraId="42C7491C" w14:textId="233FB4DC" w:rsidR="005872C8" w:rsidRPr="00E64431" w:rsidRDefault="00DE53EB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Translation </w:t>
            </w:r>
            <w:proofErr w:type="gram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insufficient, 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institutional</w:t>
            </w:r>
            <w:proofErr w:type="gram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unfamiliarity and trust barriers dominate. 810,000 affected in Ireland, similar patterns likely EU-wide</w:t>
            </w:r>
          </w:p>
        </w:tc>
        <w:tc>
          <w:tcPr>
            <w:tcW w:w="1131" w:type="dxa"/>
          </w:tcPr>
          <w:p w14:paraId="79DF9162" w14:textId="77777777" w:rsidR="0079418A" w:rsidRPr="00E64431" w:rsidRDefault="0079418A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444AC1" w14:textId="2E6F2B5E" w:rsidR="005872C8" w:rsidRPr="00E64431" w:rsidRDefault="003E516B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Yes - Assumes digital channels reduce barriers.</w:t>
            </w:r>
          </w:p>
        </w:tc>
        <w:tc>
          <w:tcPr>
            <w:tcW w:w="2363" w:type="dxa"/>
            <w:vAlign w:val="center"/>
            <w:hideMark/>
          </w:tcPr>
          <w:p w14:paraId="724C9E58" w14:textId="1B0C5858" w:rsidR="005872C8" w:rsidRPr="00E64431" w:rsidRDefault="007E5120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Belgium's VDAB partnerships (34% better employment outcomes); UK's Islamic finance (Al Rayan Bank, £3.5bn assets); Estonia's e-Residency (98,000 users, instant KYC); Wise borderless accounts (1% fees, 16m users); Germany's WIR Bank community model</w:t>
            </w:r>
          </w:p>
        </w:tc>
      </w:tr>
      <w:tr w:rsidR="00181FF1" w:rsidRPr="00E64431" w14:paraId="0BF9382E" w14:textId="77777777" w:rsidTr="00E64431">
        <w:trPr>
          <w:tblCellSpacing w:w="15" w:type="dxa"/>
        </w:trPr>
        <w:tc>
          <w:tcPr>
            <w:tcW w:w="1090" w:type="dxa"/>
            <w:vAlign w:val="center"/>
            <w:hideMark/>
          </w:tcPr>
          <w:p w14:paraId="081FEA62" w14:textId="77777777" w:rsidR="005872C8" w:rsidRPr="00E64431" w:rsidRDefault="007E5120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Women</w:t>
            </w:r>
          </w:p>
          <w:p w14:paraId="08343FC5" w14:textId="307A6182" w:rsidR="007E5120" w:rsidRPr="00E64431" w:rsidRDefault="007E5120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1952" w:type="dxa"/>
            <w:vAlign w:val="center"/>
            <w:hideMark/>
          </w:tcPr>
          <w:p w14:paraId="577F2CC0" w14:textId="07F1DDF7" w:rsidR="005872C8" w:rsidRPr="00E64431" w:rsidRDefault="001F26D4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Superior Financial Behaviours (+0.106, t=-3.06) but 21% lower satisfaction (t=7.21); pay €1,847 more over mortgage lifetime despite better repayment</w:t>
            </w:r>
          </w:p>
        </w:tc>
        <w:tc>
          <w:tcPr>
            <w:tcW w:w="1815" w:type="dxa"/>
            <w:vAlign w:val="center"/>
            <w:hideMark/>
          </w:tcPr>
          <w:p w14:paraId="665C5C82" w14:textId="77777777" w:rsidR="001F26D4" w:rsidRPr="00E64431" w:rsidRDefault="001F26D4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Gender-neutral product design standard</w:t>
            </w:r>
          </w:p>
          <w:p w14:paraId="26438A0C" w14:textId="77777777" w:rsidR="001F26D4" w:rsidRPr="00E64431" w:rsidRDefault="001F26D4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• EU Gender Equality Strategy 2020-2025 silent on financial services</w:t>
            </w:r>
          </w:p>
          <w:p w14:paraId="0121C6DB" w14:textId="401FFD41" w:rsidR="005872C8" w:rsidRPr="00E64431" w:rsidRDefault="001F26D4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• Irish Equal Status Acts don't cover algorithmic bias</w:t>
            </w:r>
          </w:p>
        </w:tc>
        <w:tc>
          <w:tcPr>
            <w:tcW w:w="1788" w:type="dxa"/>
            <w:vAlign w:val="center"/>
            <w:hideMark/>
          </w:tcPr>
          <w:p w14:paraId="07D6712A" w14:textId="22C5EED3" w:rsidR="005872C8" w:rsidRPr="00E64431" w:rsidRDefault="00FA1C93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Algorithm 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discrimination invisible - women get 120 basis points higher rates despite superior behaviours. Products ignore household complexity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.</w:t>
            </w:r>
          </w:p>
        </w:tc>
        <w:tc>
          <w:tcPr>
            <w:tcW w:w="1131" w:type="dxa"/>
          </w:tcPr>
          <w:p w14:paraId="71E662F4" w14:textId="77777777" w:rsidR="0079418A" w:rsidRPr="00E64431" w:rsidRDefault="0079418A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04D37B" w14:textId="77777777" w:rsidR="004D2A56" w:rsidRPr="00E64431" w:rsidRDefault="00B6453A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 xml:space="preserve">Yes - </w:t>
            </w:r>
            <w:r w:rsidR="004D2A56" w:rsidRPr="00E64431">
              <w:rPr>
                <w:rFonts w:ascii="Times New Roman" w:hAnsi="Times New Roman" w:cs="Times New Roman"/>
                <w:sz w:val="20"/>
                <w:szCs w:val="20"/>
              </w:rPr>
              <w:t>Assumes gender-neutral design sufficient</w:t>
            </w:r>
          </w:p>
          <w:p w14:paraId="221647BC" w14:textId="2E6BFDEF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</w:p>
        </w:tc>
        <w:tc>
          <w:tcPr>
            <w:tcW w:w="2363" w:type="dxa"/>
            <w:vAlign w:val="center"/>
            <w:hideMark/>
          </w:tcPr>
          <w:p w14:paraId="48C0152D" w14:textId="4E900F8C" w:rsidR="005872C8" w:rsidRPr="00E64431" w:rsidRDefault="004D2A56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Starling Bank's shared Spaces (2.8m users, equal control); Sweden's Klarna gender audit found 18% bias, now corrected; Goldman Sachs Apple Card investigation led to $89m in corrections; Netherlands'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Gelijke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Kansen initiative requires algorithmic transparenc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y.</w:t>
            </w:r>
          </w:p>
        </w:tc>
      </w:tr>
      <w:tr w:rsidR="00181FF1" w:rsidRPr="00E64431" w14:paraId="09B089CA" w14:textId="77777777" w:rsidTr="00E64431">
        <w:trPr>
          <w:tblCellSpacing w:w="15" w:type="dxa"/>
        </w:trPr>
        <w:tc>
          <w:tcPr>
            <w:tcW w:w="1090" w:type="dxa"/>
            <w:vAlign w:val="center"/>
            <w:hideMark/>
          </w:tcPr>
          <w:p w14:paraId="72ECE9D1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  <w:t>Rural Residents</w:t>
            </w:r>
          </w:p>
        </w:tc>
        <w:tc>
          <w:tcPr>
            <w:tcW w:w="1952" w:type="dxa"/>
            <w:vAlign w:val="center"/>
            <w:hideMark/>
          </w:tcPr>
          <w:p w14:paraId="05D2DE1B" w14:textId="561F1DC4" w:rsidR="005872C8" w:rsidRPr="00E64431" w:rsidRDefault="003D4A4E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FWB 4.6% better than urban (t=-2.44, p=0.015) despite no technology difference (t=0.064, p=0.95); superior behaviours (+0.106)</w:t>
            </w:r>
          </w:p>
        </w:tc>
        <w:tc>
          <w:tcPr>
            <w:tcW w:w="1815" w:type="dxa"/>
            <w:vAlign w:val="center"/>
            <w:hideMark/>
          </w:tcPr>
          <w:p w14:paraId="059F69EF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• EU's Digital Decade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IE" w:eastAsia="en-IE"/>
              </w:rPr>
              <w:footnoteReference w:id="3"/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 targets 100% gigabit coverage by 2030</w:t>
            </w:r>
          </w:p>
          <w:p w14:paraId="4FAFAB2C" w14:textId="0C835DC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• Ireland's </w:t>
            </w:r>
            <w:r w:rsidR="003D4A4E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€2.7bn</w:t>
            </w:r>
            <w:r w:rsidR="003D4A4E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National Broadband Plan achieved basic coverage</w:t>
            </w:r>
          </w:p>
          <w:p w14:paraId="21469D6A" w14:textId="77777777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• France's "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>Maisons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 France Services" maintains physical presence.</w:t>
            </w:r>
          </w:p>
        </w:tc>
        <w:tc>
          <w:tcPr>
            <w:tcW w:w="1788" w:type="dxa"/>
            <w:vAlign w:val="center"/>
            <w:hideMark/>
          </w:tcPr>
          <w:p w14:paraId="2D11AA99" w14:textId="1F1E90C5" w:rsidR="005872C8" w:rsidRPr="00E64431" w:rsidRDefault="005872C8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  <w:t xml:space="preserve">Infrastructure investments </w:t>
            </w:r>
            <w:r w:rsidR="00DF4F29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misallocated - rural success comes from non-digital strategies. 42 Irish branches closed 2019-2023 harming functioning systems</w:t>
            </w:r>
          </w:p>
        </w:tc>
        <w:tc>
          <w:tcPr>
            <w:tcW w:w="1131" w:type="dxa"/>
          </w:tcPr>
          <w:p w14:paraId="6F972EE0" w14:textId="77777777" w:rsidR="0079418A" w:rsidRPr="00E64431" w:rsidRDefault="0079418A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FF4C1A" w14:textId="631D2166" w:rsidR="005872C8" w:rsidRPr="00E64431" w:rsidRDefault="005C29ED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Yes - Digital Decade assumes universal coverage necessary.</w:t>
            </w:r>
          </w:p>
        </w:tc>
        <w:tc>
          <w:tcPr>
            <w:tcW w:w="2363" w:type="dxa"/>
            <w:vAlign w:val="center"/>
            <w:hideMark/>
          </w:tcPr>
          <w:p w14:paraId="19CA872D" w14:textId="5BA1A154" w:rsidR="005872C8" w:rsidRPr="00E64431" w:rsidRDefault="00A32FA2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Spain's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CaixaBank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mobile vans (1,000 towns, 230,000 seniors served); Germany's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Sparkassen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guarantee (13,000 branches maintained); Netherlands'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Geldmaat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(99.5% within 5km ATM access); UK's Nationwide branch promise (no closures if last in town); Japan Post Bank 24,000 locations</w:t>
            </w:r>
          </w:p>
        </w:tc>
      </w:tr>
      <w:tr w:rsidR="00181FF1" w:rsidRPr="00E64431" w14:paraId="2F877F5F" w14:textId="77777777" w:rsidTr="00E64431">
        <w:trPr>
          <w:tblCellSpacing w:w="15" w:type="dxa"/>
        </w:trPr>
        <w:tc>
          <w:tcPr>
            <w:tcW w:w="1090" w:type="dxa"/>
            <w:vAlign w:val="center"/>
          </w:tcPr>
          <w:p w14:paraId="61E02BBB" w14:textId="168DC132" w:rsidR="00963234" w:rsidRPr="00E64431" w:rsidRDefault="00276D60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E"/>
              </w:rPr>
              <w:lastRenderedPageBreak/>
              <w:t>Squeezed Middle (20th-70th percentile)</w:t>
            </w:r>
          </w:p>
        </w:tc>
        <w:tc>
          <w:tcPr>
            <w:tcW w:w="1952" w:type="dxa"/>
            <w:vAlign w:val="center"/>
          </w:tcPr>
          <w:p w14:paraId="6FFA9609" w14:textId="3294BB3B" w:rsidR="00963234" w:rsidRPr="00E64431" w:rsidRDefault="006B1CDE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3.9m people show zero technology benefit (β=0.0022) despite 77.6% access; </w:t>
            </w:r>
            <w:proofErr w:type="gram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12.4 point</w:t>
            </w:r>
            <w:proofErr w:type="gram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FWB gap persists; pay €47/month in digital fees without welfare gain</w:t>
            </w:r>
          </w:p>
        </w:tc>
        <w:tc>
          <w:tcPr>
            <w:tcW w:w="1815" w:type="dxa"/>
            <w:vAlign w:val="center"/>
          </w:tcPr>
          <w:p w14:paraId="4C59411E" w14:textId="10C68DA6" w:rsidR="006B1CDE" w:rsidRPr="00E64431" w:rsidRDefault="00B21E92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Generic financial literacy </w:t>
            </w:r>
            <w:proofErr w:type="gram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programmes;</w:t>
            </w:r>
            <w:proofErr w:type="gramEnd"/>
          </w:p>
          <w:p w14:paraId="5A29BEBC" w14:textId="2C34CA62" w:rsidR="006B1CDE" w:rsidRPr="00E64431" w:rsidRDefault="00B21E92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Universal Basic Income </w:t>
            </w:r>
            <w:proofErr w:type="gram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pilots;</w:t>
            </w:r>
            <w:proofErr w:type="gramEnd"/>
          </w:p>
          <w:p w14:paraId="7B5ACB68" w14:textId="6912D62E" w:rsidR="00963234" w:rsidRPr="00E64431" w:rsidRDefault="00B21E92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Standard consumer protections</w:t>
            </w:r>
            <w:r w:rsidR="006B1CDE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</w:t>
            </w:r>
            <w:r w:rsidR="006B1CDE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treat all equally</w:t>
            </w:r>
            <w:r w:rsidR="00684028"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.</w:t>
            </w:r>
          </w:p>
        </w:tc>
        <w:tc>
          <w:tcPr>
            <w:tcW w:w="1788" w:type="dxa"/>
            <w:vAlign w:val="center"/>
          </w:tcPr>
          <w:p w14:paraId="653A4399" w14:textId="65617C4A" w:rsidR="00963234" w:rsidRPr="00E64431" w:rsidRDefault="000A0F75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Middle-income households face unique structural barriers (housing costs 47% of income) that technology cannot address. Policies ignore this differentiation</w:t>
            </w: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.</w:t>
            </w:r>
          </w:p>
        </w:tc>
        <w:tc>
          <w:tcPr>
            <w:tcW w:w="1131" w:type="dxa"/>
          </w:tcPr>
          <w:p w14:paraId="178E0B80" w14:textId="77777777" w:rsidR="000A0F75" w:rsidRPr="00E64431" w:rsidRDefault="000A0F75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40374D" w14:textId="67EA0350" w:rsidR="00963234" w:rsidRPr="00E64431" w:rsidRDefault="00B21E92" w:rsidP="00E644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4431">
              <w:rPr>
                <w:rFonts w:ascii="Times New Roman" w:hAnsi="Times New Roman" w:cs="Times New Roman"/>
                <w:sz w:val="20"/>
                <w:szCs w:val="20"/>
              </w:rPr>
              <w:t>Yes - Assumes middle class benefits from digitalisation</w:t>
            </w:r>
            <w:r w:rsidR="00684028" w:rsidRPr="00E644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3" w:type="dxa"/>
            <w:vAlign w:val="center"/>
          </w:tcPr>
          <w:p w14:paraId="45963BF8" w14:textId="1575D0A1" w:rsidR="00963234" w:rsidRPr="00E64431" w:rsidRDefault="00744E03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E" w:eastAsia="en-IE"/>
              </w:rPr>
            </w:pPr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Vienna's social housing (60% live in, €7.50/m²); Singapore's CPF (mandatory 37% savings, 92% own homes); France's </w:t>
            </w:r>
            <w:proofErr w:type="spellStart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>Livret</w:t>
            </w:r>
            <w:proofErr w:type="spellEnd"/>
            <w:r w:rsidRPr="00E64431"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  <w:t xml:space="preserve"> A (55m accounts, €350bn saved, tax-free); Germany's Riester-Rente (€10bn subsidies, 16m contracts); UK's Help to Buy ISA (£3bn saved, 25% bonus)</w:t>
            </w:r>
          </w:p>
        </w:tc>
      </w:tr>
      <w:tr w:rsidR="00B23CAA" w:rsidRPr="00E64431" w14:paraId="02CCEA27" w14:textId="77777777" w:rsidTr="00B23CAA">
        <w:trPr>
          <w:tblCellSpacing w:w="15" w:type="dxa"/>
        </w:trPr>
        <w:tc>
          <w:tcPr>
            <w:tcW w:w="10289" w:type="dxa"/>
            <w:gridSpan w:val="6"/>
            <w:vAlign w:val="center"/>
          </w:tcPr>
          <w:p w14:paraId="3F4CDD27" w14:textId="385046E4" w:rsidR="00B23CAA" w:rsidRPr="00E64431" w:rsidRDefault="00B23CAA" w:rsidP="00E64431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E"/>
              </w:rPr>
            </w:pPr>
            <w:r w:rsidRPr="00E6443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E"/>
              </w:rPr>
              <w:t>Note: All statistics from PLS-SEM analysis of 11,128 households. FWB = Financial Well-Being composite score (0-100 scale). Monetary figures in 2019 euros. International examples show measurable success in addressing similar vulnerabilities.</w:t>
            </w:r>
          </w:p>
        </w:tc>
      </w:tr>
    </w:tbl>
    <w:p w14:paraId="7AEB5707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FA6A0CA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E83DCEC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676F391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9D04FFF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190C99E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E741869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B40BAD1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2C3A003" w14:textId="77777777" w:rsidR="00E00CDC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33A358BF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BED1465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1877A82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18C6C6C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C3C2C93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D2AC47D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09E2CD1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5F7259CE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3C6225AC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E32E3F6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11A5BB42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778E6FD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3B2AF3C1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257C2A24" w14:textId="77777777" w:rsidR="00647A8F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111CBBBE" w14:textId="77777777" w:rsidR="00647A8F" w:rsidRPr="00E64431" w:rsidRDefault="00647A8F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414AB507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77F0D11D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659FDB2B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p w14:paraId="058E0ED9" w14:textId="77777777" w:rsidR="00E00CDC" w:rsidRPr="00E64431" w:rsidRDefault="00E00CDC" w:rsidP="00E64431">
      <w:pPr>
        <w:spacing w:after="0"/>
        <w:jc w:val="center"/>
        <w:rPr>
          <w:rFonts w:ascii="Times New Roman" w:eastAsiaTheme="minorHAnsi" w:hAnsi="Times New Roman" w:cs="Times New Roman"/>
          <w:kern w:val="2"/>
          <w:sz w:val="20"/>
          <w:szCs w:val="20"/>
          <w:lang w:val="en-IE" w:eastAsia="en-IE"/>
          <w14:ligatures w14:val="standardContextual"/>
        </w:rPr>
      </w:pPr>
    </w:p>
    <w:sectPr w:rsidR="00E00CDC" w:rsidRPr="00E644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8A62A" w14:textId="77777777" w:rsidR="0043007A" w:rsidRDefault="0043007A" w:rsidP="00F121CB">
      <w:pPr>
        <w:spacing w:after="0" w:line="240" w:lineRule="auto"/>
      </w:pPr>
      <w:r>
        <w:separator/>
      </w:r>
    </w:p>
  </w:endnote>
  <w:endnote w:type="continuationSeparator" w:id="0">
    <w:p w14:paraId="258E3DC7" w14:textId="77777777" w:rsidR="0043007A" w:rsidRDefault="0043007A" w:rsidP="00F12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Mono">
    <w:altName w:val="Calibri"/>
    <w:charset w:val="00"/>
    <w:family w:val="modern"/>
    <w:pitch w:val="fixed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6C1D5" w14:textId="77777777" w:rsidR="0043007A" w:rsidRDefault="0043007A" w:rsidP="00F121CB">
      <w:pPr>
        <w:spacing w:after="0" w:line="240" w:lineRule="auto"/>
      </w:pPr>
      <w:r>
        <w:separator/>
      </w:r>
    </w:p>
  </w:footnote>
  <w:footnote w:type="continuationSeparator" w:id="0">
    <w:p w14:paraId="60665CC7" w14:textId="77777777" w:rsidR="0043007A" w:rsidRDefault="0043007A" w:rsidP="00F121CB">
      <w:pPr>
        <w:spacing w:after="0" w:line="240" w:lineRule="auto"/>
      </w:pPr>
      <w:r>
        <w:continuationSeparator/>
      </w:r>
    </w:p>
  </w:footnote>
  <w:footnote w:id="1">
    <w:p w14:paraId="78824FB6" w14:textId="77777777" w:rsidR="005872C8" w:rsidRPr="002A454F" w:rsidRDefault="005872C8" w:rsidP="001B011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2A454F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en-IE"/>
          </w:rPr>
          <w:t>https://finance.ec.europa.eu/consumer-finance-and-payments/financial-literacy/financial-competence-framework_en</w:t>
        </w:r>
      </w:hyperlink>
    </w:p>
  </w:footnote>
  <w:footnote w:id="2">
    <w:p w14:paraId="3A38F86C" w14:textId="77777777" w:rsidR="005872C8" w:rsidRPr="002A454F" w:rsidRDefault="005872C8" w:rsidP="001B011C">
      <w:pPr>
        <w:spacing w:after="0" w:line="240" w:lineRule="auto"/>
        <w:rPr>
          <w:rFonts w:ascii="Times New Roman" w:hAnsi="Times New Roman" w:cs="Times New Roman"/>
          <w:sz w:val="18"/>
          <w:szCs w:val="18"/>
          <w:lang w:eastAsia="en-IE"/>
        </w:rPr>
      </w:pPr>
      <w:r w:rsidRPr="002A454F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2A454F">
        <w:rPr>
          <w:rFonts w:ascii="Times New Roman" w:hAnsi="Times New Roman" w:cs="Times New Roman"/>
          <w:sz w:val="18"/>
          <w:szCs w:val="18"/>
        </w:rPr>
        <w:t xml:space="preserve"> </w:t>
      </w:r>
      <w:hyperlink r:id="rId2" w:history="1">
        <w:r w:rsidRPr="002A454F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en-IE"/>
          </w:rPr>
          <w:t>https://www.centralbank.ie/consumer-hub/financial-literacy</w:t>
        </w:r>
      </w:hyperlink>
    </w:p>
  </w:footnote>
  <w:footnote w:id="3">
    <w:p w14:paraId="0F85C171" w14:textId="77777777" w:rsidR="005872C8" w:rsidRDefault="005872C8" w:rsidP="001B011C">
      <w:pPr>
        <w:spacing w:after="0" w:line="240" w:lineRule="auto"/>
      </w:pPr>
      <w:r w:rsidRPr="002A454F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2A454F">
        <w:rPr>
          <w:rFonts w:ascii="Times New Roman" w:hAnsi="Times New Roman" w:cs="Times New Roman"/>
          <w:sz w:val="18"/>
          <w:szCs w:val="18"/>
        </w:rPr>
        <w:t xml:space="preserve"> </w:t>
      </w:r>
      <w:hyperlink r:id="rId3" w:history="1">
        <w:r w:rsidRPr="002A454F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en-IE"/>
          </w:rPr>
          <w:t>https://digital-strategy.ec.europa.eu/en/policies/europes-digital-decade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795EB0FE"/>
    <w:lvl w:ilvl="0">
      <w:start w:val="1"/>
      <w:numFmt w:val="decimal"/>
      <w:pStyle w:val="ListNumber2"/>
      <w:lvlText w:val="%1."/>
      <w:lvlJc w:val="left"/>
      <w:pPr>
        <w:tabs>
          <w:tab w:val="num" w:pos="10206"/>
        </w:tabs>
        <w:ind w:left="10206" w:hanging="360"/>
      </w:pPr>
    </w:lvl>
  </w:abstractNum>
  <w:abstractNum w:abstractNumId="1" w15:restartNumberingAfterBreak="0">
    <w:nsid w:val="010142C5"/>
    <w:multiLevelType w:val="multilevel"/>
    <w:tmpl w:val="6DDE6A16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4130090"/>
    <w:multiLevelType w:val="multilevel"/>
    <w:tmpl w:val="62A48A5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6BA402A"/>
    <w:multiLevelType w:val="multilevel"/>
    <w:tmpl w:val="979A70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7091A63"/>
    <w:multiLevelType w:val="multilevel"/>
    <w:tmpl w:val="221CE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BE41B3"/>
    <w:multiLevelType w:val="multilevel"/>
    <w:tmpl w:val="5BAE7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9F51AC"/>
    <w:multiLevelType w:val="hybridMultilevel"/>
    <w:tmpl w:val="0E4E2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74871"/>
    <w:multiLevelType w:val="multilevel"/>
    <w:tmpl w:val="D3225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5457E7"/>
    <w:multiLevelType w:val="multilevel"/>
    <w:tmpl w:val="A2A63F8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20632FC5"/>
    <w:multiLevelType w:val="multilevel"/>
    <w:tmpl w:val="881CF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BA76BF"/>
    <w:multiLevelType w:val="multilevel"/>
    <w:tmpl w:val="9334D99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5376619"/>
    <w:multiLevelType w:val="multilevel"/>
    <w:tmpl w:val="23C23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8E4FDD"/>
    <w:multiLevelType w:val="multilevel"/>
    <w:tmpl w:val="2B329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B14406"/>
    <w:multiLevelType w:val="multilevel"/>
    <w:tmpl w:val="C35C2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1E50AC"/>
    <w:multiLevelType w:val="multilevel"/>
    <w:tmpl w:val="3D6478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297A2C"/>
    <w:multiLevelType w:val="multilevel"/>
    <w:tmpl w:val="604A6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6505A0"/>
    <w:multiLevelType w:val="multilevel"/>
    <w:tmpl w:val="10C8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6A6EAA"/>
    <w:multiLevelType w:val="multilevel"/>
    <w:tmpl w:val="79F2C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5F24FA"/>
    <w:multiLevelType w:val="multilevel"/>
    <w:tmpl w:val="A2A63F8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3EC727A4"/>
    <w:multiLevelType w:val="multilevel"/>
    <w:tmpl w:val="E2AED9E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0" w15:restartNumberingAfterBreak="0">
    <w:nsid w:val="40DA3B92"/>
    <w:multiLevelType w:val="multilevel"/>
    <w:tmpl w:val="014C4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3D4EAA"/>
    <w:multiLevelType w:val="multilevel"/>
    <w:tmpl w:val="164EE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70173"/>
    <w:multiLevelType w:val="multilevel"/>
    <w:tmpl w:val="A7D41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4167A4"/>
    <w:multiLevelType w:val="hybridMultilevel"/>
    <w:tmpl w:val="DA98A316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4291BE4"/>
    <w:multiLevelType w:val="multilevel"/>
    <w:tmpl w:val="7E9A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910CE0"/>
    <w:multiLevelType w:val="multilevel"/>
    <w:tmpl w:val="240A023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A97448F"/>
    <w:multiLevelType w:val="multilevel"/>
    <w:tmpl w:val="A2A63F8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27" w15:restartNumberingAfterBreak="0">
    <w:nsid w:val="4C410F39"/>
    <w:multiLevelType w:val="hybridMultilevel"/>
    <w:tmpl w:val="80AA92D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6448F8"/>
    <w:multiLevelType w:val="multilevel"/>
    <w:tmpl w:val="0B3AF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E00638"/>
    <w:multiLevelType w:val="multilevel"/>
    <w:tmpl w:val="DA6CFC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800"/>
      </w:pPr>
      <w:rPr>
        <w:rFonts w:hint="default"/>
      </w:rPr>
    </w:lvl>
  </w:abstractNum>
  <w:abstractNum w:abstractNumId="30" w15:restartNumberingAfterBreak="0">
    <w:nsid w:val="54091411"/>
    <w:multiLevelType w:val="multilevel"/>
    <w:tmpl w:val="04EC2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5D3945"/>
    <w:multiLevelType w:val="hybridMultilevel"/>
    <w:tmpl w:val="A94A17D0"/>
    <w:lvl w:ilvl="0" w:tplc="1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401BDB"/>
    <w:multiLevelType w:val="multilevel"/>
    <w:tmpl w:val="8F26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527884"/>
    <w:multiLevelType w:val="multilevel"/>
    <w:tmpl w:val="4D588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D862DD0"/>
    <w:multiLevelType w:val="multilevel"/>
    <w:tmpl w:val="9920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49A43C2"/>
    <w:multiLevelType w:val="multilevel"/>
    <w:tmpl w:val="38C8C146"/>
    <w:lvl w:ilvl="0">
      <w:start w:val="7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6" w15:restartNumberingAfterBreak="0">
    <w:nsid w:val="71121453"/>
    <w:multiLevelType w:val="multilevel"/>
    <w:tmpl w:val="EE8E6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C9792D"/>
    <w:multiLevelType w:val="multilevel"/>
    <w:tmpl w:val="15D4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4309DD"/>
    <w:multiLevelType w:val="multilevel"/>
    <w:tmpl w:val="9A5A12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776B1294"/>
    <w:multiLevelType w:val="multilevel"/>
    <w:tmpl w:val="E0D01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5605B9"/>
    <w:multiLevelType w:val="multilevel"/>
    <w:tmpl w:val="903247E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B5A0B6D"/>
    <w:multiLevelType w:val="multilevel"/>
    <w:tmpl w:val="24880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6780442">
    <w:abstractNumId w:val="0"/>
  </w:num>
  <w:num w:numId="2" w16cid:durableId="274605897">
    <w:abstractNumId w:val="26"/>
  </w:num>
  <w:num w:numId="3" w16cid:durableId="2009097495">
    <w:abstractNumId w:val="8"/>
  </w:num>
  <w:num w:numId="4" w16cid:durableId="891769791">
    <w:abstractNumId w:val="18"/>
  </w:num>
  <w:num w:numId="5" w16cid:durableId="1880436271">
    <w:abstractNumId w:val="10"/>
  </w:num>
  <w:num w:numId="6" w16cid:durableId="1948534616">
    <w:abstractNumId w:val="29"/>
  </w:num>
  <w:num w:numId="7" w16cid:durableId="1114405432">
    <w:abstractNumId w:val="6"/>
  </w:num>
  <w:num w:numId="8" w16cid:durableId="479427637">
    <w:abstractNumId w:val="27"/>
  </w:num>
  <w:num w:numId="9" w16cid:durableId="1807620005">
    <w:abstractNumId w:val="34"/>
  </w:num>
  <w:num w:numId="10" w16cid:durableId="1660229656">
    <w:abstractNumId w:val="30"/>
  </w:num>
  <w:num w:numId="11" w16cid:durableId="2100710963">
    <w:abstractNumId w:val="41"/>
  </w:num>
  <w:num w:numId="12" w16cid:durableId="1120105035">
    <w:abstractNumId w:val="21"/>
  </w:num>
  <w:num w:numId="13" w16cid:durableId="57484731">
    <w:abstractNumId w:val="5"/>
  </w:num>
  <w:num w:numId="14" w16cid:durableId="337394954">
    <w:abstractNumId w:val="16"/>
  </w:num>
  <w:num w:numId="15" w16cid:durableId="621425999">
    <w:abstractNumId w:val="37"/>
  </w:num>
  <w:num w:numId="16" w16cid:durableId="501163900">
    <w:abstractNumId w:val="1"/>
  </w:num>
  <w:num w:numId="17" w16cid:durableId="1033966926">
    <w:abstractNumId w:val="19"/>
  </w:num>
  <w:num w:numId="18" w16cid:durableId="2039551104">
    <w:abstractNumId w:val="38"/>
  </w:num>
  <w:num w:numId="19" w16cid:durableId="1178276926">
    <w:abstractNumId w:val="2"/>
  </w:num>
  <w:num w:numId="20" w16cid:durableId="448745075">
    <w:abstractNumId w:val="35"/>
  </w:num>
  <w:num w:numId="21" w16cid:durableId="473529747">
    <w:abstractNumId w:val="14"/>
  </w:num>
  <w:num w:numId="22" w16cid:durableId="1438912241">
    <w:abstractNumId w:val="3"/>
  </w:num>
  <w:num w:numId="23" w16cid:durableId="1220285704">
    <w:abstractNumId w:val="11"/>
  </w:num>
  <w:num w:numId="24" w16cid:durableId="253051196">
    <w:abstractNumId w:val="7"/>
  </w:num>
  <w:num w:numId="25" w16cid:durableId="608515368">
    <w:abstractNumId w:val="32"/>
  </w:num>
  <w:num w:numId="26" w16cid:durableId="101268866">
    <w:abstractNumId w:val="9"/>
  </w:num>
  <w:num w:numId="27" w16cid:durableId="978418991">
    <w:abstractNumId w:val="31"/>
  </w:num>
  <w:num w:numId="28" w16cid:durableId="933633622">
    <w:abstractNumId w:val="13"/>
  </w:num>
  <w:num w:numId="29" w16cid:durableId="2076125080">
    <w:abstractNumId w:val="28"/>
  </w:num>
  <w:num w:numId="30" w16cid:durableId="1012760150">
    <w:abstractNumId w:val="15"/>
  </w:num>
  <w:num w:numId="31" w16cid:durableId="110562606">
    <w:abstractNumId w:val="4"/>
  </w:num>
  <w:num w:numId="32" w16cid:durableId="1108236923">
    <w:abstractNumId w:val="23"/>
  </w:num>
  <w:num w:numId="33" w16cid:durableId="602882158">
    <w:abstractNumId w:val="17"/>
  </w:num>
  <w:num w:numId="34" w16cid:durableId="1938247539">
    <w:abstractNumId w:val="40"/>
  </w:num>
  <w:num w:numId="35" w16cid:durableId="955988948">
    <w:abstractNumId w:val="25"/>
  </w:num>
  <w:num w:numId="36" w16cid:durableId="2079012139">
    <w:abstractNumId w:val="36"/>
  </w:num>
  <w:num w:numId="37" w16cid:durableId="39480561">
    <w:abstractNumId w:val="20"/>
  </w:num>
  <w:num w:numId="38" w16cid:durableId="1733650820">
    <w:abstractNumId w:val="22"/>
  </w:num>
  <w:num w:numId="39" w16cid:durableId="428157178">
    <w:abstractNumId w:val="24"/>
  </w:num>
  <w:num w:numId="40" w16cid:durableId="1716999866">
    <w:abstractNumId w:val="33"/>
  </w:num>
  <w:num w:numId="41" w16cid:durableId="1906138648">
    <w:abstractNumId w:val="12"/>
  </w:num>
  <w:num w:numId="42" w16cid:durableId="1701006445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1CB"/>
    <w:rsid w:val="00011AA0"/>
    <w:rsid w:val="0006752C"/>
    <w:rsid w:val="00091131"/>
    <w:rsid w:val="000A0F75"/>
    <w:rsid w:val="0013634C"/>
    <w:rsid w:val="00136CCA"/>
    <w:rsid w:val="00156E06"/>
    <w:rsid w:val="00181FF1"/>
    <w:rsid w:val="001B011C"/>
    <w:rsid w:val="001F26D4"/>
    <w:rsid w:val="00236A09"/>
    <w:rsid w:val="00265551"/>
    <w:rsid w:val="00276D60"/>
    <w:rsid w:val="0031461F"/>
    <w:rsid w:val="00346385"/>
    <w:rsid w:val="00366293"/>
    <w:rsid w:val="003B34DC"/>
    <w:rsid w:val="003D44DA"/>
    <w:rsid w:val="003D4A4E"/>
    <w:rsid w:val="003E516B"/>
    <w:rsid w:val="0043007A"/>
    <w:rsid w:val="00434724"/>
    <w:rsid w:val="004960A8"/>
    <w:rsid w:val="004A120F"/>
    <w:rsid w:val="004A122E"/>
    <w:rsid w:val="004D2A56"/>
    <w:rsid w:val="004D4869"/>
    <w:rsid w:val="0052627F"/>
    <w:rsid w:val="005757AC"/>
    <w:rsid w:val="005872C8"/>
    <w:rsid w:val="005B21B1"/>
    <w:rsid w:val="005B527B"/>
    <w:rsid w:val="005C29ED"/>
    <w:rsid w:val="005E26AD"/>
    <w:rsid w:val="005F7900"/>
    <w:rsid w:val="0062555C"/>
    <w:rsid w:val="006445D5"/>
    <w:rsid w:val="00647A8F"/>
    <w:rsid w:val="00656348"/>
    <w:rsid w:val="00664137"/>
    <w:rsid w:val="00666F6C"/>
    <w:rsid w:val="00684028"/>
    <w:rsid w:val="006B1CDE"/>
    <w:rsid w:val="006C7654"/>
    <w:rsid w:val="006D2D6B"/>
    <w:rsid w:val="006E256A"/>
    <w:rsid w:val="00744E03"/>
    <w:rsid w:val="00793259"/>
    <w:rsid w:val="0079418A"/>
    <w:rsid w:val="007B261A"/>
    <w:rsid w:val="007D3E15"/>
    <w:rsid w:val="007E5120"/>
    <w:rsid w:val="008373C5"/>
    <w:rsid w:val="00842DB8"/>
    <w:rsid w:val="00857ED9"/>
    <w:rsid w:val="008704C8"/>
    <w:rsid w:val="008D4BBC"/>
    <w:rsid w:val="00963234"/>
    <w:rsid w:val="009E12DD"/>
    <w:rsid w:val="009F00D0"/>
    <w:rsid w:val="00A17667"/>
    <w:rsid w:val="00A32FA2"/>
    <w:rsid w:val="00AB1B06"/>
    <w:rsid w:val="00B121A0"/>
    <w:rsid w:val="00B21E92"/>
    <w:rsid w:val="00B23CAA"/>
    <w:rsid w:val="00B260CD"/>
    <w:rsid w:val="00B275D0"/>
    <w:rsid w:val="00B6453A"/>
    <w:rsid w:val="00B64F45"/>
    <w:rsid w:val="00B67EFA"/>
    <w:rsid w:val="00B75F52"/>
    <w:rsid w:val="00BC7E40"/>
    <w:rsid w:val="00C8635B"/>
    <w:rsid w:val="00CD02B7"/>
    <w:rsid w:val="00D2247B"/>
    <w:rsid w:val="00D74BC1"/>
    <w:rsid w:val="00DA79CC"/>
    <w:rsid w:val="00DB2DE2"/>
    <w:rsid w:val="00DC2926"/>
    <w:rsid w:val="00DE53EB"/>
    <w:rsid w:val="00DF4F29"/>
    <w:rsid w:val="00E00CDC"/>
    <w:rsid w:val="00E64431"/>
    <w:rsid w:val="00E93A36"/>
    <w:rsid w:val="00F121CB"/>
    <w:rsid w:val="00F2120E"/>
    <w:rsid w:val="00FA1C93"/>
    <w:rsid w:val="00FB1587"/>
    <w:rsid w:val="00FC5A59"/>
    <w:rsid w:val="00FD058F"/>
    <w:rsid w:val="00F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2C5BD"/>
  <w15:chartTrackingRefBased/>
  <w15:docId w15:val="{1E46EBF1-3BC0-4804-99BB-AC2D08544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1CB"/>
    <w:pPr>
      <w:spacing w:line="259" w:lineRule="auto"/>
    </w:pPr>
    <w:rPr>
      <w:rFonts w:eastAsiaTheme="minorEastAsia"/>
      <w:kern w:val="0"/>
      <w:sz w:val="22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21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21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21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1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1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1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1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1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1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1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121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121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1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1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1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1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1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1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1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1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1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1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1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1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1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1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1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1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1C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121C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F121CB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">
    <w:name w:val="citation"/>
    <w:basedOn w:val="DefaultParagraphFont"/>
    <w:rsid w:val="00F121CB"/>
  </w:style>
  <w:style w:type="paragraph" w:styleId="NormalWeb">
    <w:name w:val="Normal (Web)"/>
    <w:basedOn w:val="Normal"/>
    <w:uiPriority w:val="99"/>
    <w:unhideWhenUsed/>
    <w:rsid w:val="00F12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/>
    </w:rPr>
  </w:style>
  <w:style w:type="paragraph" w:customStyle="1" w:styleId="PreformattedText">
    <w:name w:val="Preformatted Text"/>
    <w:basedOn w:val="Normal"/>
    <w:rsid w:val="00F121C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color w:val="000000"/>
      <w:kern w:val="3"/>
      <w:sz w:val="20"/>
      <w:szCs w:val="20"/>
      <w:lang w:val="en-IE" w:bidi="hi-IN"/>
    </w:rPr>
  </w:style>
  <w:style w:type="character" w:styleId="PlaceholderText">
    <w:name w:val="Placeholder Text"/>
    <w:basedOn w:val="DefaultParagraphFont"/>
    <w:uiPriority w:val="99"/>
    <w:semiHidden/>
    <w:rsid w:val="00F121CB"/>
    <w:rPr>
      <w:color w:val="808080"/>
    </w:rPr>
  </w:style>
  <w:style w:type="paragraph" w:styleId="ListNumber2">
    <w:name w:val="List Number 2"/>
    <w:basedOn w:val="Normal"/>
    <w:rsid w:val="00F121CB"/>
    <w:pPr>
      <w:numPr>
        <w:numId w:val="1"/>
      </w:numPr>
      <w:spacing w:after="120" w:line="240" w:lineRule="auto"/>
      <w:jc w:val="both"/>
    </w:pPr>
    <w:rPr>
      <w:rFonts w:ascii="Georgia" w:eastAsia="Times New Roman" w:hAnsi="Georgia" w:cs="Times New Roman"/>
      <w:sz w:val="20"/>
      <w:szCs w:val="20"/>
      <w:lang w:val="en-US" w:eastAsia="en-US"/>
    </w:rPr>
  </w:style>
  <w:style w:type="paragraph" w:customStyle="1" w:styleId="whitespace-normal">
    <w:name w:val="whitespace-normal"/>
    <w:basedOn w:val="Normal"/>
    <w:rsid w:val="00F12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 w:eastAsia="en-IE"/>
    </w:rPr>
  </w:style>
  <w:style w:type="paragraph" w:customStyle="1" w:styleId="whitespace-pre-wrap">
    <w:name w:val="whitespace-pre-wrap"/>
    <w:basedOn w:val="Normal"/>
    <w:rsid w:val="00F12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 w:eastAsia="en-IE"/>
    </w:rPr>
  </w:style>
  <w:style w:type="paragraph" w:styleId="Header">
    <w:name w:val="header"/>
    <w:basedOn w:val="Normal"/>
    <w:link w:val="HeaderChar"/>
    <w:uiPriority w:val="99"/>
    <w:unhideWhenUsed/>
    <w:rsid w:val="00F121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1CB"/>
    <w:rPr>
      <w:rFonts w:eastAsiaTheme="minorEastAsia"/>
      <w:kern w:val="0"/>
      <w:sz w:val="22"/>
      <w:szCs w:val="22"/>
      <w:lang w:val="en-GB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121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1CB"/>
    <w:rPr>
      <w:rFonts w:eastAsiaTheme="minorEastAsia"/>
      <w:kern w:val="0"/>
      <w:sz w:val="22"/>
      <w:szCs w:val="22"/>
      <w:lang w:val="en-GB"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F121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21C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121CB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F121CB"/>
    <w:pPr>
      <w:spacing w:after="0" w:line="240" w:lineRule="auto"/>
    </w:pPr>
    <w:rPr>
      <w:rFonts w:ascii="Times New Roman" w:hAnsi="Times New Roman"/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121CB"/>
    <w:rPr>
      <w:rFonts w:ascii="Times New Roman" w:eastAsiaTheme="minorEastAsia" w:hAnsi="Times New Roman"/>
      <w:kern w:val="0"/>
      <w:sz w:val="18"/>
      <w:szCs w:val="20"/>
      <w:lang w:val="en-GB" w:eastAsia="zh-CN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F121C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21CB"/>
    <w:rPr>
      <w:color w:val="96607D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F121CB"/>
    <w:pPr>
      <w:spacing w:after="0" w:line="240" w:lineRule="auto"/>
    </w:pPr>
    <w:rPr>
      <w:rFonts w:eastAsia="DengXian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121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21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21CB"/>
    <w:rPr>
      <w:rFonts w:eastAsiaTheme="minorEastAsia"/>
      <w:kern w:val="0"/>
      <w:sz w:val="20"/>
      <w:szCs w:val="20"/>
      <w:lang w:val="en-GB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21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21CB"/>
    <w:rPr>
      <w:rFonts w:eastAsiaTheme="minorEastAsia"/>
      <w:b/>
      <w:bCs/>
      <w:kern w:val="0"/>
      <w:sz w:val="20"/>
      <w:szCs w:val="20"/>
      <w:lang w:val="en-GB" w:eastAsia="zh-CN"/>
      <w14:ligatures w14:val="none"/>
    </w:rPr>
  </w:style>
  <w:style w:type="character" w:customStyle="1" w:styleId="cf01">
    <w:name w:val="cf01"/>
    <w:basedOn w:val="DefaultParagraphFont"/>
    <w:rsid w:val="00F121CB"/>
    <w:rPr>
      <w:rFonts w:ascii="Segoe UI" w:hAnsi="Segoe UI" w:cs="Segoe UI" w:hint="default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1B011C"/>
  </w:style>
  <w:style w:type="numbering" w:customStyle="1" w:styleId="NoList11">
    <w:name w:val="No List11"/>
    <w:next w:val="NoList"/>
    <w:uiPriority w:val="99"/>
    <w:semiHidden/>
    <w:unhideWhenUsed/>
    <w:rsid w:val="001B011C"/>
  </w:style>
  <w:style w:type="paragraph" w:customStyle="1" w:styleId="msonormal0">
    <w:name w:val="msonormal"/>
    <w:basedOn w:val="Normal"/>
    <w:rsid w:val="001B0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 w:eastAsia="en-IE"/>
    </w:rPr>
  </w:style>
  <w:style w:type="character" w:styleId="Emphasis">
    <w:name w:val="Emphasis"/>
    <w:basedOn w:val="DefaultParagraphFont"/>
    <w:uiPriority w:val="20"/>
    <w:qFormat/>
    <w:rsid w:val="001B011C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B01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E" w:eastAsia="en-I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B011C"/>
    <w:rPr>
      <w:rFonts w:ascii="Courier New" w:eastAsia="Times New Roman" w:hAnsi="Courier New" w:cs="Courier New"/>
      <w:kern w:val="0"/>
      <w:sz w:val="20"/>
      <w:szCs w:val="20"/>
      <w:lang w:eastAsia="en-IE"/>
      <w14:ligatures w14:val="none"/>
    </w:rPr>
  </w:style>
  <w:style w:type="table" w:customStyle="1" w:styleId="TableGrid2">
    <w:name w:val="Table Grid2"/>
    <w:basedOn w:val="TableNormal"/>
    <w:next w:val="TableGrid"/>
    <w:uiPriority w:val="39"/>
    <w:rsid w:val="001B0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0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3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1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0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39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1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digital-strategy.ec.europa.eu/en/policies/europes-digital-decade" TargetMode="External"/><Relationship Id="rId2" Type="http://schemas.openxmlformats.org/officeDocument/2006/relationships/hyperlink" Target="https://www.centralbank.ie/consumer-hub/financial-literacy" TargetMode="External"/><Relationship Id="rId1" Type="http://schemas.openxmlformats.org/officeDocument/2006/relationships/hyperlink" Target="https://finance.ec.europa.eu/consumer-finance-and-payments/financial-literacy/financial-competence-framework_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8</Pages>
  <Words>2141</Words>
  <Characters>12205</Characters>
  <Application>Microsoft Office Word</Application>
  <DocSecurity>0</DocSecurity>
  <Lines>101</Lines>
  <Paragraphs>28</Paragraphs>
  <ScaleCrop>false</ScaleCrop>
  <Company>University College Cork</Company>
  <LinksUpToDate>false</LinksUpToDate>
  <CharactersWithSpaces>14318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Ryan</dc:creator>
  <cp:keywords/>
  <dc:description/>
  <cp:lastModifiedBy>Marie Ryan</cp:lastModifiedBy>
  <cp:revision>81</cp:revision>
  <dcterms:created xsi:type="dcterms:W3CDTF">2025-04-29T09:47:00Z</dcterms:created>
  <dcterms:modified xsi:type="dcterms:W3CDTF">2025-08-13T13:16:00Z</dcterms:modified>
</cp:coreProperties>
</file>