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3957F" w14:textId="77777777" w:rsidR="00EA2C5D" w:rsidRDefault="00EA2C5D" w:rsidP="00EA2C5D">
      <w:pPr>
        <w:jc w:val="center"/>
        <w:rPr>
          <w:b/>
        </w:rPr>
      </w:pPr>
      <w:r w:rsidRPr="00EA2C5D">
        <w:rPr>
          <w:b/>
        </w:rPr>
        <w:t>Supplementary Information</w:t>
      </w:r>
      <w:r w:rsidRPr="00EA2C5D">
        <w:rPr>
          <w:b/>
        </w:rPr>
        <w:cr/>
      </w:r>
    </w:p>
    <w:p w14:paraId="1FA0505F" w14:textId="1B8B9D70" w:rsidR="00EA2C5D" w:rsidRPr="00E6133D" w:rsidRDefault="00EA2C5D" w:rsidP="00EA2C5D">
      <w:pPr>
        <w:rPr>
          <w:rFonts w:cs="Arial"/>
        </w:rPr>
      </w:pPr>
      <w:r>
        <w:rPr>
          <w:rFonts w:cs="Arial"/>
          <w:sz w:val="28"/>
          <w:szCs w:val="28"/>
        </w:rPr>
        <w:t>N</w:t>
      </w:r>
      <w:r w:rsidRPr="00D20B57">
        <w:rPr>
          <w:rFonts w:cs="Arial"/>
          <w:sz w:val="28"/>
          <w:szCs w:val="28"/>
        </w:rPr>
        <w:t>orth American boreal forests are a large carbon source due to wildfires from 1986 to 2016</w:t>
      </w:r>
    </w:p>
    <w:p w14:paraId="64380F1F" w14:textId="77777777" w:rsidR="00EA2C5D" w:rsidRPr="006B6AA3" w:rsidRDefault="00EA2C5D" w:rsidP="00EA2C5D">
      <w:pPr>
        <w:contextualSpacing/>
        <w:rPr>
          <w:rFonts w:cs="Arial"/>
        </w:rPr>
      </w:pPr>
      <w:r w:rsidRPr="006B6AA3">
        <w:rPr>
          <w:rFonts w:cs="Arial"/>
        </w:rPr>
        <w:t>Bailu Zhao</w:t>
      </w:r>
      <w:r w:rsidRPr="006B6AA3">
        <w:rPr>
          <w:rFonts w:cs="Arial"/>
          <w:vertAlign w:val="superscript"/>
        </w:rPr>
        <w:t>1</w:t>
      </w:r>
      <w:r w:rsidRPr="006B6AA3">
        <w:rPr>
          <w:rFonts w:cs="Arial"/>
        </w:rPr>
        <w:t xml:space="preserve">, </w:t>
      </w:r>
      <w:proofErr w:type="spellStart"/>
      <w:r w:rsidRPr="006B6AA3">
        <w:rPr>
          <w:rFonts w:cs="Arial"/>
        </w:rPr>
        <w:t>Qianlai</w:t>
      </w:r>
      <w:proofErr w:type="spellEnd"/>
      <w:r w:rsidRPr="006B6AA3">
        <w:rPr>
          <w:rFonts w:cs="Arial"/>
        </w:rPr>
        <w:t xml:space="preserve"> Zhuang</w:t>
      </w:r>
      <w:r w:rsidRPr="006B6AA3">
        <w:rPr>
          <w:rFonts w:cs="Arial"/>
          <w:vertAlign w:val="superscript"/>
        </w:rPr>
        <w:t>1,2</w:t>
      </w:r>
      <w:r w:rsidRPr="006B6AA3">
        <w:rPr>
          <w:rFonts w:cs="Arial"/>
        </w:rPr>
        <w:t xml:space="preserve">, </w:t>
      </w:r>
      <w:proofErr w:type="spellStart"/>
      <w:r w:rsidRPr="006B6AA3">
        <w:rPr>
          <w:rFonts w:cs="Arial"/>
        </w:rPr>
        <w:t>Narasinha</w:t>
      </w:r>
      <w:proofErr w:type="spellEnd"/>
      <w:r w:rsidRPr="006B6AA3">
        <w:rPr>
          <w:rFonts w:cs="Arial"/>
        </w:rPr>
        <w:t xml:space="preserve"> Shurpali</w:t>
      </w:r>
      <w:r w:rsidRPr="006B6AA3">
        <w:rPr>
          <w:rFonts w:cs="Arial"/>
          <w:vertAlign w:val="superscript"/>
        </w:rPr>
        <w:t>3</w:t>
      </w:r>
      <w:r w:rsidRPr="006B6AA3">
        <w:rPr>
          <w:rFonts w:cs="Arial"/>
        </w:rPr>
        <w:t xml:space="preserve">, </w:t>
      </w:r>
      <w:proofErr w:type="spellStart"/>
      <w:r w:rsidRPr="006B6AA3">
        <w:rPr>
          <w:rFonts w:cs="Arial"/>
        </w:rPr>
        <w:t>Kajar</w:t>
      </w:r>
      <w:proofErr w:type="spellEnd"/>
      <w:r w:rsidRPr="006B6AA3">
        <w:rPr>
          <w:rFonts w:cs="Arial"/>
        </w:rPr>
        <w:t xml:space="preserve"> Köster</w:t>
      </w:r>
      <w:r w:rsidRPr="006B6AA3">
        <w:rPr>
          <w:rFonts w:cs="Arial"/>
          <w:vertAlign w:val="superscript"/>
        </w:rPr>
        <w:t>4</w:t>
      </w:r>
      <w:r w:rsidRPr="006B6AA3">
        <w:rPr>
          <w:rFonts w:cs="Arial"/>
        </w:rPr>
        <w:t>, Frank Berninger</w:t>
      </w:r>
      <w:r w:rsidRPr="006B6AA3">
        <w:rPr>
          <w:rFonts w:cs="Arial"/>
          <w:vertAlign w:val="superscript"/>
        </w:rPr>
        <w:t>5</w:t>
      </w:r>
      <w:r w:rsidRPr="006B6AA3">
        <w:rPr>
          <w:rFonts w:cs="Arial"/>
        </w:rPr>
        <w:t>, Jukka Pumpanen</w:t>
      </w:r>
      <w:r w:rsidRPr="006B6AA3">
        <w:rPr>
          <w:rFonts w:cs="Arial"/>
          <w:vertAlign w:val="superscript"/>
        </w:rPr>
        <w:t>6</w:t>
      </w:r>
    </w:p>
    <w:p w14:paraId="55A90475" w14:textId="77777777" w:rsidR="00EA2C5D" w:rsidRPr="006B6AA3" w:rsidRDefault="00EA2C5D" w:rsidP="00EA2C5D">
      <w:pPr>
        <w:contextualSpacing/>
        <w:rPr>
          <w:rFonts w:cs="Arial"/>
        </w:rPr>
      </w:pPr>
    </w:p>
    <w:p w14:paraId="501CE16F" w14:textId="77777777" w:rsidR="00EA2C5D" w:rsidRPr="006B6AA3" w:rsidRDefault="00EA2C5D" w:rsidP="00EA2C5D">
      <w:pPr>
        <w:spacing w:after="203"/>
        <w:contextualSpacing/>
        <w:rPr>
          <w:rFonts w:cs="Arial"/>
          <w:shd w:val="clear" w:color="auto" w:fill="FFFFFF"/>
        </w:rPr>
      </w:pPr>
      <w:r w:rsidRPr="006B6AA3">
        <w:rPr>
          <w:rFonts w:cs="Arial"/>
          <w:shd w:val="clear" w:color="auto" w:fill="FFFFFF"/>
          <w:vertAlign w:val="superscript"/>
        </w:rPr>
        <w:t>1</w:t>
      </w:r>
      <w:r w:rsidRPr="006B6AA3">
        <w:rPr>
          <w:rFonts w:cs="Arial"/>
          <w:shd w:val="clear" w:color="auto" w:fill="FFFFFF"/>
        </w:rPr>
        <w:t>Department of Earth, Atmospheric, and Planetary Sciences, Purdue University, West Lafayette, Indiana, 47907</w:t>
      </w:r>
    </w:p>
    <w:p w14:paraId="7F012C7F" w14:textId="77777777" w:rsidR="00EA2C5D" w:rsidRPr="006B6AA3" w:rsidRDefault="00EA2C5D" w:rsidP="00EA2C5D">
      <w:pPr>
        <w:spacing w:after="203"/>
        <w:contextualSpacing/>
        <w:rPr>
          <w:rFonts w:cs="Arial"/>
          <w:shd w:val="clear" w:color="auto" w:fill="FFFFFF"/>
        </w:rPr>
      </w:pPr>
      <w:r w:rsidRPr="006B6AA3">
        <w:rPr>
          <w:rFonts w:cs="Arial"/>
          <w:shd w:val="clear" w:color="auto" w:fill="FFFFFF"/>
          <w:vertAlign w:val="superscript"/>
        </w:rPr>
        <w:t>2</w:t>
      </w:r>
      <w:r w:rsidRPr="006B6AA3">
        <w:rPr>
          <w:rFonts w:cs="Arial"/>
          <w:shd w:val="clear" w:color="auto" w:fill="FFFFFF"/>
        </w:rPr>
        <w:t>Department of Agronomy, Purdue University, West Lafayette, IN 47907</w:t>
      </w:r>
    </w:p>
    <w:p w14:paraId="6B1507C9" w14:textId="77777777" w:rsidR="00EA2C5D" w:rsidRPr="006B6AA3" w:rsidRDefault="00EA2C5D" w:rsidP="00EA2C5D">
      <w:pPr>
        <w:contextualSpacing/>
        <w:rPr>
          <w:rFonts w:cs="Arial"/>
        </w:rPr>
      </w:pPr>
      <w:r w:rsidRPr="006B6AA3">
        <w:rPr>
          <w:rFonts w:cs="Arial"/>
          <w:vertAlign w:val="superscript"/>
        </w:rPr>
        <w:t>3</w:t>
      </w:r>
      <w:r w:rsidRPr="006B6AA3">
        <w:rPr>
          <w:rFonts w:cs="Arial"/>
        </w:rPr>
        <w:t>Natural Resources Institute Finland (Luke)</w:t>
      </w:r>
    </w:p>
    <w:p w14:paraId="20D88968" w14:textId="77777777" w:rsidR="00EA2C5D" w:rsidRPr="006B6AA3" w:rsidRDefault="00EA2C5D" w:rsidP="00EA2C5D">
      <w:pPr>
        <w:contextualSpacing/>
        <w:rPr>
          <w:rFonts w:cs="Arial"/>
        </w:rPr>
      </w:pPr>
      <w:r w:rsidRPr="006B6AA3">
        <w:rPr>
          <w:rFonts w:cs="Arial"/>
          <w:vertAlign w:val="superscript"/>
        </w:rPr>
        <w:t>4</w:t>
      </w:r>
      <w:r w:rsidRPr="006B6AA3">
        <w:rPr>
          <w:rFonts w:cs="Arial"/>
        </w:rPr>
        <w:t>Department of Forest Sciences, University of Helsinki, PO Box 27, FI-00014 University of Helsinki, Finland</w:t>
      </w:r>
    </w:p>
    <w:p w14:paraId="2E1C171A" w14:textId="77777777" w:rsidR="00EA2C5D" w:rsidRPr="006B6AA3" w:rsidRDefault="00EA2C5D" w:rsidP="00EA2C5D">
      <w:pPr>
        <w:contextualSpacing/>
        <w:rPr>
          <w:rFonts w:cs="Arial"/>
        </w:rPr>
      </w:pPr>
      <w:r w:rsidRPr="006B6AA3">
        <w:rPr>
          <w:rFonts w:cs="Arial"/>
          <w:vertAlign w:val="superscript"/>
        </w:rPr>
        <w:t>5</w:t>
      </w:r>
      <w:r w:rsidRPr="006B6AA3">
        <w:rPr>
          <w:rFonts w:cs="Arial"/>
        </w:rPr>
        <w:t>Department of Environmental and Biological Sciences, University of Eastern Finland, PO Box 111, FI-80101 Joensuu, Finland</w:t>
      </w:r>
    </w:p>
    <w:p w14:paraId="06AEFC64" w14:textId="77777777" w:rsidR="00EA2C5D" w:rsidRDefault="00EA2C5D" w:rsidP="00EA2C5D">
      <w:pPr>
        <w:contextualSpacing/>
        <w:rPr>
          <w:rFonts w:cs="Arial"/>
        </w:rPr>
      </w:pPr>
      <w:r w:rsidRPr="006B6AA3">
        <w:rPr>
          <w:rFonts w:cs="Arial"/>
          <w:vertAlign w:val="superscript"/>
        </w:rPr>
        <w:t>6</w:t>
      </w:r>
      <w:r w:rsidRPr="006B6AA3">
        <w:rPr>
          <w:rFonts w:cs="Arial"/>
        </w:rPr>
        <w:t>Department of Environmental and Biological Sciences, University of Eastern Finland, PO Box 1627, FI-70211 Kuopio, Finland</w:t>
      </w:r>
    </w:p>
    <w:p w14:paraId="021547CC" w14:textId="70AFACF6" w:rsidR="00EA2C5D" w:rsidRDefault="00EA2C5D" w:rsidP="00EA2C5D">
      <w:pPr>
        <w:rPr>
          <w:rStyle w:val="Hyperlink"/>
          <w:rFonts w:cs="Arial"/>
        </w:rPr>
      </w:pPr>
      <w:r w:rsidRPr="00E6133D">
        <w:rPr>
          <w:rFonts w:cs="Arial"/>
        </w:rPr>
        <w:t xml:space="preserve">* </w:t>
      </w:r>
      <w:r>
        <w:rPr>
          <w:rFonts w:cs="Arial"/>
        </w:rPr>
        <w:t xml:space="preserve">Correspondence to: </w:t>
      </w:r>
      <w:hyperlink r:id="rId8" w:history="1">
        <w:r w:rsidRPr="00DB746B">
          <w:rPr>
            <w:rStyle w:val="Hyperlink"/>
            <w:rFonts w:cs="Arial"/>
          </w:rPr>
          <w:t>qzhuang@purdue.edu</w:t>
        </w:r>
      </w:hyperlink>
    </w:p>
    <w:p w14:paraId="7C503DF9" w14:textId="16A2A153" w:rsidR="00B4734E" w:rsidRPr="00EA2C5D" w:rsidRDefault="00EA2C5D" w:rsidP="00EA2C5D">
      <w:pPr>
        <w:ind w:left="-630"/>
        <w:rPr>
          <w:rFonts w:cs="Arial"/>
          <w:color w:val="0000FF"/>
          <w:u w:val="single"/>
        </w:rPr>
      </w:pPr>
      <w:r>
        <w:rPr>
          <w:rStyle w:val="Hyperlink"/>
          <w:rFonts w:cs="Arial"/>
        </w:rPr>
        <w:br w:type="page"/>
      </w:r>
      <w:r w:rsidR="00EE4EDC" w:rsidRPr="00EE4EDC">
        <w:rPr>
          <w:noProof/>
          <w:color w:val="000000"/>
          <w:lang w:eastAsia="zh-CN"/>
        </w:rPr>
        <w:lastRenderedPageBreak/>
        <w:drawing>
          <wp:inline distT="0" distB="0" distL="0" distR="0" wp14:anchorId="05498B0E" wp14:editId="2798DA33">
            <wp:extent cx="6074172" cy="486918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84890" cy="4877772"/>
                    </a:xfrm>
                    <a:prstGeom prst="rect">
                      <a:avLst/>
                    </a:prstGeom>
                  </pic:spPr>
                </pic:pic>
              </a:graphicData>
            </a:graphic>
          </wp:inline>
        </w:drawing>
      </w:r>
    </w:p>
    <w:p w14:paraId="2D666428" w14:textId="670C8285" w:rsidR="00B4734E" w:rsidRPr="00EA2C5D" w:rsidRDefault="00EA2C5D" w:rsidP="00FB3374">
      <w:pPr>
        <w:pStyle w:val="SMcaption"/>
        <w:rPr>
          <w:rFonts w:ascii="Arial" w:hAnsi="Arial" w:cs="Arial"/>
          <w:sz w:val="20"/>
        </w:rPr>
      </w:pPr>
      <w:r w:rsidRPr="00EA2C5D">
        <w:rPr>
          <w:rFonts w:ascii="Arial" w:hAnsi="Arial" w:cs="Arial"/>
          <w:b/>
          <w:sz w:val="20"/>
        </w:rPr>
        <w:t xml:space="preserve">Supplementary Figure </w:t>
      </w:r>
      <w:r>
        <w:rPr>
          <w:rFonts w:ascii="Arial" w:hAnsi="Arial" w:cs="Arial"/>
          <w:b/>
          <w:sz w:val="20"/>
        </w:rPr>
        <w:t>1</w:t>
      </w:r>
      <w:r w:rsidRPr="00EA2C5D">
        <w:rPr>
          <w:rFonts w:ascii="Arial" w:hAnsi="Arial" w:cs="Arial"/>
          <w:b/>
          <w:sz w:val="20"/>
        </w:rPr>
        <w:t>.</w:t>
      </w:r>
      <w:r w:rsidRPr="00EA2C5D">
        <w:rPr>
          <w:rFonts w:ascii="Arial" w:hAnsi="Arial" w:cs="Arial"/>
          <w:sz w:val="20"/>
        </w:rPr>
        <w:t xml:space="preserve"> </w:t>
      </w:r>
      <w:r w:rsidR="00B4734E" w:rsidRPr="00EA2C5D">
        <w:rPr>
          <w:rFonts w:ascii="Arial" w:hAnsi="Arial" w:cs="Arial"/>
          <w:sz w:val="20"/>
        </w:rPr>
        <w:t>Temporal variations (1986-2016) of ecosystem C flux and stock in the</w:t>
      </w:r>
      <w:r w:rsidR="003712EB" w:rsidRPr="00EA2C5D">
        <w:rPr>
          <w:rFonts w:ascii="Arial" w:hAnsi="Arial" w:cs="Arial"/>
          <w:sz w:val="20"/>
        </w:rPr>
        <w:t xml:space="preserve"> NA boreal forest (flux in </w:t>
      </w:r>
      <w:proofErr w:type="spellStart"/>
      <w:r w:rsidR="003712EB" w:rsidRPr="00EA2C5D">
        <w:rPr>
          <w:rFonts w:ascii="Arial" w:hAnsi="Arial" w:cs="Arial"/>
          <w:sz w:val="20"/>
        </w:rPr>
        <w:t>Pg</w:t>
      </w:r>
      <w:proofErr w:type="spellEnd"/>
      <w:r w:rsidR="003712EB" w:rsidRPr="00EA2C5D">
        <w:rPr>
          <w:rFonts w:ascii="Arial" w:hAnsi="Arial" w:cs="Arial"/>
          <w:sz w:val="20"/>
        </w:rPr>
        <w:t xml:space="preserve"> C </w:t>
      </w:r>
      <w:r w:rsidR="00B4734E" w:rsidRPr="00EA2C5D">
        <w:rPr>
          <w:rFonts w:ascii="Arial" w:hAnsi="Arial" w:cs="Arial"/>
          <w:sz w:val="20"/>
        </w:rPr>
        <w:t>yr</w:t>
      </w:r>
      <w:r w:rsidR="003712EB" w:rsidRPr="00EA2C5D">
        <w:rPr>
          <w:rFonts w:ascii="Arial" w:hAnsi="Arial" w:cs="Arial"/>
          <w:sz w:val="20"/>
          <w:vertAlign w:val="superscript"/>
        </w:rPr>
        <w:t>-1</w:t>
      </w:r>
      <w:r w:rsidR="00B4734E" w:rsidRPr="00EA2C5D">
        <w:rPr>
          <w:rFonts w:ascii="Arial" w:hAnsi="Arial" w:cs="Arial"/>
          <w:sz w:val="20"/>
        </w:rPr>
        <w:t xml:space="preserve">, stock in </w:t>
      </w:r>
      <w:proofErr w:type="spellStart"/>
      <w:r w:rsidR="00B4734E" w:rsidRPr="00EA2C5D">
        <w:rPr>
          <w:rFonts w:ascii="Arial" w:hAnsi="Arial" w:cs="Arial"/>
          <w:sz w:val="20"/>
        </w:rPr>
        <w:t>Pg</w:t>
      </w:r>
      <w:proofErr w:type="spellEnd"/>
      <w:r w:rsidR="00B4734E" w:rsidRPr="00EA2C5D">
        <w:rPr>
          <w:rFonts w:ascii="Arial" w:hAnsi="Arial" w:cs="Arial"/>
          <w:sz w:val="20"/>
        </w:rPr>
        <w:t xml:space="preserve"> C). The variation of (a) annual C emitted by biomass combustion; (b) annual regional average vegetation C storage under fire and no-fire scenario; (c) annual regional average soil organic C storage under fire and no-fire scenario; (d) annual regional total NPP under fire and no-fire scenario; (e) annual regional total R</w:t>
      </w:r>
      <w:r w:rsidR="00B4734E" w:rsidRPr="00EA2C5D">
        <w:rPr>
          <w:rFonts w:ascii="Arial" w:hAnsi="Arial" w:cs="Arial"/>
          <w:sz w:val="20"/>
          <w:vertAlign w:val="subscript"/>
        </w:rPr>
        <w:t>H</w:t>
      </w:r>
      <w:r w:rsidR="00B4734E" w:rsidRPr="00EA2C5D">
        <w:rPr>
          <w:rFonts w:ascii="Arial" w:hAnsi="Arial" w:cs="Arial"/>
          <w:sz w:val="20"/>
        </w:rPr>
        <w:t xml:space="preserve"> under fire and no-fire scenario; (f) annual regional total NEP under fire and no-fire scenario; (g) annual regional total NPP difference between fire and no-fire scenario and its fitting line; (h) annual regional total R</w:t>
      </w:r>
      <w:r w:rsidR="00B4734E" w:rsidRPr="00EA2C5D">
        <w:rPr>
          <w:rFonts w:ascii="Arial" w:hAnsi="Arial" w:cs="Arial"/>
          <w:sz w:val="20"/>
          <w:vertAlign w:val="subscript"/>
        </w:rPr>
        <w:t>H</w:t>
      </w:r>
      <w:r w:rsidR="00B4734E" w:rsidRPr="00EA2C5D">
        <w:rPr>
          <w:rFonts w:ascii="Arial" w:hAnsi="Arial" w:cs="Arial"/>
          <w:sz w:val="20"/>
        </w:rPr>
        <w:t xml:space="preserve"> difference between fire and no-fire scenario and its fitting line; (</w:t>
      </w:r>
      <w:proofErr w:type="spellStart"/>
      <w:r w:rsidR="00B4734E" w:rsidRPr="00EA2C5D">
        <w:rPr>
          <w:rFonts w:ascii="Arial" w:hAnsi="Arial" w:cs="Arial"/>
          <w:sz w:val="20"/>
        </w:rPr>
        <w:t>i</w:t>
      </w:r>
      <w:proofErr w:type="spellEnd"/>
      <w:r w:rsidR="00B4734E" w:rsidRPr="00EA2C5D">
        <w:rPr>
          <w:rFonts w:ascii="Arial" w:hAnsi="Arial" w:cs="Arial"/>
          <w:sz w:val="20"/>
        </w:rPr>
        <w:t>) annual regional total NEP difference between fire and no-fire scenario and its fitting line.</w:t>
      </w:r>
    </w:p>
    <w:p w14:paraId="4FAE62ED" w14:textId="77777777" w:rsidR="00B4734E" w:rsidRDefault="00B4734E">
      <w:pPr>
        <w:rPr>
          <w:rFonts w:ascii="Arial" w:hAnsi="Arial" w:cs="Arial"/>
          <w:color w:val="000000"/>
          <w:sz w:val="20"/>
        </w:rPr>
      </w:pPr>
      <w:r>
        <w:rPr>
          <w:rFonts w:ascii="Arial" w:hAnsi="Arial" w:cs="Arial"/>
          <w:color w:val="000000"/>
          <w:sz w:val="20"/>
        </w:rPr>
        <w:br w:type="page"/>
      </w:r>
    </w:p>
    <w:p w14:paraId="5DA4DC6B" w14:textId="455F4912" w:rsidR="00B4734E" w:rsidRDefault="00B77717" w:rsidP="00A4038F">
      <w:pPr>
        <w:spacing w:line="480" w:lineRule="auto"/>
        <w:ind w:left="-270"/>
        <w:contextualSpacing/>
        <w:rPr>
          <w:color w:val="000000"/>
        </w:rPr>
      </w:pPr>
      <w:r w:rsidRPr="00B77717">
        <w:rPr>
          <w:noProof/>
          <w:color w:val="000000"/>
          <w:lang w:eastAsia="zh-CN"/>
        </w:rPr>
        <w:lastRenderedPageBreak/>
        <w:drawing>
          <wp:inline distT="0" distB="0" distL="0" distR="0" wp14:anchorId="738321C9" wp14:editId="6089A34E">
            <wp:extent cx="5868202" cy="6256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5074" cy="6263346"/>
                    </a:xfrm>
                    <a:prstGeom prst="rect">
                      <a:avLst/>
                    </a:prstGeom>
                  </pic:spPr>
                </pic:pic>
              </a:graphicData>
            </a:graphic>
          </wp:inline>
        </w:drawing>
      </w:r>
    </w:p>
    <w:p w14:paraId="18A8D0A9" w14:textId="11AACFAA" w:rsidR="00B4734E" w:rsidRPr="00EA2C5D" w:rsidRDefault="00EA2C5D" w:rsidP="00FB3374">
      <w:pPr>
        <w:pStyle w:val="SMcaption"/>
        <w:rPr>
          <w:rFonts w:ascii="Arial" w:hAnsi="Arial" w:cs="Arial"/>
          <w:sz w:val="20"/>
        </w:rPr>
      </w:pPr>
      <w:r w:rsidRPr="00EA2C5D">
        <w:rPr>
          <w:rFonts w:ascii="Arial" w:hAnsi="Arial" w:cs="Arial"/>
          <w:b/>
          <w:sz w:val="20"/>
        </w:rPr>
        <w:t xml:space="preserve">Supplementary Figure </w:t>
      </w:r>
      <w:r>
        <w:rPr>
          <w:rFonts w:ascii="Arial" w:hAnsi="Arial" w:cs="Arial"/>
          <w:b/>
          <w:sz w:val="20"/>
        </w:rPr>
        <w:t>2</w:t>
      </w:r>
      <w:r w:rsidRPr="00EA2C5D">
        <w:rPr>
          <w:rFonts w:ascii="Arial" w:hAnsi="Arial" w:cs="Arial"/>
          <w:b/>
          <w:sz w:val="20"/>
        </w:rPr>
        <w:t>.</w:t>
      </w:r>
      <w:r w:rsidRPr="00EA2C5D">
        <w:rPr>
          <w:rFonts w:ascii="Arial" w:hAnsi="Arial" w:cs="Arial"/>
          <w:sz w:val="20"/>
        </w:rPr>
        <w:t xml:space="preserve"> </w:t>
      </w:r>
      <w:r w:rsidR="007743AE" w:rsidRPr="00EA2C5D">
        <w:rPr>
          <w:rFonts w:ascii="Arial" w:hAnsi="Arial" w:cs="Arial"/>
          <w:sz w:val="20"/>
        </w:rPr>
        <w:t>E</w:t>
      </w:r>
      <w:r w:rsidR="00B4734E" w:rsidRPr="00EA2C5D">
        <w:rPr>
          <w:rFonts w:ascii="Arial" w:hAnsi="Arial" w:cs="Arial"/>
          <w:sz w:val="20"/>
        </w:rPr>
        <w:t>mission pattern during- and post-fires: (a) The amount of C combustion from vegetation and soils. The values are based on the average and standard deviation of all fire events. (b) In the total soil emission since the year of fire, the percentage contributed by soil organic combustion. (c) In the total ecosystem emission since the year of fire, the percentage contributed by combustion (vegetation plus soil). (d) The ratio between the total emission related to fire (i.e., the emission difference between the fire and the no-fire scenario) and the during-fire emission. Figure (b), (c) and (d) are generated from simulations that burned only once.</w:t>
      </w:r>
    </w:p>
    <w:p w14:paraId="155304D4" w14:textId="35AAC4F3" w:rsidR="00B4734E" w:rsidRDefault="00B4734E">
      <w:pPr>
        <w:rPr>
          <w:rFonts w:ascii="Arial" w:hAnsi="Arial" w:cs="Arial"/>
          <w:color w:val="000000"/>
          <w:sz w:val="20"/>
        </w:rPr>
      </w:pPr>
      <w:r>
        <w:rPr>
          <w:rFonts w:ascii="Arial" w:hAnsi="Arial" w:cs="Arial"/>
          <w:color w:val="000000"/>
          <w:sz w:val="20"/>
        </w:rPr>
        <w:br w:type="page"/>
      </w:r>
    </w:p>
    <w:p w14:paraId="08CC8FDA" w14:textId="77777777" w:rsidR="00EA2C5D" w:rsidRPr="00B35517" w:rsidRDefault="00EA2C5D" w:rsidP="00EA2C5D">
      <w:pPr>
        <w:spacing w:line="480" w:lineRule="auto"/>
        <w:ind w:left="-360"/>
        <w:contextualSpacing/>
        <w:rPr>
          <w:szCs w:val="24"/>
        </w:rPr>
      </w:pPr>
      <w:r>
        <w:rPr>
          <w:noProof/>
          <w:szCs w:val="24"/>
          <w:lang w:eastAsia="zh-CN"/>
        </w:rPr>
        <w:lastRenderedPageBreak/>
        <w:drawing>
          <wp:inline distT="0" distB="0" distL="0" distR="0" wp14:anchorId="08B3E6A7" wp14:editId="78A437F5">
            <wp:extent cx="5951220" cy="2575560"/>
            <wp:effectExtent l="0" t="0" r="0" b="0"/>
            <wp:docPr id="3" name="Picture 3" descr="twoMethod_CBI_dN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Method_CBI_dNBR"/>
                    <pic:cNvPicPr>
                      <a:picLocks noChangeAspect="1" noChangeArrowheads="1"/>
                    </pic:cNvPicPr>
                  </pic:nvPicPr>
                  <pic:blipFill>
                    <a:blip r:embed="rId11" cstate="print">
                      <a:extLst>
                        <a:ext uri="{28A0092B-C50C-407E-A947-70E740481C1C}">
                          <a14:useLocalDpi xmlns:a14="http://schemas.microsoft.com/office/drawing/2010/main" val="0"/>
                        </a:ext>
                      </a:extLst>
                    </a:blip>
                    <a:srcRect l="5449" r="7692"/>
                    <a:stretch>
                      <a:fillRect/>
                    </a:stretch>
                  </pic:blipFill>
                  <pic:spPr bwMode="auto">
                    <a:xfrm>
                      <a:off x="0" y="0"/>
                      <a:ext cx="5951220" cy="2575560"/>
                    </a:xfrm>
                    <a:prstGeom prst="rect">
                      <a:avLst/>
                    </a:prstGeom>
                    <a:noFill/>
                    <a:ln>
                      <a:noFill/>
                    </a:ln>
                  </pic:spPr>
                </pic:pic>
              </a:graphicData>
            </a:graphic>
          </wp:inline>
        </w:drawing>
      </w:r>
    </w:p>
    <w:p w14:paraId="2AB7416A" w14:textId="667F3EF4" w:rsidR="00EA2C5D" w:rsidRPr="00EA2C5D" w:rsidRDefault="00EA2C5D" w:rsidP="00EA2C5D">
      <w:pPr>
        <w:pStyle w:val="SMcaption"/>
        <w:rPr>
          <w:rFonts w:ascii="Arial" w:hAnsi="Arial" w:cs="Arial"/>
          <w:sz w:val="20"/>
        </w:rPr>
      </w:pPr>
      <w:r w:rsidRPr="00EA2C5D">
        <w:rPr>
          <w:rFonts w:ascii="Arial" w:hAnsi="Arial" w:cs="Arial"/>
          <w:b/>
          <w:sz w:val="20"/>
        </w:rPr>
        <w:t xml:space="preserve">Supplementary Figure </w:t>
      </w:r>
      <w:r>
        <w:rPr>
          <w:rFonts w:ascii="Arial" w:hAnsi="Arial" w:cs="Arial"/>
          <w:b/>
          <w:sz w:val="20"/>
        </w:rPr>
        <w:t>3</w:t>
      </w:r>
      <w:r w:rsidRPr="00EA2C5D">
        <w:rPr>
          <w:rFonts w:ascii="Arial" w:hAnsi="Arial" w:cs="Arial"/>
          <w:b/>
          <w:sz w:val="20"/>
        </w:rPr>
        <w:t>.</w:t>
      </w:r>
      <w:r w:rsidRPr="00EA2C5D">
        <w:rPr>
          <w:rFonts w:ascii="Arial" w:hAnsi="Arial" w:cs="Arial"/>
          <w:sz w:val="20"/>
        </w:rPr>
        <w:t xml:space="preserve"> Comparison between two methods of extracting </w:t>
      </w:r>
      <w:proofErr w:type="spellStart"/>
      <w:r w:rsidRPr="00EA2C5D">
        <w:rPr>
          <w:rFonts w:ascii="Arial" w:hAnsi="Arial" w:cs="Arial"/>
          <w:sz w:val="20"/>
        </w:rPr>
        <w:t>dNBR</w:t>
      </w:r>
      <w:proofErr w:type="spellEnd"/>
      <w:r w:rsidRPr="00EA2C5D">
        <w:rPr>
          <w:rFonts w:ascii="Arial" w:hAnsi="Arial" w:cs="Arial"/>
          <w:sz w:val="20"/>
        </w:rPr>
        <w:t xml:space="preserve"> and correlation between </w:t>
      </w:r>
      <w:proofErr w:type="spellStart"/>
      <w:r w:rsidRPr="00EA2C5D">
        <w:rPr>
          <w:rFonts w:ascii="Arial" w:hAnsi="Arial" w:cs="Arial"/>
          <w:sz w:val="20"/>
        </w:rPr>
        <w:t>dNBR</w:t>
      </w:r>
      <w:proofErr w:type="spellEnd"/>
      <w:r w:rsidRPr="00EA2C5D">
        <w:rPr>
          <w:rFonts w:ascii="Arial" w:hAnsi="Arial" w:cs="Arial"/>
          <w:sz w:val="20"/>
        </w:rPr>
        <w:t xml:space="preserve"> and CBI. (a) The comparison between two different methods to calculate the background </w:t>
      </w:r>
      <w:proofErr w:type="spellStart"/>
      <w:r w:rsidRPr="00EA2C5D">
        <w:rPr>
          <w:rFonts w:ascii="Arial" w:hAnsi="Arial" w:cs="Arial"/>
          <w:sz w:val="20"/>
        </w:rPr>
        <w:t>dNBR</w:t>
      </w:r>
      <w:proofErr w:type="spellEnd"/>
      <w:r w:rsidRPr="00EA2C5D">
        <w:rPr>
          <w:rFonts w:ascii="Arial" w:hAnsi="Arial" w:cs="Arial"/>
          <w:sz w:val="20"/>
        </w:rPr>
        <w:t xml:space="preserve">. For the x axis, ‘buffer zone’ refers to the area between 1500 and 1800m out of the fire boundary. The black line represents the 1:1 line of x axis. The samples are all fire events in Alaska boreal forest during 2014-2018 (n = 634). (b) The linear correlation between </w:t>
      </w:r>
      <w:proofErr w:type="spellStart"/>
      <w:r w:rsidRPr="00EA2C5D">
        <w:rPr>
          <w:rFonts w:ascii="Arial" w:hAnsi="Arial" w:cs="Arial"/>
          <w:sz w:val="20"/>
        </w:rPr>
        <w:t>dNBR</w:t>
      </w:r>
      <w:proofErr w:type="spellEnd"/>
      <w:r w:rsidRPr="00EA2C5D">
        <w:rPr>
          <w:rFonts w:ascii="Arial" w:hAnsi="Arial" w:cs="Arial"/>
          <w:sz w:val="20"/>
        </w:rPr>
        <w:t xml:space="preserve"> and CBI (n = 234).</w:t>
      </w:r>
    </w:p>
    <w:p w14:paraId="73527019" w14:textId="14936C3D" w:rsidR="00EA2C5D" w:rsidRPr="00EA2C5D" w:rsidRDefault="00EA2C5D">
      <w:pPr>
        <w:rPr>
          <w:szCs w:val="24"/>
        </w:rPr>
      </w:pPr>
      <w:r>
        <w:rPr>
          <w:szCs w:val="24"/>
        </w:rPr>
        <w:br w:type="page"/>
      </w:r>
    </w:p>
    <w:p w14:paraId="47222E75" w14:textId="59031DA4" w:rsidR="00EA2C5D" w:rsidRPr="00EA2C5D" w:rsidRDefault="00EA2C5D" w:rsidP="00EA2C5D">
      <w:pPr>
        <w:pStyle w:val="SMHeading"/>
        <w:rPr>
          <w:rFonts w:ascii="Arial" w:hAnsi="Arial" w:cs="Arial"/>
          <w:b w:val="0"/>
          <w:sz w:val="20"/>
          <w:szCs w:val="20"/>
        </w:rPr>
      </w:pPr>
      <w:r w:rsidRPr="00EA2C5D">
        <w:rPr>
          <w:rFonts w:ascii="Arial" w:hAnsi="Arial" w:cs="Arial"/>
          <w:sz w:val="20"/>
          <w:szCs w:val="20"/>
        </w:rPr>
        <w:lastRenderedPageBreak/>
        <w:t>Supplementary T</w:t>
      </w:r>
      <w:r>
        <w:rPr>
          <w:rFonts w:ascii="Arial" w:hAnsi="Arial" w:cs="Arial"/>
          <w:sz w:val="20"/>
          <w:szCs w:val="20"/>
        </w:rPr>
        <w:t>able 1</w:t>
      </w:r>
      <w:r w:rsidRPr="00EA2C5D">
        <w:rPr>
          <w:rFonts w:ascii="Arial" w:hAnsi="Arial" w:cs="Arial"/>
          <w:sz w:val="20"/>
          <w:szCs w:val="20"/>
        </w:rPr>
        <w:t>.</w:t>
      </w:r>
      <w:r w:rsidRPr="00840BB2">
        <w:t xml:space="preserve"> </w:t>
      </w:r>
      <w:r w:rsidRPr="00EA2C5D">
        <w:rPr>
          <w:rFonts w:ascii="Arial" w:hAnsi="Arial" w:cs="Arial"/>
          <w:b w:val="0"/>
          <w:sz w:val="20"/>
          <w:szCs w:val="20"/>
        </w:rPr>
        <w:t>Comparison on combustion emission per unit area</w:t>
      </w:r>
    </w:p>
    <w:tbl>
      <w:tblPr>
        <w:tblStyle w:val="TableGrid"/>
        <w:tblW w:w="10350" w:type="dxa"/>
        <w:tblInd w:w="-8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
        <w:gridCol w:w="1365"/>
        <w:gridCol w:w="5400"/>
        <w:gridCol w:w="2610"/>
      </w:tblGrid>
      <w:tr w:rsidR="00DF694E" w:rsidRPr="00DF694E" w14:paraId="0EE153DF" w14:textId="77777777" w:rsidTr="00DF694E">
        <w:tc>
          <w:tcPr>
            <w:tcW w:w="975" w:type="dxa"/>
            <w:tcBorders>
              <w:top w:val="single" w:sz="4" w:space="0" w:color="auto"/>
              <w:left w:val="nil"/>
              <w:bottom w:val="single" w:sz="4" w:space="0" w:color="auto"/>
              <w:right w:val="nil"/>
            </w:tcBorders>
            <w:vAlign w:val="center"/>
            <w:hideMark/>
          </w:tcPr>
          <w:p w14:paraId="35C180B9" w14:textId="77777777" w:rsidR="00DF694E" w:rsidRPr="00DF694E" w:rsidRDefault="00DF694E">
            <w:pPr>
              <w:rPr>
                <w:rFonts w:ascii="Arial" w:hAnsi="Arial" w:cs="Arial"/>
                <w:sz w:val="20"/>
                <w:szCs w:val="20"/>
              </w:rPr>
            </w:pPr>
            <w:r w:rsidRPr="00DF694E">
              <w:rPr>
                <w:rFonts w:ascii="Arial" w:hAnsi="Arial" w:cs="Arial"/>
                <w:sz w:val="20"/>
                <w:szCs w:val="20"/>
              </w:rPr>
              <w:t xml:space="preserve">Region </w:t>
            </w:r>
          </w:p>
        </w:tc>
        <w:tc>
          <w:tcPr>
            <w:tcW w:w="1365" w:type="dxa"/>
            <w:tcBorders>
              <w:top w:val="single" w:sz="4" w:space="0" w:color="auto"/>
              <w:left w:val="nil"/>
              <w:bottom w:val="single" w:sz="4" w:space="0" w:color="auto"/>
              <w:right w:val="nil"/>
            </w:tcBorders>
            <w:vAlign w:val="center"/>
            <w:hideMark/>
          </w:tcPr>
          <w:p w14:paraId="5B73F8D2" w14:textId="77777777" w:rsidR="00DF694E" w:rsidRPr="00DF694E" w:rsidRDefault="00DF694E">
            <w:pPr>
              <w:rPr>
                <w:rFonts w:ascii="Arial" w:hAnsi="Arial" w:cs="Arial"/>
                <w:sz w:val="20"/>
                <w:szCs w:val="20"/>
              </w:rPr>
            </w:pPr>
            <w:r w:rsidRPr="00DF694E">
              <w:rPr>
                <w:rFonts w:ascii="Arial" w:hAnsi="Arial" w:cs="Arial"/>
                <w:sz w:val="20"/>
                <w:szCs w:val="20"/>
              </w:rPr>
              <w:t>Combustion (kg C m</w:t>
            </w:r>
            <w:r w:rsidRPr="00DF694E">
              <w:rPr>
                <w:rFonts w:ascii="Arial" w:hAnsi="Arial" w:cs="Arial"/>
                <w:sz w:val="20"/>
                <w:szCs w:val="20"/>
                <w:vertAlign w:val="superscript"/>
              </w:rPr>
              <w:t>-2</w:t>
            </w:r>
            <w:r w:rsidRPr="00DF694E">
              <w:rPr>
                <w:rFonts w:ascii="Arial" w:hAnsi="Arial" w:cs="Arial"/>
                <w:sz w:val="20"/>
                <w:szCs w:val="20"/>
              </w:rPr>
              <w:t>)</w:t>
            </w:r>
          </w:p>
        </w:tc>
        <w:tc>
          <w:tcPr>
            <w:tcW w:w="5400" w:type="dxa"/>
            <w:tcBorders>
              <w:top w:val="single" w:sz="4" w:space="0" w:color="auto"/>
              <w:left w:val="nil"/>
              <w:bottom w:val="single" w:sz="4" w:space="0" w:color="auto"/>
              <w:right w:val="nil"/>
            </w:tcBorders>
            <w:vAlign w:val="center"/>
            <w:hideMark/>
          </w:tcPr>
          <w:p w14:paraId="0B1D724C" w14:textId="77777777" w:rsidR="00DF694E" w:rsidRPr="00DF694E" w:rsidRDefault="00DF694E">
            <w:pPr>
              <w:rPr>
                <w:rFonts w:ascii="Arial" w:hAnsi="Arial" w:cs="Arial"/>
                <w:sz w:val="20"/>
                <w:szCs w:val="20"/>
              </w:rPr>
            </w:pPr>
            <w:r w:rsidRPr="00DF694E">
              <w:rPr>
                <w:rFonts w:ascii="Arial" w:hAnsi="Arial" w:cs="Arial"/>
                <w:sz w:val="20"/>
                <w:szCs w:val="20"/>
              </w:rPr>
              <w:t xml:space="preserve">Method </w:t>
            </w:r>
          </w:p>
        </w:tc>
        <w:tc>
          <w:tcPr>
            <w:tcW w:w="2610" w:type="dxa"/>
            <w:tcBorders>
              <w:top w:val="single" w:sz="4" w:space="0" w:color="auto"/>
              <w:left w:val="nil"/>
              <w:bottom w:val="single" w:sz="4" w:space="0" w:color="auto"/>
              <w:right w:val="nil"/>
            </w:tcBorders>
            <w:vAlign w:val="center"/>
            <w:hideMark/>
          </w:tcPr>
          <w:p w14:paraId="03B69791" w14:textId="77777777" w:rsidR="00DF694E" w:rsidRPr="00DF694E" w:rsidRDefault="00DF694E">
            <w:pPr>
              <w:rPr>
                <w:rFonts w:ascii="Arial" w:hAnsi="Arial" w:cs="Arial"/>
                <w:sz w:val="20"/>
                <w:szCs w:val="20"/>
              </w:rPr>
            </w:pPr>
            <w:r w:rsidRPr="00DF694E">
              <w:rPr>
                <w:rFonts w:ascii="Arial" w:hAnsi="Arial" w:cs="Arial"/>
                <w:sz w:val="20"/>
                <w:szCs w:val="20"/>
              </w:rPr>
              <w:t>Source</w:t>
            </w:r>
          </w:p>
        </w:tc>
      </w:tr>
      <w:tr w:rsidR="00DF694E" w:rsidRPr="00DF694E" w14:paraId="2646B1BC" w14:textId="77777777" w:rsidTr="00DF694E">
        <w:tc>
          <w:tcPr>
            <w:tcW w:w="975" w:type="dxa"/>
            <w:vMerge w:val="restart"/>
            <w:tcBorders>
              <w:top w:val="single" w:sz="4" w:space="0" w:color="auto"/>
              <w:left w:val="nil"/>
              <w:bottom w:val="nil"/>
              <w:right w:val="nil"/>
            </w:tcBorders>
            <w:hideMark/>
          </w:tcPr>
          <w:p w14:paraId="755B3C58" w14:textId="77777777" w:rsidR="00DF694E" w:rsidRPr="00DF694E" w:rsidRDefault="00DF694E">
            <w:pPr>
              <w:rPr>
                <w:rFonts w:ascii="Arial" w:hAnsi="Arial" w:cs="Arial"/>
                <w:sz w:val="20"/>
                <w:szCs w:val="20"/>
              </w:rPr>
            </w:pPr>
            <w:r w:rsidRPr="00DF694E">
              <w:rPr>
                <w:rFonts w:ascii="Arial" w:hAnsi="Arial" w:cs="Arial"/>
                <w:sz w:val="20"/>
                <w:szCs w:val="20"/>
              </w:rPr>
              <w:t>Alaska</w:t>
            </w:r>
          </w:p>
        </w:tc>
        <w:tc>
          <w:tcPr>
            <w:tcW w:w="1365" w:type="dxa"/>
            <w:tcBorders>
              <w:top w:val="single" w:sz="4" w:space="0" w:color="auto"/>
              <w:left w:val="nil"/>
              <w:bottom w:val="nil"/>
              <w:right w:val="nil"/>
            </w:tcBorders>
            <w:hideMark/>
          </w:tcPr>
          <w:p w14:paraId="4826EDDC" w14:textId="77777777" w:rsidR="00DF694E" w:rsidRPr="00DF694E" w:rsidRDefault="00DF694E">
            <w:pPr>
              <w:rPr>
                <w:rFonts w:ascii="Arial" w:hAnsi="Arial" w:cs="Arial"/>
                <w:b/>
                <w:sz w:val="20"/>
                <w:szCs w:val="20"/>
              </w:rPr>
            </w:pPr>
            <w:r w:rsidRPr="00DF694E">
              <w:rPr>
                <w:rFonts w:ascii="Arial" w:hAnsi="Arial" w:cs="Arial"/>
                <w:b/>
                <w:sz w:val="20"/>
                <w:szCs w:val="20"/>
              </w:rPr>
              <w:t>1.4</w:t>
            </w:r>
          </w:p>
        </w:tc>
        <w:tc>
          <w:tcPr>
            <w:tcW w:w="5400" w:type="dxa"/>
            <w:tcBorders>
              <w:top w:val="single" w:sz="4" w:space="0" w:color="auto"/>
              <w:left w:val="nil"/>
              <w:bottom w:val="nil"/>
              <w:right w:val="nil"/>
            </w:tcBorders>
            <w:hideMark/>
          </w:tcPr>
          <w:p w14:paraId="187FEE5C" w14:textId="77777777" w:rsidR="00DF694E" w:rsidRPr="00DF694E" w:rsidRDefault="00DF694E">
            <w:pPr>
              <w:rPr>
                <w:rFonts w:ascii="Arial" w:hAnsi="Arial" w:cs="Arial"/>
                <w:b/>
                <w:sz w:val="20"/>
                <w:szCs w:val="20"/>
              </w:rPr>
            </w:pPr>
            <w:r w:rsidRPr="00DF694E">
              <w:rPr>
                <w:rFonts w:ascii="Arial" w:hAnsi="Arial" w:cs="Arial"/>
                <w:b/>
                <w:sz w:val="20"/>
                <w:szCs w:val="20"/>
              </w:rPr>
              <w:t xml:space="preserve">Estimated from </w:t>
            </w:r>
            <w:proofErr w:type="spellStart"/>
            <w:r w:rsidRPr="00DF694E">
              <w:rPr>
                <w:rFonts w:ascii="Arial" w:hAnsi="Arial" w:cs="Arial"/>
                <w:b/>
                <w:sz w:val="20"/>
                <w:szCs w:val="20"/>
              </w:rPr>
              <w:t>dNBR</w:t>
            </w:r>
            <w:proofErr w:type="spellEnd"/>
            <w:r w:rsidRPr="00DF694E">
              <w:rPr>
                <w:rFonts w:ascii="Arial" w:hAnsi="Arial" w:cs="Arial"/>
                <w:b/>
                <w:sz w:val="20"/>
                <w:szCs w:val="20"/>
              </w:rPr>
              <w:t xml:space="preserve"> and C stock</w:t>
            </w:r>
          </w:p>
        </w:tc>
        <w:tc>
          <w:tcPr>
            <w:tcW w:w="2610" w:type="dxa"/>
            <w:tcBorders>
              <w:top w:val="single" w:sz="4" w:space="0" w:color="auto"/>
              <w:left w:val="nil"/>
              <w:bottom w:val="nil"/>
              <w:right w:val="nil"/>
            </w:tcBorders>
            <w:hideMark/>
          </w:tcPr>
          <w:p w14:paraId="7EE8064D" w14:textId="77777777" w:rsidR="00DF694E" w:rsidRPr="00DF694E" w:rsidRDefault="00DF694E">
            <w:pPr>
              <w:rPr>
                <w:rFonts w:ascii="Arial" w:hAnsi="Arial" w:cs="Arial"/>
                <w:b/>
                <w:sz w:val="20"/>
                <w:szCs w:val="20"/>
              </w:rPr>
            </w:pPr>
            <w:r w:rsidRPr="00DF694E">
              <w:rPr>
                <w:rFonts w:ascii="Arial" w:hAnsi="Arial" w:cs="Arial"/>
                <w:b/>
                <w:sz w:val="20"/>
                <w:szCs w:val="20"/>
              </w:rPr>
              <w:t>This study</w:t>
            </w:r>
          </w:p>
        </w:tc>
      </w:tr>
      <w:tr w:rsidR="00DF694E" w:rsidRPr="00DF694E" w14:paraId="0DA9AC4C" w14:textId="77777777" w:rsidTr="00DF694E">
        <w:tc>
          <w:tcPr>
            <w:tcW w:w="0" w:type="auto"/>
            <w:vMerge/>
            <w:tcBorders>
              <w:top w:val="single" w:sz="4" w:space="0" w:color="auto"/>
              <w:left w:val="nil"/>
              <w:bottom w:val="nil"/>
              <w:right w:val="nil"/>
            </w:tcBorders>
            <w:vAlign w:val="center"/>
            <w:hideMark/>
          </w:tcPr>
          <w:p w14:paraId="011D3338"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5842AE7A" w14:textId="77777777" w:rsidR="00DF694E" w:rsidRPr="00DF694E" w:rsidRDefault="00DF694E">
            <w:pPr>
              <w:rPr>
                <w:rFonts w:ascii="Arial" w:hAnsi="Arial" w:cs="Arial"/>
                <w:sz w:val="20"/>
                <w:szCs w:val="20"/>
              </w:rPr>
            </w:pPr>
            <w:r w:rsidRPr="00DF694E">
              <w:rPr>
                <w:rFonts w:ascii="Arial" w:hAnsi="Arial" w:cs="Arial"/>
                <w:sz w:val="20"/>
                <w:szCs w:val="20"/>
              </w:rPr>
              <w:t>2.5</w:t>
            </w:r>
          </w:p>
        </w:tc>
        <w:tc>
          <w:tcPr>
            <w:tcW w:w="5400" w:type="dxa"/>
            <w:tcBorders>
              <w:top w:val="nil"/>
              <w:left w:val="nil"/>
              <w:bottom w:val="nil"/>
              <w:right w:val="nil"/>
            </w:tcBorders>
            <w:hideMark/>
          </w:tcPr>
          <w:p w14:paraId="112C74F0" w14:textId="77777777" w:rsidR="00DF694E" w:rsidRPr="00DF694E" w:rsidRDefault="00DF694E">
            <w:pPr>
              <w:rPr>
                <w:rFonts w:ascii="Arial" w:hAnsi="Arial" w:cs="Arial"/>
                <w:sz w:val="20"/>
                <w:szCs w:val="20"/>
              </w:rPr>
            </w:pPr>
            <w:r w:rsidRPr="00DF694E">
              <w:rPr>
                <w:rFonts w:ascii="Arial" w:hAnsi="Arial" w:cs="Arial"/>
                <w:sz w:val="20"/>
                <w:szCs w:val="20"/>
              </w:rPr>
              <w:t xml:space="preserve">Use nonlinear multiplicative model to environmental variables, fire time, pre-fire tree cover and </w:t>
            </w:r>
            <w:proofErr w:type="spellStart"/>
            <w:r w:rsidRPr="00DF694E">
              <w:rPr>
                <w:rFonts w:ascii="Arial" w:hAnsi="Arial" w:cs="Arial"/>
                <w:sz w:val="20"/>
                <w:szCs w:val="20"/>
              </w:rPr>
              <w:t>dNBR</w:t>
            </w:r>
            <w:proofErr w:type="spellEnd"/>
          </w:p>
        </w:tc>
        <w:tc>
          <w:tcPr>
            <w:tcW w:w="2610" w:type="dxa"/>
            <w:tcBorders>
              <w:top w:val="nil"/>
              <w:left w:val="nil"/>
              <w:bottom w:val="nil"/>
              <w:right w:val="nil"/>
            </w:tcBorders>
            <w:hideMark/>
          </w:tcPr>
          <w:p w14:paraId="718EC85E" w14:textId="6B57E69E"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AuthorYear="1"&gt;&lt;Author&gt;Veraverbeke&lt;/Author&gt;&lt;Year&gt;2015&lt;/Year&gt;&lt;RecNum&gt;88&lt;/RecNum&gt;&lt;DisplayText&gt;Veraverbeke, et al. &lt;style face="superscript"&gt;1&lt;/style&gt;&lt;/DisplayText&gt;&lt;record&gt;&lt;rec-number&gt;88&lt;/rec-number&gt;&lt;foreign-keys&gt;&lt;key app="EN" db-id="rwwf2as9uepxr8epfdsvva5qt5rxtree9edp" timestamp="1588781554"&gt;88&lt;/key&gt;&lt;/foreign-keys&gt;&lt;ref-type name="Journal Article"&gt;17&lt;/ref-type&gt;&lt;contributors&gt;&lt;authors&gt;&lt;author&gt;Veraverbeke, S.&lt;/author&gt;&lt;author&gt;Rogers, B. M.&lt;/author&gt;&lt;author&gt;Randerson, J. T.&lt;/author&gt;&lt;/authors&gt;&lt;/contributors&gt;&lt;titles&gt;&lt;title&gt;Daily burned area and carbon emissions from boreal fires in Alaska&lt;/title&gt;&lt;secondary-title&gt;Biogeosciences&lt;/secondary-title&gt;&lt;/titles&gt;&lt;periodical&gt;&lt;full-title&gt;Biogeosciences&lt;/full-title&gt;&lt;/periodical&gt;&lt;pages&gt;3579-3601&lt;/pages&gt;&lt;volume&gt;12&lt;/volume&gt;&lt;number&gt;11&lt;/number&gt;&lt;dates&gt;&lt;year&gt;2015&lt;/year&gt;&lt;/dates&gt;&lt;publisher&gt;Copernicus Publications&lt;/publisher&gt;&lt;isbn&gt;1726-4189&lt;/isbn&gt;&lt;urls&gt;&lt;related-urls&gt;&lt;url&gt;https://www.biogeosciences.net/12/3579/2015/&lt;/url&gt;&lt;/related-urls&gt;&lt;pdf-urls&gt;&lt;url&gt;https://www.biogeosciences.net/12/3579/2015/bg-12-3579-2015.pdf&lt;/url&gt;&lt;/pdf-urls&gt;&lt;/urls&gt;&lt;electronic-resource-num&gt;10.5194/bg-12-3579-2015&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Veraverbeke, et al. </w:t>
            </w:r>
            <w:r w:rsidRPr="00DF694E">
              <w:rPr>
                <w:rFonts w:ascii="Arial" w:hAnsi="Arial" w:cs="Arial"/>
                <w:noProof/>
                <w:sz w:val="20"/>
                <w:szCs w:val="20"/>
                <w:vertAlign w:val="superscript"/>
              </w:rPr>
              <w:t>1</w:t>
            </w:r>
            <w:r w:rsidRPr="00DF694E">
              <w:rPr>
                <w:rFonts w:ascii="Arial" w:hAnsi="Arial" w:cs="Arial"/>
                <w:sz w:val="20"/>
              </w:rPr>
              <w:fldChar w:fldCharType="end"/>
            </w:r>
          </w:p>
        </w:tc>
      </w:tr>
      <w:tr w:rsidR="00DF694E" w:rsidRPr="00DF694E" w14:paraId="4B73F89C" w14:textId="77777777" w:rsidTr="00DF694E">
        <w:tc>
          <w:tcPr>
            <w:tcW w:w="0" w:type="auto"/>
            <w:vMerge/>
            <w:tcBorders>
              <w:top w:val="single" w:sz="4" w:space="0" w:color="auto"/>
              <w:left w:val="nil"/>
              <w:bottom w:val="nil"/>
              <w:right w:val="nil"/>
            </w:tcBorders>
            <w:vAlign w:val="center"/>
            <w:hideMark/>
          </w:tcPr>
          <w:p w14:paraId="414393AF"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588583A1" w14:textId="77777777" w:rsidR="00DF694E" w:rsidRPr="00DF694E" w:rsidRDefault="00DF694E">
            <w:pPr>
              <w:rPr>
                <w:rFonts w:ascii="Arial" w:hAnsi="Arial" w:cs="Arial"/>
                <w:sz w:val="20"/>
                <w:szCs w:val="20"/>
              </w:rPr>
            </w:pPr>
            <w:r w:rsidRPr="00DF694E">
              <w:rPr>
                <w:rFonts w:ascii="Arial" w:hAnsi="Arial" w:cs="Arial"/>
                <w:sz w:val="20"/>
                <w:szCs w:val="20"/>
              </w:rPr>
              <w:t>2.0 ± 0.3</w:t>
            </w:r>
          </w:p>
        </w:tc>
        <w:tc>
          <w:tcPr>
            <w:tcW w:w="5400" w:type="dxa"/>
            <w:tcBorders>
              <w:top w:val="nil"/>
              <w:left w:val="nil"/>
              <w:bottom w:val="nil"/>
              <w:right w:val="nil"/>
            </w:tcBorders>
            <w:hideMark/>
          </w:tcPr>
          <w:p w14:paraId="15179647"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44ECCCA7" w14:textId="7F511B54"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AuthorYear="1"&gt;&lt;Author&gt;Rogers&lt;/Author&gt;&lt;Year&gt;2014&lt;/Year&gt;&lt;RecNum&gt;81&lt;/RecNum&gt;&lt;DisplayText&gt;Rogers, et al. &lt;style face="superscript"&gt;2&lt;/style&gt;&lt;/DisplayText&gt;&lt;record&gt;&lt;rec-number&gt;81&lt;/rec-number&gt;&lt;foreign-keys&gt;&lt;key app="EN" db-id="rwwf2as9uepxr8epfdsvva5qt5rxtree9edp" timestamp="1588781543"&gt;81&lt;/key&gt;&lt;/foreign-keys&gt;&lt;ref-type name="Journal Article"&gt;17&lt;/ref-type&gt;&lt;contributors&gt;&lt;authors&gt;&lt;author&gt;Rogers, B. M.&lt;/author&gt;&lt;author&gt;Veraverbeke, S.&lt;/author&gt;&lt;author&gt;Azzari, G.&lt;/author&gt;&lt;author&gt;Czimczik, C. I.&lt;/author&gt;&lt;author&gt;Holden, S. R.&lt;/author&gt;&lt;author&gt;Mouteva, G. O.&lt;/author&gt;&lt;author&gt;Sedano, F.&lt;/author&gt;&lt;author&gt;Treseder, K. K.&lt;/author&gt;&lt;author&gt;Randerson, J. T.&lt;/author&gt;&lt;/authors&gt;&lt;/contributors&gt;&lt;titles&gt;&lt;title&gt;Quantifying fire-wide carbon emissions in interior Alaska using field measurements and Landsat imagery&lt;/title&gt;&lt;secondary-title&gt;Journal of Geophysical Research: Biogeosciences&lt;/secondary-title&gt;&lt;/titles&gt;&lt;periodical&gt;&lt;full-title&gt;Journal of Geophysical Research: Biogeosciences&lt;/full-title&gt;&lt;/periodical&gt;&lt;pages&gt;1608-1629&lt;/pages&gt;&lt;volume&gt;119&lt;/volume&gt;&lt;number&gt;8&lt;/number&gt;&lt;dates&gt;&lt;year&gt;2014&lt;/year&gt;&lt;/dates&gt;&lt;isbn&gt;2169-8953&lt;/isbn&gt;&lt;urls&gt;&lt;related-urls&gt;&lt;url&gt;https://agupubs.onlinelibrary.wiley.com/doi/abs/10.1002/2014JG002657&lt;/url&gt;&lt;/related-urls&gt;&lt;/urls&gt;&lt;electronic-resource-num&gt;10.1002/2014jg002657&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Rogers, et al. </w:t>
            </w:r>
            <w:r w:rsidRPr="00DF694E">
              <w:rPr>
                <w:rFonts w:ascii="Arial" w:hAnsi="Arial" w:cs="Arial"/>
                <w:noProof/>
                <w:sz w:val="20"/>
                <w:szCs w:val="20"/>
                <w:vertAlign w:val="superscript"/>
              </w:rPr>
              <w:t>2</w:t>
            </w:r>
            <w:r w:rsidRPr="00DF694E">
              <w:rPr>
                <w:rFonts w:ascii="Arial" w:hAnsi="Arial" w:cs="Arial"/>
                <w:sz w:val="20"/>
              </w:rPr>
              <w:fldChar w:fldCharType="end"/>
            </w:r>
          </w:p>
        </w:tc>
      </w:tr>
      <w:tr w:rsidR="00DF694E" w:rsidRPr="00DF694E" w14:paraId="52C29A4C" w14:textId="77777777" w:rsidTr="00DF694E">
        <w:tc>
          <w:tcPr>
            <w:tcW w:w="0" w:type="auto"/>
            <w:vMerge/>
            <w:tcBorders>
              <w:top w:val="single" w:sz="4" w:space="0" w:color="auto"/>
              <w:left w:val="nil"/>
              <w:bottom w:val="nil"/>
              <w:right w:val="nil"/>
            </w:tcBorders>
            <w:vAlign w:val="center"/>
            <w:hideMark/>
          </w:tcPr>
          <w:p w14:paraId="3B155FA0"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3E0246A1" w14:textId="77777777" w:rsidR="00DF694E" w:rsidRPr="00DF694E" w:rsidRDefault="00DF694E">
            <w:pPr>
              <w:rPr>
                <w:rFonts w:ascii="Arial" w:hAnsi="Arial" w:cs="Arial"/>
                <w:sz w:val="20"/>
                <w:szCs w:val="20"/>
              </w:rPr>
            </w:pPr>
            <w:r w:rsidRPr="00DF694E">
              <w:rPr>
                <w:rFonts w:ascii="Arial" w:hAnsi="Arial" w:cs="Arial"/>
                <w:sz w:val="20"/>
                <w:szCs w:val="20"/>
              </w:rPr>
              <w:t>3.3 (1.5-4.6)</w:t>
            </w:r>
          </w:p>
        </w:tc>
        <w:tc>
          <w:tcPr>
            <w:tcW w:w="5400" w:type="dxa"/>
            <w:tcBorders>
              <w:top w:val="nil"/>
              <w:left w:val="nil"/>
              <w:bottom w:val="nil"/>
              <w:right w:val="nil"/>
            </w:tcBorders>
            <w:hideMark/>
          </w:tcPr>
          <w:p w14:paraId="785C6F98"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0D3203A5" w14:textId="1D09FAF6"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AuthorYear="1"&gt;&lt;Author&gt;Boby&lt;/Author&gt;&lt;Year&gt;2010&lt;/Year&gt;&lt;RecNum&gt;42&lt;/RecNum&gt;&lt;DisplayText&gt;Boby, et al. &lt;style face="superscript"&gt;3&lt;/style&gt;&lt;/DisplayText&gt;&lt;record&gt;&lt;rec-number&gt;42&lt;/rec-number&gt;&lt;foreign-keys&gt;&lt;key app="EN" db-id="rwwf2as9uepxr8epfdsvva5qt5rxtree9edp" timestamp="1588781445"&gt;42&lt;/key&gt;&lt;/foreign-keys&gt;&lt;ref-type name="Journal Article"&gt;17&lt;/ref-type&gt;&lt;contributors&gt;&lt;authors&gt;&lt;author&gt;Boby, Leslie A.&lt;/author&gt;&lt;author&gt;Schuur, Edward A. G.&lt;/author&gt;&lt;author&gt;Mack, Michelle C.&lt;/author&gt;&lt;author&gt;Verbyla, David&lt;/author&gt;&lt;author&gt;Johnstone, Jill F.&lt;/author&gt;&lt;/authors&gt;&lt;/contributors&gt;&lt;titles&gt;&lt;title&gt;Quantifying fire severity, carbon, and nitrogen emissions in Alaska&amp;apos;s boreal forest&lt;/title&gt;&lt;secondary-title&gt;Ecological Applications&lt;/secondary-title&gt;&lt;/titles&gt;&lt;periodical&gt;&lt;full-title&gt;Ecological Applications&lt;/full-title&gt;&lt;/periodical&gt;&lt;pages&gt;1633-1647&lt;/pages&gt;&lt;volume&gt;20&lt;/volume&gt;&lt;number&gt;6&lt;/number&gt;&lt;dates&gt;&lt;year&gt;2010&lt;/year&gt;&lt;/dates&gt;&lt;isbn&gt;1051-0761&lt;/isbn&gt;&lt;urls&gt;&lt;related-urls&gt;&lt;url&gt;https://esajournals.onlinelibrary.wiley.com/doi/abs/10.1890/08-2295.1&lt;/url&gt;&lt;/related-urls&gt;&lt;/urls&gt;&lt;electronic-resource-num&gt;10.1890/08-2295.1&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Boby, et al. </w:t>
            </w:r>
            <w:r w:rsidRPr="00DF694E">
              <w:rPr>
                <w:rFonts w:ascii="Arial" w:hAnsi="Arial" w:cs="Arial"/>
                <w:noProof/>
                <w:sz w:val="20"/>
                <w:szCs w:val="20"/>
                <w:vertAlign w:val="superscript"/>
              </w:rPr>
              <w:t>3</w:t>
            </w:r>
            <w:r w:rsidRPr="00DF694E">
              <w:rPr>
                <w:rFonts w:ascii="Arial" w:hAnsi="Arial" w:cs="Arial"/>
                <w:sz w:val="20"/>
              </w:rPr>
              <w:fldChar w:fldCharType="end"/>
            </w:r>
          </w:p>
        </w:tc>
      </w:tr>
      <w:tr w:rsidR="00DF694E" w:rsidRPr="00DF694E" w14:paraId="150D70BF" w14:textId="77777777" w:rsidTr="00DF694E">
        <w:tc>
          <w:tcPr>
            <w:tcW w:w="0" w:type="auto"/>
            <w:vMerge/>
            <w:tcBorders>
              <w:top w:val="single" w:sz="4" w:space="0" w:color="auto"/>
              <w:left w:val="nil"/>
              <w:bottom w:val="nil"/>
              <w:right w:val="nil"/>
            </w:tcBorders>
            <w:vAlign w:val="center"/>
            <w:hideMark/>
          </w:tcPr>
          <w:p w14:paraId="0EA628C8"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17774BF6" w14:textId="77777777" w:rsidR="00DF694E" w:rsidRPr="00DF694E" w:rsidRDefault="00DF694E">
            <w:pPr>
              <w:rPr>
                <w:rFonts w:ascii="Arial" w:hAnsi="Arial" w:cs="Arial"/>
                <w:sz w:val="20"/>
                <w:szCs w:val="20"/>
              </w:rPr>
            </w:pPr>
            <w:r w:rsidRPr="00DF694E">
              <w:rPr>
                <w:rFonts w:ascii="Arial" w:hAnsi="Arial" w:cs="Arial"/>
                <w:sz w:val="20"/>
                <w:szCs w:val="20"/>
              </w:rPr>
              <w:t>1.6 ± 0.6</w:t>
            </w:r>
          </w:p>
        </w:tc>
        <w:tc>
          <w:tcPr>
            <w:tcW w:w="5400" w:type="dxa"/>
            <w:tcBorders>
              <w:top w:val="nil"/>
              <w:left w:val="nil"/>
              <w:bottom w:val="nil"/>
              <w:right w:val="nil"/>
            </w:tcBorders>
            <w:hideMark/>
          </w:tcPr>
          <w:p w14:paraId="56A9E4E6"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4EBF1ECD" w14:textId="7829180D"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AuthorYear="1"&gt;&lt;Author&gt;Randerson&lt;/Author&gt;&lt;Year&gt;2006&lt;/Year&gt;&lt;RecNum&gt;23&lt;/RecNum&gt;&lt;DisplayText&gt;Randerson, et al. &lt;style face="superscript"&gt;4&lt;/style&gt;&lt;/DisplayText&gt;&lt;record&gt;&lt;rec-number&gt;23&lt;/rec-number&gt;&lt;foreign-keys&gt;&lt;key app="EN" db-id="rwwf2as9uepxr8epfdsvva5qt5rxtree9edp" timestamp="1588781405"&gt;23&lt;/key&gt;&lt;/foreign-keys&gt;&lt;ref-type name="Journal Article"&gt;17&lt;/ref-type&gt;&lt;contributors&gt;&lt;authors&gt;&lt;author&gt;Randerson, J. T.&lt;/author&gt;&lt;author&gt;Liu, H.&lt;/author&gt;&lt;author&gt;Flanner, M. G.&lt;/author&gt;&lt;author&gt;Chambers, S. D.&lt;/author&gt;&lt;author&gt;Jin, Y.&lt;/author&gt;&lt;author&gt;Hess, P. G.&lt;/author&gt;&lt;author&gt;Pfister, G.&lt;/author&gt;&lt;author&gt;Mack, M. C.&lt;/author&gt;&lt;author&gt;Treseder, K. K.&lt;/author&gt;&lt;author&gt;Welp, L. R.&lt;/author&gt;&lt;author&gt;Chapin, F. S.&lt;/author&gt;&lt;author&gt;Harden, J. W.&lt;/author&gt;&lt;author&gt;Goulden, M. L.&lt;/author&gt;&lt;author&gt;Lyons, E.&lt;/author&gt;&lt;author&gt;Neff, J. C.&lt;/author&gt;&lt;author&gt;Schuur, E. A. G.&lt;/author&gt;&lt;author&gt;Zender, C. S.&lt;/author&gt;&lt;/authors&gt;&lt;/contributors&gt;&lt;titles&gt;&lt;title&gt;The Impact of Boreal Forest Fire on Climate Warming&lt;/title&gt;&lt;secondary-title&gt;Science&lt;/secondary-title&gt;&lt;/titles&gt;&lt;periodical&gt;&lt;full-title&gt;Science&lt;/full-title&gt;&lt;/periodical&gt;&lt;pages&gt;1130&lt;/pages&gt;&lt;volume&gt;314&lt;/volume&gt;&lt;number&gt;5802&lt;/number&gt;&lt;dates&gt;&lt;year&gt;2006&lt;/year&gt;&lt;/dates&gt;&lt;urls&gt;&lt;related-urls&gt;&lt;url&gt;http://science.sciencemag.org/content/314/5802/1130.abstract&lt;/url&gt;&lt;/related-urls&gt;&lt;/urls&gt;&lt;electronic-resource-num&gt;10.1126/science.1132075&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Randerson, et al. </w:t>
            </w:r>
            <w:r w:rsidRPr="00DF694E">
              <w:rPr>
                <w:rFonts w:ascii="Arial" w:hAnsi="Arial" w:cs="Arial"/>
                <w:noProof/>
                <w:sz w:val="20"/>
                <w:szCs w:val="20"/>
                <w:vertAlign w:val="superscript"/>
              </w:rPr>
              <w:t>4</w:t>
            </w:r>
            <w:r w:rsidRPr="00DF694E">
              <w:rPr>
                <w:rFonts w:ascii="Arial" w:hAnsi="Arial" w:cs="Arial"/>
                <w:sz w:val="20"/>
              </w:rPr>
              <w:fldChar w:fldCharType="end"/>
            </w:r>
          </w:p>
        </w:tc>
      </w:tr>
      <w:tr w:rsidR="00DF694E" w:rsidRPr="00DF694E" w14:paraId="4536B184" w14:textId="77777777" w:rsidTr="00DF694E">
        <w:tc>
          <w:tcPr>
            <w:tcW w:w="0" w:type="auto"/>
            <w:vMerge/>
            <w:tcBorders>
              <w:top w:val="single" w:sz="4" w:space="0" w:color="auto"/>
              <w:left w:val="nil"/>
              <w:bottom w:val="nil"/>
              <w:right w:val="nil"/>
            </w:tcBorders>
            <w:vAlign w:val="center"/>
            <w:hideMark/>
          </w:tcPr>
          <w:p w14:paraId="3FAB13CC"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21234CBB" w14:textId="77777777" w:rsidR="00DF694E" w:rsidRPr="00DF694E" w:rsidRDefault="00DF694E">
            <w:pPr>
              <w:rPr>
                <w:rFonts w:ascii="Arial" w:hAnsi="Arial" w:cs="Arial"/>
                <w:sz w:val="20"/>
                <w:szCs w:val="20"/>
              </w:rPr>
            </w:pPr>
            <w:r w:rsidRPr="00DF694E">
              <w:rPr>
                <w:rFonts w:ascii="Arial" w:hAnsi="Arial" w:cs="Arial"/>
                <w:sz w:val="20"/>
                <w:szCs w:val="20"/>
              </w:rPr>
              <w:t xml:space="preserve">1.7-3.0 </w:t>
            </w:r>
          </w:p>
        </w:tc>
        <w:tc>
          <w:tcPr>
            <w:tcW w:w="5400" w:type="dxa"/>
            <w:tcBorders>
              <w:top w:val="nil"/>
              <w:left w:val="nil"/>
              <w:bottom w:val="nil"/>
              <w:right w:val="nil"/>
            </w:tcBorders>
            <w:hideMark/>
          </w:tcPr>
          <w:p w14:paraId="624370AE" w14:textId="77777777" w:rsidR="00DF694E" w:rsidRPr="00DF694E" w:rsidRDefault="00DF694E">
            <w:pPr>
              <w:rPr>
                <w:rFonts w:ascii="Arial" w:hAnsi="Arial" w:cs="Arial"/>
                <w:sz w:val="20"/>
                <w:szCs w:val="20"/>
              </w:rPr>
            </w:pPr>
            <w:r w:rsidRPr="00DF694E">
              <w:rPr>
                <w:rFonts w:ascii="Arial" w:hAnsi="Arial" w:cs="Arial"/>
                <w:sz w:val="20"/>
                <w:szCs w:val="20"/>
              </w:rPr>
              <w:t>Estimated by fuel type</w:t>
            </w:r>
          </w:p>
        </w:tc>
        <w:tc>
          <w:tcPr>
            <w:tcW w:w="2610" w:type="dxa"/>
            <w:tcBorders>
              <w:top w:val="nil"/>
              <w:left w:val="nil"/>
              <w:bottom w:val="nil"/>
              <w:right w:val="nil"/>
            </w:tcBorders>
            <w:hideMark/>
          </w:tcPr>
          <w:p w14:paraId="5046BFBE" w14:textId="0AD336DC"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AuthorYear="1"&gt;&lt;Author&gt;Kasischke&lt;/Author&gt;&lt;Year&gt;2012&lt;/Year&gt;&lt;RecNum&gt;68&lt;/RecNum&gt;&lt;DisplayText&gt;Kasischke and Hoy &lt;style face="superscript"&gt;5&lt;/style&gt;&lt;/DisplayText&gt;&lt;record&gt;&lt;rec-number&gt;68&lt;/rec-number&gt;&lt;foreign-keys&gt;&lt;key app="EN" db-id="rwwf2as9uepxr8epfdsvva5qt5rxtree9edp" timestamp="1588781491"&gt;68&lt;/key&gt;&lt;/foreign-keys&gt;&lt;ref-type name="Journal Article"&gt;17&lt;/ref-type&gt;&lt;contributors&gt;&lt;authors&gt;&lt;author&gt;Kasischke, Eric S.&lt;/author&gt;&lt;author&gt;Hoy, Elizabeth E.&lt;/author&gt;&lt;/authors&gt;&lt;/contributors&gt;&lt;titles&gt;&lt;title&gt;Controls on carbon consumption during Alaskan wildland fires&lt;/title&gt;&lt;secondary-title&gt;Global Change Biology&lt;/secondary-title&gt;&lt;/titles&gt;&lt;periodical&gt;&lt;full-title&gt;Global Change Biology&lt;/full-title&gt;&lt;/periodical&gt;&lt;pages&gt;685-699&lt;/pages&gt;&lt;volume&gt;18&lt;/volume&gt;&lt;number&gt;2&lt;/number&gt;&lt;keywords&gt;&lt;keyword&gt;boreal carbon dynamics&lt;/keyword&gt;&lt;keyword&gt;disturbance&lt;/keyword&gt;&lt;keyword&gt;fire ecology&lt;/keyword&gt;&lt;keyword&gt;fire emissions&lt;/keyword&gt;&lt;keyword&gt;fuel moisture&lt;/keyword&gt;&lt;keyword&gt;remote sensing&lt;/keyword&gt;&lt;/keywords&gt;&lt;dates&gt;&lt;year&gt;2012&lt;/year&gt;&lt;pub-dates&gt;&lt;date&gt;2012/02/01&lt;/date&gt;&lt;/pub-dates&gt;&lt;/dates&gt;&lt;publisher&gt;John Wiley &amp;amp; Sons, Ltd&lt;/publisher&gt;&lt;isbn&gt;1354-1013&lt;/isbn&gt;&lt;urls&gt;&lt;related-urls&gt;&lt;url&gt;https://doi.org/10.1111/j.1365-2486.2011.02573.x&lt;/url&gt;&lt;/related-urls&gt;&lt;/urls&gt;&lt;electronic-resource-num&gt;10.1111/j.1365-2486.2011.02573.x&lt;/electronic-resource-num&gt;&lt;access-date&gt;2020/05/01&lt;/access-date&gt;&lt;/record&gt;&lt;/Cite&gt;&lt;/EndNote&gt;</w:instrText>
            </w:r>
            <w:r w:rsidRPr="00DF694E">
              <w:rPr>
                <w:rFonts w:ascii="Arial" w:hAnsi="Arial" w:cs="Arial"/>
                <w:sz w:val="20"/>
              </w:rPr>
              <w:fldChar w:fldCharType="separate"/>
            </w:r>
            <w:r>
              <w:rPr>
                <w:rFonts w:ascii="Arial" w:hAnsi="Arial" w:cs="Arial"/>
                <w:noProof/>
                <w:sz w:val="20"/>
                <w:szCs w:val="20"/>
              </w:rPr>
              <w:t xml:space="preserve">Kasischke and Hoy </w:t>
            </w:r>
            <w:r w:rsidRPr="00DF694E">
              <w:rPr>
                <w:rFonts w:ascii="Arial" w:hAnsi="Arial" w:cs="Arial"/>
                <w:noProof/>
                <w:sz w:val="20"/>
                <w:szCs w:val="20"/>
                <w:vertAlign w:val="superscript"/>
              </w:rPr>
              <w:t>5</w:t>
            </w:r>
            <w:r w:rsidRPr="00DF694E">
              <w:rPr>
                <w:rFonts w:ascii="Arial" w:hAnsi="Arial" w:cs="Arial"/>
                <w:sz w:val="20"/>
              </w:rPr>
              <w:fldChar w:fldCharType="end"/>
            </w:r>
          </w:p>
        </w:tc>
      </w:tr>
      <w:tr w:rsidR="00DF694E" w:rsidRPr="00DF694E" w14:paraId="709B761A" w14:textId="77777777" w:rsidTr="00DF694E">
        <w:tc>
          <w:tcPr>
            <w:tcW w:w="0" w:type="auto"/>
            <w:vMerge/>
            <w:tcBorders>
              <w:top w:val="single" w:sz="4" w:space="0" w:color="auto"/>
              <w:left w:val="nil"/>
              <w:bottom w:val="nil"/>
              <w:right w:val="nil"/>
            </w:tcBorders>
            <w:vAlign w:val="center"/>
            <w:hideMark/>
          </w:tcPr>
          <w:p w14:paraId="5E44F875"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16FC82BD" w14:textId="77777777" w:rsidR="00DF694E" w:rsidRPr="00DF694E" w:rsidRDefault="00DF694E">
            <w:pPr>
              <w:rPr>
                <w:rFonts w:ascii="Arial" w:hAnsi="Arial" w:cs="Arial"/>
                <w:sz w:val="20"/>
                <w:szCs w:val="20"/>
              </w:rPr>
            </w:pPr>
            <w:r w:rsidRPr="00DF694E">
              <w:rPr>
                <w:rFonts w:ascii="Arial" w:hAnsi="Arial" w:cs="Arial"/>
                <w:sz w:val="20"/>
                <w:szCs w:val="20"/>
              </w:rPr>
              <w:t>3.1 ± 0.7</w:t>
            </w:r>
          </w:p>
        </w:tc>
        <w:tc>
          <w:tcPr>
            <w:tcW w:w="5400" w:type="dxa"/>
            <w:tcBorders>
              <w:top w:val="nil"/>
              <w:left w:val="nil"/>
              <w:bottom w:val="nil"/>
              <w:right w:val="nil"/>
            </w:tcBorders>
            <w:hideMark/>
          </w:tcPr>
          <w:p w14:paraId="70304527" w14:textId="77777777" w:rsidR="00DF694E" w:rsidRPr="00DF694E" w:rsidRDefault="00DF694E">
            <w:pPr>
              <w:rPr>
                <w:rFonts w:ascii="Arial" w:hAnsi="Arial" w:cs="Arial"/>
                <w:sz w:val="20"/>
                <w:szCs w:val="20"/>
              </w:rPr>
            </w:pPr>
            <w:r w:rsidRPr="00DF694E">
              <w:rPr>
                <w:rFonts w:ascii="Arial" w:hAnsi="Arial" w:cs="Arial"/>
                <w:sz w:val="20"/>
                <w:szCs w:val="20"/>
              </w:rPr>
              <w:t>Estimated from land cover, drainage type and C stock</w:t>
            </w:r>
          </w:p>
        </w:tc>
        <w:tc>
          <w:tcPr>
            <w:tcW w:w="2610" w:type="dxa"/>
            <w:tcBorders>
              <w:top w:val="nil"/>
              <w:left w:val="nil"/>
              <w:bottom w:val="nil"/>
              <w:right w:val="nil"/>
            </w:tcBorders>
            <w:hideMark/>
          </w:tcPr>
          <w:p w14:paraId="06D9E7BA" w14:textId="44160315"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AuthorYear="1"&gt;&lt;Author&gt;Tan&lt;/Author&gt;&lt;Year&gt;2007&lt;/Year&gt;&lt;RecNum&gt;86&lt;/RecNum&gt;&lt;DisplayText&gt;Tan, et al. &lt;style face="superscript"&gt;6&lt;/style&gt;&lt;/DisplayText&gt;&lt;record&gt;&lt;rec-number&gt;86&lt;/rec-number&gt;&lt;foreign-keys&gt;&lt;key app="EN" db-id="rwwf2as9uepxr8epfdsvva5qt5rxtree9edp" timestamp="1588781551"&gt;86&lt;/key&gt;&lt;/foreign-keys&gt;&lt;ref-type name="Journal Article"&gt;17&lt;/ref-type&gt;&lt;contributors&gt;&lt;authors&gt;&lt;author&gt;Tan, Zhengxi&lt;/author&gt;&lt;author&gt;Tieszen, Larry L.&lt;/author&gt;&lt;author&gt;Zhu, Zhiliang&lt;/author&gt;&lt;author&gt;Liu, Shuguang&lt;/author&gt;&lt;author&gt;Howard, Stephen M.&lt;/author&gt;&lt;/authors&gt;&lt;/contributors&gt;&lt;titles&gt;&lt;title&gt;An estimate of carbon emissions from 2004 wildfires across Alaskan Yukon River Basin&lt;/title&gt;&lt;secondary-title&gt;Carbon Balance and Management&lt;/secondary-title&gt;&lt;/titles&gt;&lt;periodical&gt;&lt;full-title&gt;Carbon Balance and Management&lt;/full-title&gt;&lt;/periodical&gt;&lt;pages&gt;12&lt;/pages&gt;&lt;volume&gt;2&lt;/volume&gt;&lt;number&gt;1&lt;/number&gt;&lt;dates&gt;&lt;year&gt;2007&lt;/year&gt;&lt;pub-dates&gt;&lt;date&gt;2007/12/19&lt;/date&gt;&lt;/pub-dates&gt;&lt;/dates&gt;&lt;isbn&gt;1750-0680&lt;/isbn&gt;&lt;urls&gt;&lt;related-urls&gt;&lt;url&gt;https://doi.org/10.1186/1750-0680-2-12&lt;/url&gt;&lt;/related-urls&gt;&lt;/urls&gt;&lt;electronic-resource-num&gt;10.1186/1750-0680-2-12&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Tan, et al. </w:t>
            </w:r>
            <w:r w:rsidRPr="00DF694E">
              <w:rPr>
                <w:rFonts w:ascii="Arial" w:hAnsi="Arial" w:cs="Arial"/>
                <w:noProof/>
                <w:sz w:val="20"/>
                <w:szCs w:val="20"/>
                <w:vertAlign w:val="superscript"/>
              </w:rPr>
              <w:t>6</w:t>
            </w:r>
            <w:r w:rsidRPr="00DF694E">
              <w:rPr>
                <w:rFonts w:ascii="Arial" w:hAnsi="Arial" w:cs="Arial"/>
                <w:sz w:val="20"/>
              </w:rPr>
              <w:fldChar w:fldCharType="end"/>
            </w:r>
          </w:p>
        </w:tc>
      </w:tr>
      <w:tr w:rsidR="00DF694E" w:rsidRPr="00DF694E" w14:paraId="0BB0C209" w14:textId="77777777" w:rsidTr="00DF694E">
        <w:tc>
          <w:tcPr>
            <w:tcW w:w="975" w:type="dxa"/>
            <w:vMerge w:val="restart"/>
            <w:tcBorders>
              <w:top w:val="nil"/>
              <w:left w:val="nil"/>
              <w:bottom w:val="nil"/>
              <w:right w:val="nil"/>
            </w:tcBorders>
            <w:hideMark/>
          </w:tcPr>
          <w:p w14:paraId="170EB1BE" w14:textId="77777777" w:rsidR="00DF694E" w:rsidRPr="00DF694E" w:rsidRDefault="00DF694E">
            <w:pPr>
              <w:rPr>
                <w:rFonts w:ascii="Arial" w:hAnsi="Arial" w:cs="Arial"/>
                <w:sz w:val="20"/>
                <w:szCs w:val="20"/>
              </w:rPr>
            </w:pPr>
            <w:r w:rsidRPr="00DF694E">
              <w:rPr>
                <w:rFonts w:ascii="Arial" w:hAnsi="Arial" w:cs="Arial"/>
                <w:sz w:val="20"/>
                <w:szCs w:val="20"/>
              </w:rPr>
              <w:t>Canada</w:t>
            </w:r>
          </w:p>
        </w:tc>
        <w:tc>
          <w:tcPr>
            <w:tcW w:w="1365" w:type="dxa"/>
            <w:tcBorders>
              <w:top w:val="nil"/>
              <w:left w:val="nil"/>
              <w:bottom w:val="nil"/>
              <w:right w:val="nil"/>
            </w:tcBorders>
            <w:hideMark/>
          </w:tcPr>
          <w:p w14:paraId="29C587E3" w14:textId="77777777" w:rsidR="00DF694E" w:rsidRPr="00DF694E" w:rsidRDefault="00DF694E">
            <w:pPr>
              <w:rPr>
                <w:rFonts w:ascii="Arial" w:hAnsi="Arial" w:cs="Arial"/>
                <w:b/>
                <w:sz w:val="20"/>
                <w:szCs w:val="20"/>
              </w:rPr>
            </w:pPr>
            <w:r w:rsidRPr="00DF694E">
              <w:rPr>
                <w:rFonts w:ascii="Arial" w:hAnsi="Arial" w:cs="Arial"/>
                <w:b/>
                <w:sz w:val="20"/>
                <w:szCs w:val="20"/>
              </w:rPr>
              <w:t>2.1</w:t>
            </w:r>
          </w:p>
        </w:tc>
        <w:tc>
          <w:tcPr>
            <w:tcW w:w="5400" w:type="dxa"/>
            <w:tcBorders>
              <w:top w:val="nil"/>
              <w:left w:val="nil"/>
              <w:bottom w:val="nil"/>
              <w:right w:val="nil"/>
            </w:tcBorders>
            <w:hideMark/>
          </w:tcPr>
          <w:p w14:paraId="19FADC58" w14:textId="77777777" w:rsidR="00DF694E" w:rsidRPr="00DF694E" w:rsidRDefault="00DF694E">
            <w:pPr>
              <w:rPr>
                <w:rFonts w:ascii="Arial" w:hAnsi="Arial" w:cs="Arial"/>
                <w:b/>
                <w:sz w:val="20"/>
                <w:szCs w:val="20"/>
              </w:rPr>
            </w:pPr>
            <w:r w:rsidRPr="00DF694E">
              <w:rPr>
                <w:rFonts w:ascii="Arial" w:hAnsi="Arial" w:cs="Arial"/>
                <w:b/>
                <w:sz w:val="20"/>
                <w:szCs w:val="20"/>
              </w:rPr>
              <w:t xml:space="preserve">Estimated from </w:t>
            </w:r>
            <w:proofErr w:type="spellStart"/>
            <w:r w:rsidRPr="00DF694E">
              <w:rPr>
                <w:rFonts w:ascii="Arial" w:hAnsi="Arial" w:cs="Arial"/>
                <w:b/>
                <w:sz w:val="20"/>
                <w:szCs w:val="20"/>
              </w:rPr>
              <w:t>dNBR</w:t>
            </w:r>
            <w:proofErr w:type="spellEnd"/>
            <w:r w:rsidRPr="00DF694E">
              <w:rPr>
                <w:rFonts w:ascii="Arial" w:hAnsi="Arial" w:cs="Arial"/>
                <w:b/>
                <w:sz w:val="20"/>
                <w:szCs w:val="20"/>
              </w:rPr>
              <w:t xml:space="preserve"> and C stock</w:t>
            </w:r>
          </w:p>
        </w:tc>
        <w:tc>
          <w:tcPr>
            <w:tcW w:w="2610" w:type="dxa"/>
            <w:tcBorders>
              <w:top w:val="nil"/>
              <w:left w:val="nil"/>
              <w:bottom w:val="nil"/>
              <w:right w:val="nil"/>
            </w:tcBorders>
            <w:hideMark/>
          </w:tcPr>
          <w:p w14:paraId="47E3DD62" w14:textId="77777777" w:rsidR="00DF694E" w:rsidRPr="00DF694E" w:rsidRDefault="00DF694E">
            <w:pPr>
              <w:rPr>
                <w:rFonts w:ascii="Arial" w:hAnsi="Arial" w:cs="Arial"/>
                <w:b/>
                <w:sz w:val="20"/>
                <w:szCs w:val="20"/>
              </w:rPr>
            </w:pPr>
            <w:r w:rsidRPr="00DF694E">
              <w:rPr>
                <w:rFonts w:ascii="Arial" w:hAnsi="Arial" w:cs="Arial"/>
                <w:b/>
                <w:sz w:val="20"/>
                <w:szCs w:val="20"/>
              </w:rPr>
              <w:t>This study</w:t>
            </w:r>
          </w:p>
        </w:tc>
      </w:tr>
      <w:tr w:rsidR="00DF694E" w:rsidRPr="00DF694E" w14:paraId="54EF66FA" w14:textId="77777777" w:rsidTr="00DF694E">
        <w:tc>
          <w:tcPr>
            <w:tcW w:w="0" w:type="auto"/>
            <w:vMerge/>
            <w:tcBorders>
              <w:top w:val="nil"/>
              <w:left w:val="nil"/>
              <w:bottom w:val="nil"/>
              <w:right w:val="nil"/>
            </w:tcBorders>
            <w:vAlign w:val="center"/>
            <w:hideMark/>
          </w:tcPr>
          <w:p w14:paraId="1710870C"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70199E8A" w14:textId="77777777" w:rsidR="00DF694E" w:rsidRPr="00DF694E" w:rsidRDefault="00DF694E">
            <w:pPr>
              <w:rPr>
                <w:rFonts w:ascii="Arial" w:hAnsi="Arial" w:cs="Arial"/>
                <w:sz w:val="20"/>
                <w:szCs w:val="20"/>
              </w:rPr>
            </w:pPr>
            <w:r w:rsidRPr="00DF694E">
              <w:rPr>
                <w:rFonts w:ascii="Arial" w:hAnsi="Arial" w:cs="Arial"/>
                <w:sz w:val="20"/>
                <w:szCs w:val="20"/>
              </w:rPr>
              <w:t>1.3 (1.8-3.9)</w:t>
            </w:r>
          </w:p>
        </w:tc>
        <w:tc>
          <w:tcPr>
            <w:tcW w:w="5400" w:type="dxa"/>
            <w:tcBorders>
              <w:top w:val="nil"/>
              <w:left w:val="nil"/>
              <w:bottom w:val="nil"/>
              <w:right w:val="nil"/>
            </w:tcBorders>
            <w:hideMark/>
          </w:tcPr>
          <w:p w14:paraId="21E40367" w14:textId="77777777" w:rsidR="00DF694E" w:rsidRPr="00DF694E" w:rsidRDefault="00DF694E">
            <w:pPr>
              <w:rPr>
                <w:rFonts w:ascii="Arial" w:hAnsi="Arial" w:cs="Arial"/>
                <w:sz w:val="20"/>
                <w:szCs w:val="20"/>
              </w:rPr>
            </w:pPr>
            <w:r w:rsidRPr="00DF694E">
              <w:rPr>
                <w:rFonts w:ascii="Arial" w:hAnsi="Arial" w:cs="Arial"/>
                <w:sz w:val="20"/>
                <w:szCs w:val="20"/>
              </w:rPr>
              <w:t>Estimated by fuel type and ecozone</w:t>
            </w:r>
          </w:p>
        </w:tc>
        <w:tc>
          <w:tcPr>
            <w:tcW w:w="2610" w:type="dxa"/>
            <w:tcBorders>
              <w:top w:val="nil"/>
              <w:left w:val="nil"/>
              <w:bottom w:val="nil"/>
              <w:right w:val="nil"/>
            </w:tcBorders>
            <w:hideMark/>
          </w:tcPr>
          <w:p w14:paraId="43635637" w14:textId="272266AE"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AuthorYear="1"&gt;&lt;Author&gt;Amiro&lt;/Author&gt;&lt;Year&gt;2001&lt;/Year&gt;&lt;RecNum&gt;38&lt;/RecNum&gt;&lt;DisplayText&gt;Amiro, et al. &lt;style face="superscript"&gt;7&lt;/style&gt;&lt;/DisplayText&gt;&lt;record&gt;&lt;rec-number&gt;38&lt;/rec-number&gt;&lt;foreign-keys&gt;&lt;key app="EN" db-id="rwwf2as9uepxr8epfdsvva5qt5rxtree9edp" timestamp="1588781439"&gt;38&lt;/key&gt;&lt;/foreign-keys&gt;&lt;ref-type name="Journal Article"&gt;17&lt;/ref-type&gt;&lt;contributors&gt;&lt;authors&gt;&lt;author&gt;Amiro, B. D.&lt;/author&gt;&lt;author&gt;Todd, J. B.&lt;/author&gt;&lt;author&gt;Wotton, B. M.&lt;/author&gt;&lt;author&gt;Logan, K. A.&lt;/author&gt;&lt;author&gt;Flannigan, M. D.&lt;/author&gt;&lt;author&gt;Stocks, B. J.&lt;/author&gt;&lt;author&gt;Mason, J. A.&lt;/author&gt;&lt;author&gt;Martell, D. L.&lt;/author&gt;&lt;author&gt;Hirsch, K. G.&lt;/author&gt;&lt;/authors&gt;&lt;/contributors&gt;&lt;titles&gt;&lt;title&gt;Direct carbon emissions from Canadian forest fires, 1959-1999&lt;/title&gt;&lt;secondary-title&gt;Canadian Journal of Forest Research&lt;/secondary-title&gt;&lt;/titles&gt;&lt;periodical&gt;&lt;full-title&gt;Canadian Journal of Forest Research&lt;/full-title&gt;&lt;/periodical&gt;&lt;pages&gt;512-525&lt;/pages&gt;&lt;volume&gt;31&lt;/volume&gt;&lt;number&gt;3&lt;/number&gt;&lt;dates&gt;&lt;year&gt;2001&lt;/year&gt;&lt;pub-dates&gt;&lt;date&gt;2001/03/01&lt;/date&gt;&lt;/pub-dates&gt;&lt;/dates&gt;&lt;publisher&gt;NRC Research Press&lt;/publisher&gt;&lt;isbn&gt;0045-5067&lt;/isbn&gt;&lt;urls&gt;&lt;related-urls&gt;&lt;url&gt;https://doi.org/10.1139/x00-197&lt;/url&gt;&lt;/related-urls&gt;&lt;/urls&gt;&lt;electronic-resource-num&gt;10.1139/x00-197&lt;/electronic-resource-num&gt;&lt;access-date&gt;2020/03/27&lt;/access-date&gt;&lt;/record&gt;&lt;/Cite&gt;&lt;/EndNote&gt;</w:instrText>
            </w:r>
            <w:r w:rsidRPr="00DF694E">
              <w:rPr>
                <w:rFonts w:ascii="Arial" w:hAnsi="Arial" w:cs="Arial"/>
                <w:sz w:val="20"/>
              </w:rPr>
              <w:fldChar w:fldCharType="separate"/>
            </w:r>
            <w:r>
              <w:rPr>
                <w:rFonts w:ascii="Arial" w:hAnsi="Arial" w:cs="Arial"/>
                <w:noProof/>
                <w:sz w:val="20"/>
                <w:szCs w:val="20"/>
              </w:rPr>
              <w:t xml:space="preserve">Amiro, et al. </w:t>
            </w:r>
            <w:r w:rsidRPr="00DF694E">
              <w:rPr>
                <w:rFonts w:ascii="Arial" w:hAnsi="Arial" w:cs="Arial"/>
                <w:noProof/>
                <w:sz w:val="20"/>
                <w:szCs w:val="20"/>
                <w:vertAlign w:val="superscript"/>
              </w:rPr>
              <w:t>7</w:t>
            </w:r>
            <w:r w:rsidRPr="00DF694E">
              <w:rPr>
                <w:rFonts w:ascii="Arial" w:hAnsi="Arial" w:cs="Arial"/>
                <w:sz w:val="20"/>
              </w:rPr>
              <w:fldChar w:fldCharType="end"/>
            </w:r>
          </w:p>
        </w:tc>
      </w:tr>
      <w:tr w:rsidR="00DF694E" w:rsidRPr="00DF694E" w14:paraId="08BA2DA7" w14:textId="77777777" w:rsidTr="00DF694E">
        <w:tc>
          <w:tcPr>
            <w:tcW w:w="0" w:type="auto"/>
            <w:vMerge/>
            <w:tcBorders>
              <w:top w:val="nil"/>
              <w:left w:val="nil"/>
              <w:bottom w:val="nil"/>
              <w:right w:val="nil"/>
            </w:tcBorders>
            <w:vAlign w:val="center"/>
            <w:hideMark/>
          </w:tcPr>
          <w:p w14:paraId="7F4E6D57"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7EC5B1B7" w14:textId="77777777" w:rsidR="00DF694E" w:rsidRPr="00DF694E" w:rsidRDefault="00DF694E">
            <w:pPr>
              <w:rPr>
                <w:rFonts w:ascii="Arial" w:hAnsi="Arial" w:cs="Arial"/>
                <w:sz w:val="20"/>
                <w:szCs w:val="20"/>
              </w:rPr>
            </w:pPr>
            <w:r w:rsidRPr="00DF694E">
              <w:rPr>
                <w:rFonts w:ascii="Arial" w:hAnsi="Arial" w:cs="Arial"/>
                <w:sz w:val="20"/>
                <w:szCs w:val="20"/>
              </w:rPr>
              <w:t>3.2±0.5</w:t>
            </w:r>
          </w:p>
        </w:tc>
        <w:tc>
          <w:tcPr>
            <w:tcW w:w="5400" w:type="dxa"/>
            <w:tcBorders>
              <w:top w:val="nil"/>
              <w:left w:val="nil"/>
              <w:bottom w:val="nil"/>
              <w:right w:val="nil"/>
            </w:tcBorders>
            <w:hideMark/>
          </w:tcPr>
          <w:p w14:paraId="013FB74A" w14:textId="77777777" w:rsidR="00DF694E" w:rsidRPr="00DF694E" w:rsidRDefault="00DF694E">
            <w:pPr>
              <w:rPr>
                <w:rFonts w:ascii="Arial" w:hAnsi="Arial" w:cs="Arial"/>
                <w:sz w:val="20"/>
                <w:szCs w:val="20"/>
              </w:rPr>
            </w:pPr>
            <w:r w:rsidRPr="00DF694E">
              <w:rPr>
                <w:rFonts w:ascii="Arial" w:hAnsi="Arial" w:cs="Arial"/>
                <w:sz w:val="20"/>
                <w:szCs w:val="20"/>
              </w:rPr>
              <w:t>Estimated by Fire Behavior Prediction System</w:t>
            </w:r>
          </w:p>
        </w:tc>
        <w:tc>
          <w:tcPr>
            <w:tcW w:w="2610" w:type="dxa"/>
            <w:tcBorders>
              <w:top w:val="nil"/>
              <w:left w:val="nil"/>
              <w:bottom w:val="nil"/>
              <w:right w:val="nil"/>
            </w:tcBorders>
            <w:hideMark/>
          </w:tcPr>
          <w:p w14:paraId="04674477" w14:textId="47B01ECE"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AuthorYear="1"&gt;&lt;Author&gt;de Groot&lt;/Author&gt;&lt;Year&gt;2007&lt;/Year&gt;&lt;RecNum&gt;58&lt;/RecNum&gt;&lt;DisplayText&gt;de Groot, et al. &lt;style face="superscript"&gt;8&lt;/style&gt;&lt;/DisplayText&gt;&lt;record&gt;&lt;rec-number&gt;58&lt;/rec-number&gt;&lt;foreign-keys&gt;&lt;key app="EN" db-id="rwwf2as9uepxr8epfdsvva5qt5rxtree9edp" timestamp="1588781470"&gt;58&lt;/key&gt;&lt;/foreign-keys&gt;&lt;ref-type name="Journal Article"&gt;17&lt;/ref-type&gt;&lt;contributors&gt;&lt;authors&gt;&lt;author&gt;de Groot, William&lt;/author&gt;&lt;author&gt;Landry, Robert&lt;/author&gt;&lt;author&gt;Kurz, Werner&lt;/author&gt;&lt;author&gt;Anderson, Kerry&lt;/author&gt;&lt;author&gt;Englefield, Peter&lt;/author&gt;&lt;author&gt;Fraser, Robert&lt;/author&gt;&lt;author&gt;Hall, R. J.&lt;/author&gt;&lt;author&gt;Banfield, George&lt;/author&gt;&lt;author&gt;Raymond, Donald&lt;/author&gt;&lt;author&gt;Decker, Vincent&lt;/author&gt;&lt;author&gt;Lynham, Tim&lt;/author&gt;&lt;author&gt;Pritchard, Janet&lt;/author&gt;&lt;/authors&gt;&lt;/contributors&gt;&lt;titles&gt;&lt;title&gt;Estimating direct carbon emissions from Canadian wildland fires&lt;/title&gt;&lt;secondary-title&gt;International Journal of Wildland Fire&lt;/secondary-title&gt;&lt;/titles&gt;&lt;periodical&gt;&lt;full-title&gt;International Journal of Wildland Fire&lt;/full-title&gt;&lt;/periodical&gt;&lt;volume&gt;16&lt;/volume&gt;&lt;dates&gt;&lt;year&gt;2007&lt;/year&gt;&lt;pub-dates&gt;&lt;date&gt;01/01&lt;/date&gt;&lt;/pub-dates&gt;&lt;/dates&gt;&lt;urls&gt;&lt;/urls&gt;&lt;electronic-resource-num&gt;10.1071/WF06150&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de Groot, et al. </w:t>
            </w:r>
            <w:r w:rsidRPr="00DF694E">
              <w:rPr>
                <w:rFonts w:ascii="Arial" w:hAnsi="Arial" w:cs="Arial"/>
                <w:noProof/>
                <w:sz w:val="20"/>
                <w:szCs w:val="20"/>
                <w:vertAlign w:val="superscript"/>
              </w:rPr>
              <w:t>8</w:t>
            </w:r>
            <w:r w:rsidRPr="00DF694E">
              <w:rPr>
                <w:rFonts w:ascii="Arial" w:hAnsi="Arial" w:cs="Arial"/>
                <w:sz w:val="20"/>
              </w:rPr>
              <w:fldChar w:fldCharType="end"/>
            </w:r>
          </w:p>
        </w:tc>
      </w:tr>
      <w:tr w:rsidR="00DF694E" w:rsidRPr="00DF694E" w14:paraId="62E9C148" w14:textId="77777777" w:rsidTr="00DF694E">
        <w:tc>
          <w:tcPr>
            <w:tcW w:w="0" w:type="auto"/>
            <w:vMerge/>
            <w:tcBorders>
              <w:top w:val="nil"/>
              <w:left w:val="nil"/>
              <w:bottom w:val="nil"/>
              <w:right w:val="nil"/>
            </w:tcBorders>
            <w:vAlign w:val="center"/>
            <w:hideMark/>
          </w:tcPr>
          <w:p w14:paraId="697602EA"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6F5AC21F" w14:textId="77777777" w:rsidR="00DF694E" w:rsidRPr="00DF694E" w:rsidRDefault="00DF694E">
            <w:pPr>
              <w:rPr>
                <w:rFonts w:ascii="Arial" w:hAnsi="Arial" w:cs="Arial"/>
                <w:sz w:val="20"/>
                <w:szCs w:val="20"/>
              </w:rPr>
            </w:pPr>
            <w:r w:rsidRPr="00DF694E">
              <w:rPr>
                <w:rFonts w:ascii="Arial" w:hAnsi="Arial" w:cs="Arial"/>
                <w:sz w:val="20"/>
                <w:szCs w:val="20"/>
              </w:rPr>
              <w:t>4.3±1.1</w:t>
            </w:r>
          </w:p>
        </w:tc>
        <w:tc>
          <w:tcPr>
            <w:tcW w:w="5400" w:type="dxa"/>
            <w:tcBorders>
              <w:top w:val="nil"/>
              <w:left w:val="nil"/>
              <w:bottom w:val="nil"/>
              <w:right w:val="nil"/>
            </w:tcBorders>
            <w:hideMark/>
          </w:tcPr>
          <w:p w14:paraId="07D61FFE" w14:textId="77777777" w:rsidR="00DF694E" w:rsidRPr="00DF694E" w:rsidRDefault="00DF694E">
            <w:pPr>
              <w:rPr>
                <w:rFonts w:ascii="Arial" w:hAnsi="Arial" w:cs="Arial"/>
                <w:sz w:val="20"/>
                <w:szCs w:val="20"/>
              </w:rPr>
            </w:pPr>
            <w:r w:rsidRPr="00DF694E">
              <w:rPr>
                <w:rFonts w:ascii="Arial" w:hAnsi="Arial" w:cs="Arial"/>
                <w:sz w:val="20"/>
                <w:szCs w:val="20"/>
              </w:rPr>
              <w:t>Estimated based on Boreal Fire Effects Model</w:t>
            </w:r>
          </w:p>
        </w:tc>
        <w:tc>
          <w:tcPr>
            <w:tcW w:w="2610" w:type="dxa"/>
            <w:tcBorders>
              <w:top w:val="nil"/>
              <w:left w:val="nil"/>
              <w:bottom w:val="nil"/>
              <w:right w:val="nil"/>
            </w:tcBorders>
            <w:hideMark/>
          </w:tcPr>
          <w:p w14:paraId="3C960926" w14:textId="15081780"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AuthorYear="1"&gt;&lt;Author&gt;de Groot&lt;/Author&gt;&lt;Year&gt;2007&lt;/Year&gt;&lt;RecNum&gt;58&lt;/RecNum&gt;&lt;DisplayText&gt;de Groot, et al. &lt;style face="superscript"&gt;8&lt;/style&gt;&lt;/DisplayText&gt;&lt;record&gt;&lt;rec-number&gt;58&lt;/rec-number&gt;&lt;foreign-keys&gt;&lt;key app="EN" db-id="rwwf2as9uepxr8epfdsvva5qt5rxtree9edp" timestamp="1588781470"&gt;58&lt;/key&gt;&lt;/foreign-keys&gt;&lt;ref-type name="Journal Article"&gt;17&lt;/ref-type&gt;&lt;contributors&gt;&lt;authors&gt;&lt;author&gt;de Groot, William&lt;/author&gt;&lt;author&gt;Landry, Robert&lt;/author&gt;&lt;author&gt;Kurz, Werner&lt;/author&gt;&lt;author&gt;Anderson, Kerry&lt;/author&gt;&lt;author&gt;Englefield, Peter&lt;/author&gt;&lt;author&gt;Fraser, Robert&lt;/author&gt;&lt;author&gt;Hall, R. J.&lt;/author&gt;&lt;author&gt;Banfield, George&lt;/author&gt;&lt;author&gt;Raymond, Donald&lt;/author&gt;&lt;author&gt;Decker, Vincent&lt;/author&gt;&lt;author&gt;Lynham, Tim&lt;/author&gt;&lt;author&gt;Pritchard, Janet&lt;/author&gt;&lt;/authors&gt;&lt;/contributors&gt;&lt;titles&gt;&lt;title&gt;Estimating direct carbon emissions from Canadian wildland fires&lt;/title&gt;&lt;secondary-title&gt;International Journal of Wildland Fire&lt;/secondary-title&gt;&lt;/titles&gt;&lt;periodical&gt;&lt;full-title&gt;International Journal of Wildland Fire&lt;/full-title&gt;&lt;/periodical&gt;&lt;volume&gt;16&lt;/volume&gt;&lt;dates&gt;&lt;year&gt;2007&lt;/year&gt;&lt;pub-dates&gt;&lt;date&gt;01/01&lt;/date&gt;&lt;/pub-dates&gt;&lt;/dates&gt;&lt;urls&gt;&lt;/urls&gt;&lt;electronic-resource-num&gt;10.1071/WF06150&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de Groot, et al. </w:t>
            </w:r>
            <w:r w:rsidRPr="00DF694E">
              <w:rPr>
                <w:rFonts w:ascii="Arial" w:hAnsi="Arial" w:cs="Arial"/>
                <w:noProof/>
                <w:sz w:val="20"/>
                <w:szCs w:val="20"/>
                <w:vertAlign w:val="superscript"/>
              </w:rPr>
              <w:t>8</w:t>
            </w:r>
            <w:r w:rsidRPr="00DF694E">
              <w:rPr>
                <w:rFonts w:ascii="Arial" w:hAnsi="Arial" w:cs="Arial"/>
                <w:sz w:val="20"/>
              </w:rPr>
              <w:fldChar w:fldCharType="end"/>
            </w:r>
          </w:p>
        </w:tc>
      </w:tr>
      <w:tr w:rsidR="00DF694E" w:rsidRPr="00DF694E" w14:paraId="604DB616" w14:textId="77777777" w:rsidTr="00DF694E">
        <w:tc>
          <w:tcPr>
            <w:tcW w:w="975" w:type="dxa"/>
            <w:tcBorders>
              <w:top w:val="nil"/>
              <w:left w:val="nil"/>
              <w:bottom w:val="nil"/>
              <w:right w:val="nil"/>
            </w:tcBorders>
          </w:tcPr>
          <w:p w14:paraId="3CA8D620"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342B63D7" w14:textId="77777777" w:rsidR="00DF694E" w:rsidRPr="00DF694E" w:rsidRDefault="00DF694E">
            <w:pPr>
              <w:rPr>
                <w:rFonts w:ascii="Arial" w:hAnsi="Arial" w:cs="Arial"/>
                <w:sz w:val="20"/>
                <w:szCs w:val="20"/>
              </w:rPr>
            </w:pPr>
            <w:r w:rsidRPr="00DF694E">
              <w:rPr>
                <w:rFonts w:ascii="Arial" w:hAnsi="Arial" w:cs="Arial"/>
                <w:sz w:val="20"/>
                <w:szCs w:val="20"/>
              </w:rPr>
              <w:t>3.35</w:t>
            </w:r>
          </w:p>
        </w:tc>
        <w:tc>
          <w:tcPr>
            <w:tcW w:w="5400" w:type="dxa"/>
            <w:tcBorders>
              <w:top w:val="nil"/>
              <w:left w:val="nil"/>
              <w:bottom w:val="nil"/>
              <w:right w:val="nil"/>
            </w:tcBorders>
            <w:hideMark/>
          </w:tcPr>
          <w:p w14:paraId="7FA1FD41"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047D91C4" w14:textId="0F8E82B7"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AuthorYear="1"&gt;&lt;Author&gt;Walker&lt;/Author&gt;&lt;Year&gt;2018&lt;/Year&gt;&lt;RecNum&gt;30&lt;/RecNum&gt;&lt;DisplayText&gt;Walker, et al. &lt;style face="superscript"&gt;9&lt;/style&gt;&lt;/DisplayText&gt;&lt;record&gt;&lt;rec-number&gt;30&lt;/rec-number&gt;&lt;foreign-keys&gt;&lt;key app="EN" db-id="rwwf2as9uepxr8epfdsvva5qt5rxtree9edp" timestamp="1588781421"&gt;30&lt;/key&gt;&lt;/foreign-keys&gt;&lt;ref-type name="Journal Article"&gt;17&lt;/ref-type&gt;&lt;contributors&gt;&lt;authors&gt;&lt;author&gt;Walker, Xanthe J.&lt;/author&gt;&lt;author&gt;Rogers, Brendan M.&lt;/author&gt;&lt;author&gt;Baltzer, Jennifer L.&lt;/author&gt;&lt;author&gt;Cumming, Steven G.&lt;/author&gt;&lt;author&gt;Day, Nicola J.&lt;/author&gt;&lt;author&gt;Goetz, Scott J.&lt;/author&gt;&lt;author&gt;Johnstone, Jill F.&lt;/author&gt;&lt;author&gt;Schuur, Edward A. G.&lt;/author&gt;&lt;author&gt;Turetsky, Merritt R.&lt;/author&gt;&lt;author&gt;Mack, Michelle C.&lt;/author&gt;&lt;/authors&gt;&lt;/contributors&gt;&lt;titles&gt;&lt;title&gt;Cross-scale controls on carbon emissions from boreal forest megafires&lt;/title&gt;&lt;secondary-title&gt;Global Change Biology&lt;/secondary-title&gt;&lt;/titles&gt;&lt;periodical&gt;&lt;full-title&gt;Global Change Biology&lt;/full-title&gt;&lt;/periodical&gt;&lt;pages&gt;4251-4265&lt;/pages&gt;&lt;volume&gt;24&lt;/volume&gt;&lt;number&gt;9&lt;/number&gt;&lt;dates&gt;&lt;year&gt;2018&lt;/year&gt;&lt;/dates&gt;&lt;isbn&gt;1354-1013&lt;/isbn&gt;&lt;urls&gt;&lt;related-urls&gt;&lt;url&gt;https://onlinelibrary.wiley.com/doi/abs/10.1111/gcb.14287&lt;/url&gt;&lt;/related-urls&gt;&lt;/urls&gt;&lt;electronic-resource-num&gt;10.1111/gcb.14287&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Walker, et al. </w:t>
            </w:r>
            <w:r w:rsidRPr="00DF694E">
              <w:rPr>
                <w:rFonts w:ascii="Arial" w:hAnsi="Arial" w:cs="Arial"/>
                <w:noProof/>
                <w:sz w:val="20"/>
                <w:szCs w:val="20"/>
                <w:vertAlign w:val="superscript"/>
              </w:rPr>
              <w:t>9</w:t>
            </w:r>
            <w:r w:rsidRPr="00DF694E">
              <w:rPr>
                <w:rFonts w:ascii="Arial" w:hAnsi="Arial" w:cs="Arial"/>
                <w:sz w:val="20"/>
              </w:rPr>
              <w:fldChar w:fldCharType="end"/>
            </w:r>
            <w:r w:rsidRPr="00DF694E">
              <w:rPr>
                <w:rFonts w:ascii="Arial" w:hAnsi="Arial" w:cs="Arial"/>
                <w:sz w:val="20"/>
                <w:szCs w:val="20"/>
              </w:rPr>
              <w:t xml:space="preserve"> </w:t>
            </w:r>
          </w:p>
        </w:tc>
      </w:tr>
      <w:tr w:rsidR="00DF694E" w:rsidRPr="00DF694E" w14:paraId="613CBD24" w14:textId="77777777" w:rsidTr="00DF694E">
        <w:tc>
          <w:tcPr>
            <w:tcW w:w="975" w:type="dxa"/>
            <w:vMerge w:val="restart"/>
            <w:tcBorders>
              <w:top w:val="nil"/>
              <w:left w:val="nil"/>
              <w:bottom w:val="nil"/>
              <w:right w:val="nil"/>
            </w:tcBorders>
            <w:hideMark/>
          </w:tcPr>
          <w:p w14:paraId="204F5870" w14:textId="77777777" w:rsidR="00DF694E" w:rsidRPr="00DF694E" w:rsidRDefault="00DF694E">
            <w:pPr>
              <w:rPr>
                <w:rFonts w:ascii="Arial" w:hAnsi="Arial" w:cs="Arial"/>
                <w:sz w:val="20"/>
                <w:szCs w:val="20"/>
              </w:rPr>
            </w:pPr>
            <w:r w:rsidRPr="00DF694E">
              <w:rPr>
                <w:rFonts w:ascii="Arial" w:hAnsi="Arial" w:cs="Arial"/>
                <w:sz w:val="20"/>
                <w:szCs w:val="20"/>
              </w:rPr>
              <w:t>North America</w:t>
            </w:r>
          </w:p>
        </w:tc>
        <w:tc>
          <w:tcPr>
            <w:tcW w:w="1365" w:type="dxa"/>
            <w:tcBorders>
              <w:top w:val="nil"/>
              <w:left w:val="nil"/>
              <w:bottom w:val="nil"/>
              <w:right w:val="nil"/>
            </w:tcBorders>
            <w:hideMark/>
          </w:tcPr>
          <w:p w14:paraId="1F00907D" w14:textId="77777777" w:rsidR="00DF694E" w:rsidRPr="00DF694E" w:rsidRDefault="00DF694E">
            <w:pPr>
              <w:rPr>
                <w:rFonts w:ascii="Arial" w:hAnsi="Arial" w:cs="Arial"/>
                <w:b/>
                <w:sz w:val="20"/>
                <w:szCs w:val="20"/>
              </w:rPr>
            </w:pPr>
            <w:r w:rsidRPr="00DF694E">
              <w:rPr>
                <w:rFonts w:ascii="Arial" w:hAnsi="Arial" w:cs="Arial"/>
                <w:b/>
                <w:sz w:val="20"/>
                <w:szCs w:val="20"/>
              </w:rPr>
              <w:t>2.0</w:t>
            </w:r>
          </w:p>
        </w:tc>
        <w:tc>
          <w:tcPr>
            <w:tcW w:w="5400" w:type="dxa"/>
            <w:tcBorders>
              <w:top w:val="nil"/>
              <w:left w:val="nil"/>
              <w:bottom w:val="nil"/>
              <w:right w:val="nil"/>
            </w:tcBorders>
            <w:hideMark/>
          </w:tcPr>
          <w:p w14:paraId="73B3D00B" w14:textId="77777777" w:rsidR="00DF694E" w:rsidRPr="00DF694E" w:rsidRDefault="00DF694E">
            <w:pPr>
              <w:rPr>
                <w:rFonts w:ascii="Arial" w:hAnsi="Arial" w:cs="Arial"/>
                <w:b/>
                <w:sz w:val="20"/>
                <w:szCs w:val="20"/>
              </w:rPr>
            </w:pPr>
            <w:r w:rsidRPr="00DF694E">
              <w:rPr>
                <w:rFonts w:ascii="Arial" w:hAnsi="Arial" w:cs="Arial"/>
                <w:b/>
                <w:sz w:val="20"/>
                <w:szCs w:val="20"/>
              </w:rPr>
              <w:t xml:space="preserve">Estimated from </w:t>
            </w:r>
            <w:proofErr w:type="spellStart"/>
            <w:r w:rsidRPr="00DF694E">
              <w:rPr>
                <w:rFonts w:ascii="Arial" w:hAnsi="Arial" w:cs="Arial"/>
                <w:b/>
                <w:sz w:val="20"/>
                <w:szCs w:val="20"/>
              </w:rPr>
              <w:t>dNBR</w:t>
            </w:r>
            <w:proofErr w:type="spellEnd"/>
            <w:r w:rsidRPr="00DF694E">
              <w:rPr>
                <w:rFonts w:ascii="Arial" w:hAnsi="Arial" w:cs="Arial"/>
                <w:b/>
                <w:sz w:val="20"/>
                <w:szCs w:val="20"/>
              </w:rPr>
              <w:t xml:space="preserve"> and C stock</w:t>
            </w:r>
          </w:p>
        </w:tc>
        <w:tc>
          <w:tcPr>
            <w:tcW w:w="2610" w:type="dxa"/>
            <w:tcBorders>
              <w:top w:val="nil"/>
              <w:left w:val="nil"/>
              <w:bottom w:val="nil"/>
              <w:right w:val="nil"/>
            </w:tcBorders>
            <w:hideMark/>
          </w:tcPr>
          <w:p w14:paraId="54411E85" w14:textId="77777777" w:rsidR="00DF694E" w:rsidRPr="00DF694E" w:rsidRDefault="00DF694E">
            <w:pPr>
              <w:rPr>
                <w:rFonts w:ascii="Arial" w:hAnsi="Arial" w:cs="Arial"/>
                <w:b/>
                <w:sz w:val="20"/>
                <w:szCs w:val="20"/>
              </w:rPr>
            </w:pPr>
            <w:r w:rsidRPr="00DF694E">
              <w:rPr>
                <w:rFonts w:ascii="Arial" w:hAnsi="Arial" w:cs="Arial"/>
                <w:b/>
                <w:sz w:val="20"/>
                <w:szCs w:val="20"/>
              </w:rPr>
              <w:t>This study</w:t>
            </w:r>
          </w:p>
        </w:tc>
      </w:tr>
      <w:tr w:rsidR="00DF694E" w:rsidRPr="00DF694E" w14:paraId="77C93F36" w14:textId="77777777" w:rsidTr="00DF694E">
        <w:tc>
          <w:tcPr>
            <w:tcW w:w="0" w:type="auto"/>
            <w:vMerge/>
            <w:tcBorders>
              <w:top w:val="nil"/>
              <w:left w:val="nil"/>
              <w:bottom w:val="nil"/>
              <w:right w:val="nil"/>
            </w:tcBorders>
            <w:vAlign w:val="center"/>
            <w:hideMark/>
          </w:tcPr>
          <w:p w14:paraId="7230EC56"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59E78C69" w14:textId="77777777" w:rsidR="00DF694E" w:rsidRPr="00DF694E" w:rsidRDefault="00DF694E">
            <w:pPr>
              <w:rPr>
                <w:rFonts w:ascii="Arial" w:hAnsi="Arial" w:cs="Arial"/>
                <w:sz w:val="20"/>
                <w:szCs w:val="20"/>
              </w:rPr>
            </w:pPr>
            <w:r w:rsidRPr="00DF694E">
              <w:rPr>
                <w:rFonts w:ascii="Arial" w:hAnsi="Arial" w:cs="Arial"/>
                <w:sz w:val="20"/>
                <w:szCs w:val="20"/>
              </w:rPr>
              <w:t>2.7</w:t>
            </w:r>
          </w:p>
        </w:tc>
        <w:tc>
          <w:tcPr>
            <w:tcW w:w="5400" w:type="dxa"/>
            <w:tcBorders>
              <w:top w:val="nil"/>
              <w:left w:val="nil"/>
              <w:bottom w:val="nil"/>
              <w:right w:val="nil"/>
            </w:tcBorders>
            <w:hideMark/>
          </w:tcPr>
          <w:p w14:paraId="23028B03" w14:textId="77777777" w:rsidR="00DF694E" w:rsidRPr="00DF694E" w:rsidRDefault="00DF694E">
            <w:pPr>
              <w:rPr>
                <w:rFonts w:ascii="Arial" w:hAnsi="Arial" w:cs="Arial"/>
                <w:sz w:val="20"/>
                <w:szCs w:val="20"/>
              </w:rPr>
            </w:pPr>
            <w:r w:rsidRPr="00DF694E">
              <w:rPr>
                <w:rFonts w:ascii="Arial" w:hAnsi="Arial" w:cs="Arial"/>
                <w:sz w:val="20"/>
                <w:szCs w:val="20"/>
              </w:rPr>
              <w:t>Estimated based on tree cover, climate and fire persistence</w:t>
            </w:r>
          </w:p>
        </w:tc>
        <w:tc>
          <w:tcPr>
            <w:tcW w:w="2610" w:type="dxa"/>
            <w:tcBorders>
              <w:top w:val="nil"/>
              <w:left w:val="nil"/>
              <w:bottom w:val="nil"/>
              <w:right w:val="nil"/>
            </w:tcBorders>
            <w:hideMark/>
          </w:tcPr>
          <w:p w14:paraId="339BB706" w14:textId="2121BFD6"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AuthorYear="1"&gt;&lt;Author&gt;van der Werf&lt;/Author&gt;&lt;Year&gt;2010&lt;/Year&gt;&lt;RecNum&gt;89&lt;/RecNum&gt;&lt;DisplayText&gt;van der Werf, et al. &lt;style face="superscript"&gt;10&lt;/style&gt;&lt;/DisplayText&gt;&lt;record&gt;&lt;rec-number&gt;89&lt;/rec-number&gt;&lt;foreign-keys&gt;&lt;key app="EN" db-id="rwwf2as9uepxr8epfdsvva5qt5rxtree9edp" timestamp="1588781555"&gt;89&lt;/key&gt;&lt;/foreign-keys&gt;&lt;ref-type name="Journal Article"&gt;17&lt;/ref-type&gt;&lt;contributors&gt;&lt;authors&gt;&lt;author&gt;van der Werf, G. R.&lt;/author&gt;&lt;author&gt;Randerson, J. T.&lt;/author&gt;&lt;author&gt;Giglio, L.&lt;/author&gt;&lt;author&gt;Collatz, G. J.&lt;/author&gt;&lt;author&gt;Mu, M.&lt;/author&gt;&lt;author&gt;Kasibhatla, P. S.&lt;/author&gt;&lt;author&gt;Morton, D. C.&lt;/author&gt;&lt;author&gt;DeFries, R. S.&lt;/author&gt;&lt;author&gt;Jin, Y.&lt;/author&gt;&lt;author&gt;van Leeuwen, T. T.&lt;/author&gt;&lt;/authors&gt;&lt;/contributors&gt;&lt;titles&gt;&lt;title&gt;Global fire emissions and the contribution of deforestation, savanna, forest, agricultural, and peat fires (1997–2009)&lt;/title&gt;&lt;secondary-title&gt;Atmos. Chem. Phys.&lt;/secondary-title&gt;&lt;/titles&gt;&lt;periodical&gt;&lt;full-title&gt;Atmos. Chem. Phys.&lt;/full-title&gt;&lt;/periodical&gt;&lt;pages&gt;11707-11735&lt;/pages&gt;&lt;volume&gt;10&lt;/volume&gt;&lt;number&gt;23&lt;/number&gt;&lt;dates&gt;&lt;year&gt;2010&lt;/year&gt;&lt;/dates&gt;&lt;publisher&gt;Copernicus Publications&lt;/publisher&gt;&lt;isbn&gt;1680-7324&lt;/isbn&gt;&lt;urls&gt;&lt;related-urls&gt;&lt;url&gt;https://www.atmos-chem-phys.net/10/11707/2010/&lt;/url&gt;&lt;/related-urls&gt;&lt;pdf-urls&gt;&lt;url&gt;https://www.atmos-chem-phys.net/10/11707/2010/acp-10-11707-2010.pdf&lt;/url&gt;&lt;/pdf-urls&gt;&lt;/urls&gt;&lt;electronic-resource-num&gt;10.5194/acp-10-11707-2010&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van der Werf, et al. </w:t>
            </w:r>
            <w:r w:rsidRPr="00DF694E">
              <w:rPr>
                <w:rFonts w:ascii="Arial" w:hAnsi="Arial" w:cs="Arial"/>
                <w:noProof/>
                <w:sz w:val="20"/>
                <w:szCs w:val="20"/>
                <w:vertAlign w:val="superscript"/>
              </w:rPr>
              <w:t>10</w:t>
            </w:r>
            <w:r w:rsidRPr="00DF694E">
              <w:rPr>
                <w:rFonts w:ascii="Arial" w:hAnsi="Arial" w:cs="Arial"/>
                <w:sz w:val="20"/>
              </w:rPr>
              <w:fldChar w:fldCharType="end"/>
            </w:r>
          </w:p>
        </w:tc>
      </w:tr>
      <w:tr w:rsidR="00DF694E" w:rsidRPr="00DF694E" w14:paraId="37A2F1D7" w14:textId="77777777" w:rsidTr="00DF694E">
        <w:tc>
          <w:tcPr>
            <w:tcW w:w="975" w:type="dxa"/>
            <w:vMerge w:val="restart"/>
            <w:tcBorders>
              <w:top w:val="nil"/>
              <w:left w:val="nil"/>
              <w:bottom w:val="single" w:sz="4" w:space="0" w:color="auto"/>
              <w:right w:val="nil"/>
            </w:tcBorders>
            <w:hideMark/>
          </w:tcPr>
          <w:p w14:paraId="7E8AF93E" w14:textId="77777777" w:rsidR="00DF694E" w:rsidRPr="00DF694E" w:rsidRDefault="00DF694E">
            <w:pPr>
              <w:rPr>
                <w:rFonts w:ascii="Arial" w:hAnsi="Arial" w:cs="Arial"/>
                <w:sz w:val="20"/>
                <w:szCs w:val="20"/>
              </w:rPr>
            </w:pPr>
            <w:r w:rsidRPr="00DF694E">
              <w:rPr>
                <w:rFonts w:ascii="Arial" w:hAnsi="Arial" w:cs="Arial"/>
                <w:sz w:val="20"/>
                <w:szCs w:val="20"/>
              </w:rPr>
              <w:t>Global</w:t>
            </w:r>
          </w:p>
        </w:tc>
        <w:tc>
          <w:tcPr>
            <w:tcW w:w="1365" w:type="dxa"/>
            <w:tcBorders>
              <w:top w:val="nil"/>
              <w:left w:val="nil"/>
              <w:bottom w:val="nil"/>
              <w:right w:val="nil"/>
            </w:tcBorders>
            <w:hideMark/>
          </w:tcPr>
          <w:p w14:paraId="3488BED4" w14:textId="77777777" w:rsidR="00DF694E" w:rsidRPr="00DF694E" w:rsidRDefault="00DF694E">
            <w:pPr>
              <w:rPr>
                <w:rFonts w:ascii="Arial" w:hAnsi="Arial" w:cs="Arial"/>
                <w:sz w:val="20"/>
                <w:szCs w:val="20"/>
              </w:rPr>
            </w:pPr>
            <w:r w:rsidRPr="00DF694E">
              <w:rPr>
                <w:rFonts w:ascii="Arial" w:hAnsi="Arial" w:cs="Arial"/>
                <w:sz w:val="20"/>
                <w:szCs w:val="20"/>
              </w:rPr>
              <w:t>2.6-3.3</w:t>
            </w:r>
          </w:p>
        </w:tc>
        <w:tc>
          <w:tcPr>
            <w:tcW w:w="5400" w:type="dxa"/>
            <w:tcBorders>
              <w:top w:val="nil"/>
              <w:left w:val="nil"/>
              <w:bottom w:val="nil"/>
              <w:right w:val="nil"/>
            </w:tcBorders>
            <w:hideMark/>
          </w:tcPr>
          <w:p w14:paraId="7D0D95DE" w14:textId="77777777" w:rsidR="00DF694E" w:rsidRPr="00DF694E" w:rsidRDefault="00DF694E">
            <w:pPr>
              <w:rPr>
                <w:rFonts w:ascii="Arial" w:hAnsi="Arial" w:cs="Arial"/>
                <w:sz w:val="20"/>
                <w:szCs w:val="20"/>
              </w:rPr>
            </w:pPr>
            <w:r w:rsidRPr="00DF694E">
              <w:rPr>
                <w:rFonts w:ascii="Arial" w:hAnsi="Arial" w:cs="Arial"/>
                <w:sz w:val="20"/>
                <w:szCs w:val="20"/>
              </w:rPr>
              <w:t>Model simulation based on baseline conditions</w:t>
            </w:r>
          </w:p>
        </w:tc>
        <w:tc>
          <w:tcPr>
            <w:tcW w:w="2610" w:type="dxa"/>
            <w:tcBorders>
              <w:top w:val="nil"/>
              <w:left w:val="nil"/>
              <w:bottom w:val="nil"/>
              <w:right w:val="nil"/>
            </w:tcBorders>
            <w:hideMark/>
          </w:tcPr>
          <w:p w14:paraId="0D3B5119" w14:textId="7316D444"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AuthorYear="1"&gt;&lt;Author&gt;Kasischke&lt;/Author&gt;&lt;Year&gt;1995&lt;/Year&gt;&lt;RecNum&gt;65&lt;/RecNum&gt;&lt;DisplayText&gt;Kasischke, et al. &lt;style face="superscript"&gt;11&lt;/style&gt;&lt;/DisplayText&gt;&lt;record&gt;&lt;rec-number&gt;65&lt;/rec-number&gt;&lt;foreign-keys&gt;&lt;key app="EN" db-id="rwwf2as9uepxr8epfdsvva5qt5rxtree9edp" timestamp="1588781483"&gt;65&lt;/key&gt;&lt;/foreign-keys&gt;&lt;ref-type name="Journal Article"&gt;17&lt;/ref-type&gt;&lt;contributors&gt;&lt;authors&gt;&lt;author&gt;Kasischke, Eric S.&lt;/author&gt;&lt;author&gt;Christensen, N. L.&lt;/author&gt;&lt;author&gt;Stocks, Brian J.&lt;/author&gt;&lt;/authors&gt;&lt;/contributors&gt;&lt;titles&gt;&lt;title&gt;Fire, Global Warming, and the Carbon Balance of Boreal Forests&lt;/title&gt;&lt;secondary-title&gt;Ecological Applications&lt;/secondary-title&gt;&lt;/titles&gt;&lt;periodical&gt;&lt;full-title&gt;Ecological Applications&lt;/full-title&gt;&lt;/periodical&gt;&lt;pages&gt;437-451&lt;/pages&gt;&lt;volume&gt;5&lt;/volume&gt;&lt;number&gt;2&lt;/number&gt;&lt;dates&gt;&lt;year&gt;1995&lt;/year&gt;&lt;/dates&gt;&lt;publisher&gt;Ecological Society of America&lt;/publisher&gt;&lt;isbn&gt;10510761&lt;/isbn&gt;&lt;urls&gt;&lt;related-urls&gt;&lt;url&gt;www.jstor.org/stable/1942034&lt;/url&gt;&lt;/related-urls&gt;&lt;/urls&gt;&lt;custom1&gt;Full publication date: May, 1995&lt;/custom1&gt;&lt;electronic-resource-num&gt;10.2307/1942034&lt;/electronic-resource-num&gt;&lt;remote-database-name&gt;JSTOR&lt;/remote-database-name&gt;&lt;access-date&gt;2020/04/27/&lt;/access-date&gt;&lt;/record&gt;&lt;/Cite&gt;&lt;/EndNote&gt;</w:instrText>
            </w:r>
            <w:r w:rsidRPr="00DF694E">
              <w:rPr>
                <w:rFonts w:ascii="Arial" w:hAnsi="Arial" w:cs="Arial"/>
                <w:sz w:val="20"/>
              </w:rPr>
              <w:fldChar w:fldCharType="separate"/>
            </w:r>
            <w:r>
              <w:rPr>
                <w:rFonts w:ascii="Arial" w:hAnsi="Arial" w:cs="Arial"/>
                <w:noProof/>
                <w:sz w:val="20"/>
                <w:szCs w:val="20"/>
              </w:rPr>
              <w:t xml:space="preserve">Kasischke, et al. </w:t>
            </w:r>
            <w:r w:rsidRPr="00DF694E">
              <w:rPr>
                <w:rFonts w:ascii="Arial" w:hAnsi="Arial" w:cs="Arial"/>
                <w:noProof/>
                <w:sz w:val="20"/>
                <w:szCs w:val="20"/>
                <w:vertAlign w:val="superscript"/>
              </w:rPr>
              <w:t>11</w:t>
            </w:r>
            <w:r w:rsidRPr="00DF694E">
              <w:rPr>
                <w:rFonts w:ascii="Arial" w:hAnsi="Arial" w:cs="Arial"/>
                <w:sz w:val="20"/>
              </w:rPr>
              <w:fldChar w:fldCharType="end"/>
            </w:r>
          </w:p>
        </w:tc>
      </w:tr>
      <w:tr w:rsidR="00DF694E" w:rsidRPr="00DF694E" w14:paraId="40B661A6" w14:textId="77777777" w:rsidTr="00DF694E">
        <w:tc>
          <w:tcPr>
            <w:tcW w:w="0" w:type="auto"/>
            <w:vMerge/>
            <w:tcBorders>
              <w:top w:val="nil"/>
              <w:left w:val="nil"/>
              <w:bottom w:val="single" w:sz="4" w:space="0" w:color="auto"/>
              <w:right w:val="nil"/>
            </w:tcBorders>
            <w:vAlign w:val="center"/>
            <w:hideMark/>
          </w:tcPr>
          <w:p w14:paraId="0124A312" w14:textId="77777777" w:rsidR="00DF694E" w:rsidRPr="00DF694E" w:rsidRDefault="00DF694E">
            <w:pPr>
              <w:rPr>
                <w:rFonts w:ascii="Arial" w:hAnsi="Arial" w:cs="Arial"/>
                <w:sz w:val="20"/>
                <w:szCs w:val="20"/>
              </w:rPr>
            </w:pPr>
          </w:p>
        </w:tc>
        <w:tc>
          <w:tcPr>
            <w:tcW w:w="1365" w:type="dxa"/>
            <w:tcBorders>
              <w:top w:val="nil"/>
              <w:left w:val="nil"/>
              <w:bottom w:val="single" w:sz="4" w:space="0" w:color="auto"/>
              <w:right w:val="nil"/>
            </w:tcBorders>
            <w:hideMark/>
          </w:tcPr>
          <w:p w14:paraId="75909478" w14:textId="77777777" w:rsidR="00DF694E" w:rsidRPr="00DF694E" w:rsidRDefault="00DF694E">
            <w:pPr>
              <w:rPr>
                <w:rFonts w:ascii="Arial" w:hAnsi="Arial" w:cs="Arial"/>
                <w:sz w:val="20"/>
                <w:szCs w:val="20"/>
              </w:rPr>
            </w:pPr>
            <w:r w:rsidRPr="00DF694E">
              <w:rPr>
                <w:rFonts w:ascii="Arial" w:hAnsi="Arial" w:cs="Arial"/>
                <w:sz w:val="20"/>
                <w:szCs w:val="20"/>
              </w:rPr>
              <w:t>1.1-2.8</w:t>
            </w:r>
          </w:p>
        </w:tc>
        <w:tc>
          <w:tcPr>
            <w:tcW w:w="5400" w:type="dxa"/>
            <w:tcBorders>
              <w:top w:val="nil"/>
              <w:left w:val="nil"/>
              <w:bottom w:val="single" w:sz="4" w:space="0" w:color="auto"/>
              <w:right w:val="nil"/>
            </w:tcBorders>
            <w:hideMark/>
          </w:tcPr>
          <w:p w14:paraId="469CC2DF" w14:textId="77777777" w:rsidR="00DF694E" w:rsidRPr="00DF694E" w:rsidRDefault="00DF694E">
            <w:pPr>
              <w:rPr>
                <w:rFonts w:ascii="Arial" w:hAnsi="Arial" w:cs="Arial"/>
                <w:sz w:val="20"/>
                <w:szCs w:val="20"/>
              </w:rPr>
            </w:pPr>
            <w:r w:rsidRPr="00DF694E">
              <w:rPr>
                <w:rFonts w:ascii="Arial" w:hAnsi="Arial" w:cs="Arial"/>
                <w:sz w:val="20"/>
                <w:szCs w:val="20"/>
              </w:rPr>
              <w:t>Estimated from Boreal Wildland-Fire Emissions Model</w:t>
            </w:r>
          </w:p>
        </w:tc>
        <w:tc>
          <w:tcPr>
            <w:tcW w:w="2610" w:type="dxa"/>
            <w:tcBorders>
              <w:top w:val="nil"/>
              <w:left w:val="nil"/>
              <w:bottom w:val="single" w:sz="4" w:space="0" w:color="auto"/>
              <w:right w:val="nil"/>
            </w:tcBorders>
            <w:hideMark/>
          </w:tcPr>
          <w:p w14:paraId="06ECAD06" w14:textId="37636E57"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AuthorYear="1"&gt;&lt;Author&gt;Kasischke&lt;/Author&gt;&lt;Year&gt;2005&lt;/Year&gt;&lt;RecNum&gt;66&lt;/RecNum&gt;&lt;DisplayText&gt;Kasischke, et al. &lt;style face="superscript"&gt;12&lt;/style&gt;&lt;/DisplayText&gt;&lt;record&gt;&lt;rec-number&gt;66&lt;/rec-number&gt;&lt;foreign-keys&gt;&lt;key app="EN" db-id="rwwf2as9uepxr8epfdsvva5qt5rxtree9edp" timestamp="1588781487"&gt;66&lt;/key&gt;&lt;/foreign-keys&gt;&lt;ref-type name="Journal Article"&gt;17&lt;/ref-type&gt;&lt;contributors&gt;&lt;authors&gt;&lt;author&gt;Kasischke, Eric S.&lt;/author&gt;&lt;author&gt;Hyer, Edward J.&lt;/author&gt;&lt;author&gt;Novelli, Paul C.&lt;/author&gt;&lt;author&gt;Bruhwiler, Lori P.&lt;/author&gt;&lt;author&gt;French, Nancy H. F.&lt;/author&gt;&lt;author&gt;Sukhinin, Anatoly I.&lt;/author&gt;&lt;author&gt;Hewson, Jennifer H.&lt;/author&gt;&lt;author&gt;Stocks, Brian J.&lt;/author&gt;&lt;/authors&gt;&lt;/contributors&gt;&lt;titles&gt;&lt;title&gt;Influences of boreal fire emissions on Northern Hemisphere atmospheric carbon and carbon monoxide&lt;/title&gt;&lt;secondary-title&gt;Global Biogeochemical Cycles&lt;/secondary-title&gt;&lt;/titles&gt;&lt;periodical&gt;&lt;full-title&gt;Global Biogeochemical Cycles&lt;/full-title&gt;&lt;/periodical&gt;&lt;volume&gt;19&lt;/volume&gt;&lt;number&gt;1&lt;/number&gt;&lt;keywords&gt;&lt;keyword&gt;wildland fire&lt;/keyword&gt;&lt;keyword&gt;boreal forest&lt;/keyword&gt;&lt;keyword&gt;trace gas emissions&lt;/keyword&gt;&lt;keyword&gt;carbon&lt;/keyword&gt;&lt;keyword&gt;carbon monoxide&lt;/keyword&gt;&lt;/keywords&gt;&lt;dates&gt;&lt;year&gt;2005&lt;/year&gt;&lt;pub-dates&gt;&lt;date&gt;2005/03/01&lt;/date&gt;&lt;/pub-dates&gt;&lt;/dates&gt;&lt;publisher&gt;John Wiley &amp;amp; Sons, Ltd&lt;/publisher&gt;&lt;isbn&gt;0886-6236&lt;/isbn&gt;&lt;urls&gt;&lt;related-urls&gt;&lt;url&gt;https://doi.org/10.1029/2004GB002300&lt;/url&gt;&lt;/related-urls&gt;&lt;/urls&gt;&lt;electronic-resource-num&gt;10.1029/2004GB002300&lt;/electronic-resource-num&gt;&lt;access-date&gt;2020/04/01&lt;/access-date&gt;&lt;/record&gt;&lt;/Cite&gt;&lt;/EndNote&gt;</w:instrText>
            </w:r>
            <w:r w:rsidRPr="00DF694E">
              <w:rPr>
                <w:rFonts w:ascii="Arial" w:hAnsi="Arial" w:cs="Arial"/>
                <w:sz w:val="20"/>
              </w:rPr>
              <w:fldChar w:fldCharType="separate"/>
            </w:r>
            <w:r>
              <w:rPr>
                <w:rFonts w:ascii="Arial" w:hAnsi="Arial" w:cs="Arial"/>
                <w:noProof/>
                <w:sz w:val="20"/>
                <w:szCs w:val="20"/>
              </w:rPr>
              <w:t xml:space="preserve">Kasischke, et al. </w:t>
            </w:r>
            <w:r w:rsidRPr="00DF694E">
              <w:rPr>
                <w:rFonts w:ascii="Arial" w:hAnsi="Arial" w:cs="Arial"/>
                <w:noProof/>
                <w:sz w:val="20"/>
                <w:szCs w:val="20"/>
                <w:vertAlign w:val="superscript"/>
              </w:rPr>
              <w:t>12</w:t>
            </w:r>
            <w:r w:rsidRPr="00DF694E">
              <w:rPr>
                <w:rFonts w:ascii="Arial" w:hAnsi="Arial" w:cs="Arial"/>
                <w:sz w:val="20"/>
              </w:rPr>
              <w:fldChar w:fldCharType="end"/>
            </w:r>
          </w:p>
        </w:tc>
      </w:tr>
    </w:tbl>
    <w:p w14:paraId="414FDD90" w14:textId="77777777" w:rsidR="00EA2C5D" w:rsidRDefault="00EA2C5D" w:rsidP="00EA2C5D">
      <w:pPr>
        <w:rPr>
          <w:rFonts w:ascii="Arial" w:hAnsi="Arial" w:cs="Arial"/>
          <w:b/>
          <w:sz w:val="20"/>
        </w:rPr>
      </w:pPr>
      <w:r>
        <w:rPr>
          <w:rFonts w:ascii="Arial" w:hAnsi="Arial" w:cs="Arial"/>
          <w:b/>
          <w:sz w:val="20"/>
        </w:rPr>
        <w:br w:type="page"/>
      </w:r>
    </w:p>
    <w:p w14:paraId="53983701" w14:textId="04D40E11" w:rsidR="00B4734E" w:rsidRPr="00FB3374" w:rsidRDefault="00EA2C5D" w:rsidP="00FB3374">
      <w:pPr>
        <w:pStyle w:val="SMHeading"/>
        <w:rPr>
          <w:rFonts w:ascii="Arial" w:hAnsi="Arial" w:cs="Arial"/>
          <w:sz w:val="20"/>
          <w:szCs w:val="20"/>
        </w:rPr>
      </w:pPr>
      <w:r w:rsidRPr="00EA2C5D">
        <w:rPr>
          <w:rFonts w:ascii="Arial" w:hAnsi="Arial" w:cs="Arial"/>
          <w:sz w:val="20"/>
          <w:szCs w:val="20"/>
        </w:rPr>
        <w:lastRenderedPageBreak/>
        <w:t xml:space="preserve">Supplementary Table </w:t>
      </w:r>
      <w:r>
        <w:rPr>
          <w:rFonts w:ascii="Arial" w:hAnsi="Arial" w:cs="Arial"/>
          <w:sz w:val="20"/>
          <w:szCs w:val="20"/>
        </w:rPr>
        <w:t>2</w:t>
      </w:r>
      <w:r w:rsidR="00B4734E" w:rsidRPr="00EA2C5D">
        <w:rPr>
          <w:rFonts w:ascii="Arial" w:hAnsi="Arial" w:cs="Arial"/>
          <w:sz w:val="20"/>
          <w:szCs w:val="20"/>
        </w:rPr>
        <w:t>.</w:t>
      </w:r>
      <w:r w:rsidR="00B4734E" w:rsidRPr="00FB3374">
        <w:rPr>
          <w:rFonts w:ascii="Arial" w:hAnsi="Arial" w:cs="Arial"/>
          <w:sz w:val="20"/>
          <w:szCs w:val="20"/>
        </w:rPr>
        <w:t xml:space="preserve"> </w:t>
      </w:r>
      <w:r w:rsidR="00B4734E" w:rsidRPr="00EA2C5D">
        <w:rPr>
          <w:rFonts w:ascii="Arial" w:hAnsi="Arial" w:cs="Arial"/>
          <w:b w:val="0"/>
          <w:sz w:val="20"/>
          <w:szCs w:val="20"/>
        </w:rPr>
        <w:t>Comparison between modeled and field-measured variables</w:t>
      </w:r>
    </w:p>
    <w:p w14:paraId="4ED8B2A7" w14:textId="77777777" w:rsidR="00B4734E" w:rsidRPr="00B4734E" w:rsidRDefault="00B4734E" w:rsidP="00B4734E">
      <w:pPr>
        <w:contextualSpacing/>
        <w:rPr>
          <w:rFonts w:ascii="Arial" w:hAnsi="Arial" w:cs="Arial"/>
          <w:b/>
          <w:sz w:val="20"/>
        </w:rPr>
      </w:pPr>
    </w:p>
    <w:tbl>
      <w:tblPr>
        <w:tblStyle w:val="TableGrid"/>
        <w:tblW w:w="11472" w:type="dxa"/>
        <w:tblInd w:w="-130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530"/>
        <w:gridCol w:w="1392"/>
        <w:gridCol w:w="1218"/>
        <w:gridCol w:w="540"/>
        <w:gridCol w:w="360"/>
        <w:gridCol w:w="1752"/>
        <w:gridCol w:w="1080"/>
        <w:gridCol w:w="318"/>
        <w:gridCol w:w="1482"/>
        <w:gridCol w:w="1080"/>
      </w:tblGrid>
      <w:tr w:rsidR="00B4734E" w:rsidRPr="00EA2C5D" w14:paraId="3CCDE88F" w14:textId="77777777" w:rsidTr="008D4038">
        <w:tc>
          <w:tcPr>
            <w:tcW w:w="720" w:type="dxa"/>
            <w:tcBorders>
              <w:top w:val="single" w:sz="4" w:space="0" w:color="auto"/>
              <w:bottom w:val="single" w:sz="4" w:space="0" w:color="auto"/>
            </w:tcBorders>
            <w:vAlign w:val="center"/>
          </w:tcPr>
          <w:p w14:paraId="11830E63" w14:textId="77777777" w:rsidR="00B4734E" w:rsidRPr="00EA2C5D" w:rsidRDefault="00B4734E" w:rsidP="00B4734E">
            <w:pPr>
              <w:contextualSpacing/>
              <w:rPr>
                <w:rFonts w:ascii="Arial" w:eastAsia="Times New Roman" w:hAnsi="Arial" w:cs="Arial"/>
                <w:sz w:val="20"/>
                <w:szCs w:val="20"/>
              </w:rPr>
            </w:pPr>
            <w:r w:rsidRPr="00EA2C5D">
              <w:rPr>
                <w:rFonts w:ascii="Arial" w:eastAsia="Times New Roman" w:hAnsi="Arial" w:cs="Arial"/>
                <w:sz w:val="20"/>
                <w:szCs w:val="20"/>
              </w:rPr>
              <w:t>Burn year</w:t>
            </w:r>
          </w:p>
        </w:tc>
        <w:tc>
          <w:tcPr>
            <w:tcW w:w="1530" w:type="dxa"/>
            <w:tcBorders>
              <w:top w:val="single" w:sz="4" w:space="0" w:color="auto"/>
              <w:bottom w:val="single" w:sz="4" w:space="0" w:color="auto"/>
            </w:tcBorders>
            <w:vAlign w:val="center"/>
          </w:tcPr>
          <w:p w14:paraId="6BCBAA7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Soil organic layer thickness (cm)</w:t>
            </w:r>
          </w:p>
        </w:tc>
        <w:tc>
          <w:tcPr>
            <w:tcW w:w="1392" w:type="dxa"/>
            <w:tcBorders>
              <w:top w:val="single" w:sz="4" w:space="0" w:color="auto"/>
              <w:bottom w:val="single" w:sz="4" w:space="0" w:color="auto"/>
            </w:tcBorders>
            <w:vAlign w:val="center"/>
          </w:tcPr>
          <w:p w14:paraId="7F5710B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Estimated soil combustion (%)</w:t>
            </w:r>
          </w:p>
        </w:tc>
        <w:tc>
          <w:tcPr>
            <w:tcW w:w="1218" w:type="dxa"/>
            <w:tcBorders>
              <w:top w:val="single" w:sz="4" w:space="0" w:color="auto"/>
              <w:bottom w:val="single" w:sz="4" w:space="0" w:color="auto"/>
            </w:tcBorders>
            <w:vAlign w:val="center"/>
          </w:tcPr>
          <w:p w14:paraId="4A28F799" w14:textId="77777777" w:rsidR="00B4734E" w:rsidRPr="00EA2C5D" w:rsidRDefault="00B4734E" w:rsidP="00B4734E">
            <w:pPr>
              <w:contextualSpacing/>
              <w:rPr>
                <w:rFonts w:ascii="Arial" w:eastAsia="Times New Roman" w:hAnsi="Arial" w:cs="Arial"/>
                <w:color w:val="000000"/>
                <w:sz w:val="20"/>
                <w:szCs w:val="20"/>
              </w:rPr>
            </w:pPr>
            <w:proofErr w:type="spellStart"/>
            <w:r w:rsidRPr="00EA2C5D">
              <w:rPr>
                <w:rFonts w:ascii="Arial" w:eastAsia="Times New Roman" w:hAnsi="Arial" w:cs="Arial"/>
                <w:color w:val="000000"/>
                <w:sz w:val="20"/>
                <w:szCs w:val="20"/>
              </w:rPr>
              <w:t>dNBR</w:t>
            </w:r>
            <w:proofErr w:type="spellEnd"/>
          </w:p>
        </w:tc>
        <w:tc>
          <w:tcPr>
            <w:tcW w:w="900" w:type="dxa"/>
            <w:gridSpan w:val="2"/>
            <w:tcBorders>
              <w:top w:val="single" w:sz="4" w:space="0" w:color="auto"/>
              <w:bottom w:val="single" w:sz="4" w:space="0" w:color="auto"/>
            </w:tcBorders>
            <w:vAlign w:val="center"/>
          </w:tcPr>
          <w:p w14:paraId="20AF8E90" w14:textId="77777777" w:rsidR="00B4734E" w:rsidRPr="00EA2C5D" w:rsidRDefault="00B4734E" w:rsidP="00B4734E">
            <w:pPr>
              <w:contextualSpacing/>
              <w:rPr>
                <w:rFonts w:ascii="Arial" w:eastAsia="Times New Roman" w:hAnsi="Arial" w:cs="Arial"/>
                <w:color w:val="000000"/>
                <w:sz w:val="20"/>
                <w:szCs w:val="20"/>
              </w:rPr>
            </w:pPr>
          </w:p>
        </w:tc>
        <w:tc>
          <w:tcPr>
            <w:tcW w:w="2832" w:type="dxa"/>
            <w:gridSpan w:val="2"/>
            <w:tcBorders>
              <w:top w:val="single" w:sz="4" w:space="0" w:color="auto"/>
              <w:bottom w:val="single" w:sz="4" w:space="0" w:color="auto"/>
            </w:tcBorders>
            <w:vAlign w:val="center"/>
          </w:tcPr>
          <w:p w14:paraId="09FCE5F6" w14:textId="18C408EA" w:rsidR="00B4734E" w:rsidRPr="00EA2C5D" w:rsidRDefault="003712EB" w:rsidP="00B4734E">
            <w:pPr>
              <w:contextualSpacing/>
              <w:rPr>
                <w:rFonts w:ascii="Arial" w:hAnsi="Arial" w:cs="Arial"/>
                <w:sz w:val="20"/>
                <w:szCs w:val="20"/>
              </w:rPr>
            </w:pPr>
            <w:r w:rsidRPr="00EA2C5D">
              <w:rPr>
                <w:rFonts w:ascii="Arial" w:eastAsia="Times New Roman" w:hAnsi="Arial" w:cs="Arial"/>
                <w:color w:val="000000"/>
                <w:sz w:val="20"/>
                <w:szCs w:val="20"/>
              </w:rPr>
              <w:t xml:space="preserve">Vegetation C (g C </w:t>
            </w:r>
            <w:r w:rsidR="00B4734E" w:rsidRPr="00EA2C5D">
              <w:rPr>
                <w:rFonts w:ascii="Arial" w:eastAsia="Times New Roman" w:hAnsi="Arial" w:cs="Arial"/>
                <w:color w:val="000000"/>
                <w:sz w:val="20"/>
                <w:szCs w:val="20"/>
              </w:rPr>
              <w:t>m</w:t>
            </w:r>
            <w:r w:rsidRPr="00EA2C5D">
              <w:rPr>
                <w:rFonts w:ascii="Arial" w:eastAsia="Times New Roman" w:hAnsi="Arial" w:cs="Arial"/>
                <w:color w:val="000000"/>
                <w:sz w:val="20"/>
                <w:szCs w:val="20"/>
                <w:vertAlign w:val="superscript"/>
              </w:rPr>
              <w:t>-2</w:t>
            </w:r>
            <w:r w:rsidR="00B4734E" w:rsidRPr="00EA2C5D">
              <w:rPr>
                <w:rFonts w:ascii="Arial" w:eastAsia="Times New Roman" w:hAnsi="Arial" w:cs="Arial"/>
                <w:color w:val="000000"/>
                <w:sz w:val="20"/>
                <w:szCs w:val="20"/>
              </w:rPr>
              <w:t>)</w:t>
            </w:r>
          </w:p>
        </w:tc>
        <w:tc>
          <w:tcPr>
            <w:tcW w:w="2880" w:type="dxa"/>
            <w:gridSpan w:val="3"/>
            <w:tcBorders>
              <w:top w:val="single" w:sz="4" w:space="0" w:color="auto"/>
              <w:bottom w:val="single" w:sz="4" w:space="0" w:color="auto"/>
            </w:tcBorders>
            <w:vAlign w:val="center"/>
          </w:tcPr>
          <w:p w14:paraId="460EB1F5" w14:textId="79E5EE62" w:rsidR="00B4734E" w:rsidRPr="00EA2C5D" w:rsidRDefault="003712EB" w:rsidP="00B4734E">
            <w:pPr>
              <w:contextualSpacing/>
              <w:rPr>
                <w:rFonts w:ascii="Arial" w:hAnsi="Arial" w:cs="Arial"/>
                <w:sz w:val="20"/>
                <w:szCs w:val="20"/>
              </w:rPr>
            </w:pPr>
            <w:r w:rsidRPr="00EA2C5D">
              <w:rPr>
                <w:rFonts w:ascii="Arial" w:eastAsia="Times New Roman" w:hAnsi="Arial" w:cs="Arial"/>
                <w:color w:val="000000"/>
                <w:sz w:val="20"/>
                <w:szCs w:val="20"/>
              </w:rPr>
              <w:t xml:space="preserve">Soil organic C (g C </w:t>
            </w:r>
            <w:r w:rsidR="00B4734E" w:rsidRPr="00EA2C5D">
              <w:rPr>
                <w:rFonts w:ascii="Arial" w:eastAsia="Times New Roman" w:hAnsi="Arial" w:cs="Arial"/>
                <w:color w:val="000000"/>
                <w:sz w:val="20"/>
                <w:szCs w:val="20"/>
              </w:rPr>
              <w:t>m</w:t>
            </w:r>
            <w:r w:rsidRPr="00EA2C5D">
              <w:rPr>
                <w:rFonts w:ascii="Arial" w:eastAsia="Times New Roman" w:hAnsi="Arial" w:cs="Arial"/>
                <w:color w:val="000000"/>
                <w:sz w:val="20"/>
                <w:szCs w:val="20"/>
                <w:vertAlign w:val="superscript"/>
              </w:rPr>
              <w:t>-2</w:t>
            </w:r>
            <w:r w:rsidR="00B4734E" w:rsidRPr="00EA2C5D">
              <w:rPr>
                <w:rFonts w:ascii="Arial" w:eastAsia="Times New Roman" w:hAnsi="Arial" w:cs="Arial"/>
                <w:color w:val="000000"/>
                <w:sz w:val="20"/>
                <w:szCs w:val="20"/>
              </w:rPr>
              <w:t>)</w:t>
            </w:r>
          </w:p>
        </w:tc>
      </w:tr>
      <w:tr w:rsidR="00B4734E" w:rsidRPr="00EA2C5D" w14:paraId="4008809B" w14:textId="77777777" w:rsidTr="008D4038">
        <w:tc>
          <w:tcPr>
            <w:tcW w:w="720" w:type="dxa"/>
            <w:tcBorders>
              <w:top w:val="single" w:sz="4" w:space="0" w:color="auto"/>
            </w:tcBorders>
          </w:tcPr>
          <w:p w14:paraId="425F86A6" w14:textId="77777777" w:rsidR="00B4734E" w:rsidRPr="00EA2C5D" w:rsidRDefault="00B4734E" w:rsidP="00B4734E">
            <w:pPr>
              <w:contextualSpacing/>
              <w:rPr>
                <w:rFonts w:ascii="Arial" w:hAnsi="Arial" w:cs="Arial"/>
                <w:sz w:val="20"/>
                <w:szCs w:val="20"/>
              </w:rPr>
            </w:pPr>
          </w:p>
        </w:tc>
        <w:tc>
          <w:tcPr>
            <w:tcW w:w="1530" w:type="dxa"/>
            <w:tcBorders>
              <w:top w:val="single" w:sz="4" w:space="0" w:color="auto"/>
            </w:tcBorders>
          </w:tcPr>
          <w:p w14:paraId="65BD59D5" w14:textId="77777777" w:rsidR="00B4734E" w:rsidRPr="00EA2C5D" w:rsidRDefault="00B4734E" w:rsidP="00B4734E">
            <w:pPr>
              <w:contextualSpacing/>
              <w:rPr>
                <w:rFonts w:ascii="Arial" w:hAnsi="Arial" w:cs="Arial"/>
                <w:sz w:val="20"/>
                <w:szCs w:val="20"/>
              </w:rPr>
            </w:pPr>
          </w:p>
        </w:tc>
        <w:tc>
          <w:tcPr>
            <w:tcW w:w="1392" w:type="dxa"/>
            <w:tcBorders>
              <w:top w:val="single" w:sz="4" w:space="0" w:color="auto"/>
            </w:tcBorders>
          </w:tcPr>
          <w:p w14:paraId="2C2C1DD1" w14:textId="77777777" w:rsidR="00B4734E" w:rsidRPr="00EA2C5D" w:rsidRDefault="00B4734E" w:rsidP="00B4734E">
            <w:pPr>
              <w:contextualSpacing/>
              <w:rPr>
                <w:rFonts w:ascii="Arial" w:hAnsi="Arial" w:cs="Arial"/>
                <w:sz w:val="20"/>
                <w:szCs w:val="20"/>
              </w:rPr>
            </w:pPr>
          </w:p>
        </w:tc>
        <w:tc>
          <w:tcPr>
            <w:tcW w:w="1218" w:type="dxa"/>
            <w:tcBorders>
              <w:top w:val="single" w:sz="4" w:space="0" w:color="auto"/>
            </w:tcBorders>
            <w:vAlign w:val="center"/>
          </w:tcPr>
          <w:p w14:paraId="3380A1CF" w14:textId="77777777" w:rsidR="00B4734E" w:rsidRPr="00EA2C5D" w:rsidRDefault="00B4734E" w:rsidP="00B4734E">
            <w:pPr>
              <w:contextualSpacing/>
              <w:rPr>
                <w:rFonts w:ascii="Arial" w:eastAsia="Times New Roman" w:hAnsi="Arial" w:cs="Arial"/>
                <w:sz w:val="20"/>
                <w:szCs w:val="20"/>
              </w:rPr>
            </w:pPr>
            <w:r w:rsidRPr="00EA2C5D">
              <w:rPr>
                <w:rFonts w:ascii="Arial" w:eastAsia="Times New Roman" w:hAnsi="Arial" w:cs="Arial"/>
                <w:sz w:val="20"/>
                <w:szCs w:val="20"/>
              </w:rPr>
              <w:t>estimated</w:t>
            </w:r>
          </w:p>
        </w:tc>
        <w:tc>
          <w:tcPr>
            <w:tcW w:w="900" w:type="dxa"/>
            <w:gridSpan w:val="2"/>
            <w:tcBorders>
              <w:top w:val="single" w:sz="4" w:space="0" w:color="auto"/>
            </w:tcBorders>
            <w:vAlign w:val="center"/>
          </w:tcPr>
          <w:p w14:paraId="68CC5598" w14:textId="77777777" w:rsidR="00B4734E" w:rsidRPr="00EA2C5D" w:rsidRDefault="00B4734E" w:rsidP="00B4734E">
            <w:pPr>
              <w:contextualSpacing/>
              <w:rPr>
                <w:rFonts w:ascii="Arial" w:eastAsia="Times New Roman" w:hAnsi="Arial" w:cs="Arial"/>
                <w:sz w:val="20"/>
                <w:szCs w:val="20"/>
              </w:rPr>
            </w:pPr>
            <w:r w:rsidRPr="00EA2C5D">
              <w:rPr>
                <w:rFonts w:ascii="Arial" w:eastAsia="Times New Roman" w:hAnsi="Arial" w:cs="Arial"/>
                <w:sz w:val="20"/>
                <w:szCs w:val="20"/>
              </w:rPr>
              <w:t>actual</w:t>
            </w:r>
          </w:p>
        </w:tc>
        <w:tc>
          <w:tcPr>
            <w:tcW w:w="1752" w:type="dxa"/>
            <w:tcBorders>
              <w:top w:val="single" w:sz="4" w:space="0" w:color="auto"/>
            </w:tcBorders>
            <w:vAlign w:val="center"/>
          </w:tcPr>
          <w:p w14:paraId="01FC886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1080" w:type="dxa"/>
            <w:tcBorders>
              <w:top w:val="single" w:sz="4" w:space="0" w:color="auto"/>
            </w:tcBorders>
            <w:vAlign w:val="center"/>
          </w:tcPr>
          <w:p w14:paraId="500AA02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c>
          <w:tcPr>
            <w:tcW w:w="1800" w:type="dxa"/>
            <w:gridSpan w:val="2"/>
            <w:tcBorders>
              <w:top w:val="single" w:sz="4" w:space="0" w:color="auto"/>
            </w:tcBorders>
            <w:vAlign w:val="center"/>
          </w:tcPr>
          <w:p w14:paraId="42ADE65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1080" w:type="dxa"/>
            <w:tcBorders>
              <w:top w:val="single" w:sz="4" w:space="0" w:color="auto"/>
            </w:tcBorders>
            <w:vAlign w:val="center"/>
          </w:tcPr>
          <w:p w14:paraId="246B362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r>
      <w:tr w:rsidR="00B4734E" w:rsidRPr="00EA2C5D" w14:paraId="0B64A0A9" w14:textId="77777777" w:rsidTr="008D4038">
        <w:tc>
          <w:tcPr>
            <w:tcW w:w="720" w:type="dxa"/>
            <w:vAlign w:val="center"/>
          </w:tcPr>
          <w:p w14:paraId="213A9460"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1969</w:t>
            </w:r>
          </w:p>
        </w:tc>
        <w:tc>
          <w:tcPr>
            <w:tcW w:w="1530" w:type="dxa"/>
            <w:vAlign w:val="center"/>
          </w:tcPr>
          <w:p w14:paraId="5F5AE716"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14.1</w:t>
            </w:r>
          </w:p>
        </w:tc>
        <w:tc>
          <w:tcPr>
            <w:tcW w:w="1392" w:type="dxa"/>
            <w:vAlign w:val="center"/>
          </w:tcPr>
          <w:p w14:paraId="3D602A6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25.0%</w:t>
            </w:r>
          </w:p>
        </w:tc>
        <w:tc>
          <w:tcPr>
            <w:tcW w:w="1218" w:type="dxa"/>
            <w:vAlign w:val="center"/>
          </w:tcPr>
          <w:p w14:paraId="2D46C0F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506.5</w:t>
            </w:r>
          </w:p>
        </w:tc>
        <w:tc>
          <w:tcPr>
            <w:tcW w:w="900" w:type="dxa"/>
            <w:gridSpan w:val="2"/>
            <w:vAlign w:val="center"/>
          </w:tcPr>
          <w:p w14:paraId="0E6511D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w:t>
            </w:r>
          </w:p>
        </w:tc>
        <w:tc>
          <w:tcPr>
            <w:tcW w:w="1752" w:type="dxa"/>
            <w:vAlign w:val="center"/>
          </w:tcPr>
          <w:p w14:paraId="5669CCE7"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2148.7 ± 581.4</w:t>
            </w:r>
          </w:p>
        </w:tc>
        <w:tc>
          <w:tcPr>
            <w:tcW w:w="1080" w:type="dxa"/>
            <w:vAlign w:val="center"/>
          </w:tcPr>
          <w:p w14:paraId="33E6A06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1718.7</w:t>
            </w:r>
          </w:p>
        </w:tc>
        <w:tc>
          <w:tcPr>
            <w:tcW w:w="1800" w:type="dxa"/>
            <w:gridSpan w:val="2"/>
            <w:vAlign w:val="center"/>
          </w:tcPr>
          <w:p w14:paraId="31A5154B"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5556.0 ± 3245.6</w:t>
            </w:r>
          </w:p>
        </w:tc>
        <w:tc>
          <w:tcPr>
            <w:tcW w:w="1080" w:type="dxa"/>
            <w:vAlign w:val="center"/>
          </w:tcPr>
          <w:p w14:paraId="252EB1B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5674.9</w:t>
            </w:r>
          </w:p>
        </w:tc>
      </w:tr>
      <w:tr w:rsidR="00B4734E" w:rsidRPr="00EA2C5D" w14:paraId="35AB4458" w14:textId="77777777" w:rsidTr="008D4038">
        <w:tc>
          <w:tcPr>
            <w:tcW w:w="720" w:type="dxa"/>
            <w:vAlign w:val="center"/>
          </w:tcPr>
          <w:p w14:paraId="2E742B7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1990</w:t>
            </w:r>
          </w:p>
        </w:tc>
        <w:tc>
          <w:tcPr>
            <w:tcW w:w="1530" w:type="dxa"/>
            <w:vAlign w:val="center"/>
          </w:tcPr>
          <w:p w14:paraId="39B362C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10.2</w:t>
            </w:r>
          </w:p>
        </w:tc>
        <w:tc>
          <w:tcPr>
            <w:tcW w:w="1392" w:type="dxa"/>
            <w:vAlign w:val="center"/>
          </w:tcPr>
          <w:p w14:paraId="31E1F04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40.0%</w:t>
            </w:r>
          </w:p>
        </w:tc>
        <w:tc>
          <w:tcPr>
            <w:tcW w:w="1218" w:type="dxa"/>
            <w:vAlign w:val="center"/>
          </w:tcPr>
          <w:p w14:paraId="43CC525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633.3</w:t>
            </w:r>
          </w:p>
        </w:tc>
        <w:tc>
          <w:tcPr>
            <w:tcW w:w="900" w:type="dxa"/>
            <w:gridSpan w:val="2"/>
            <w:vAlign w:val="center"/>
          </w:tcPr>
          <w:p w14:paraId="107F154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686.7</w:t>
            </w:r>
          </w:p>
        </w:tc>
        <w:tc>
          <w:tcPr>
            <w:tcW w:w="1752" w:type="dxa"/>
            <w:vAlign w:val="center"/>
          </w:tcPr>
          <w:p w14:paraId="765FA6B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698.9 ± 178.2</w:t>
            </w:r>
          </w:p>
        </w:tc>
        <w:tc>
          <w:tcPr>
            <w:tcW w:w="1080" w:type="dxa"/>
            <w:vAlign w:val="center"/>
          </w:tcPr>
          <w:p w14:paraId="4E8CCD7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889.3</w:t>
            </w:r>
          </w:p>
        </w:tc>
        <w:tc>
          <w:tcPr>
            <w:tcW w:w="1800" w:type="dxa"/>
            <w:gridSpan w:val="2"/>
            <w:vAlign w:val="center"/>
          </w:tcPr>
          <w:p w14:paraId="0AB2632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7460.9 ± 8298.7</w:t>
            </w:r>
          </w:p>
        </w:tc>
        <w:tc>
          <w:tcPr>
            <w:tcW w:w="1080" w:type="dxa"/>
            <w:vAlign w:val="center"/>
          </w:tcPr>
          <w:p w14:paraId="7892E01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5043.7</w:t>
            </w:r>
          </w:p>
        </w:tc>
      </w:tr>
      <w:tr w:rsidR="00B4734E" w:rsidRPr="00EA2C5D" w14:paraId="3EB0028C" w14:textId="77777777" w:rsidTr="008D4038">
        <w:tc>
          <w:tcPr>
            <w:tcW w:w="720" w:type="dxa"/>
            <w:vAlign w:val="center"/>
          </w:tcPr>
          <w:p w14:paraId="0669BF2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2012</w:t>
            </w:r>
          </w:p>
        </w:tc>
        <w:tc>
          <w:tcPr>
            <w:tcW w:w="1530" w:type="dxa"/>
            <w:vAlign w:val="center"/>
          </w:tcPr>
          <w:p w14:paraId="21D73D8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5.0</w:t>
            </w:r>
          </w:p>
        </w:tc>
        <w:tc>
          <w:tcPr>
            <w:tcW w:w="1392" w:type="dxa"/>
            <w:vAlign w:val="center"/>
          </w:tcPr>
          <w:p w14:paraId="5960D96F"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65.0%</w:t>
            </w:r>
          </w:p>
        </w:tc>
        <w:tc>
          <w:tcPr>
            <w:tcW w:w="1218" w:type="dxa"/>
            <w:vAlign w:val="center"/>
          </w:tcPr>
          <w:p w14:paraId="73824C4A"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844.7</w:t>
            </w:r>
          </w:p>
        </w:tc>
        <w:tc>
          <w:tcPr>
            <w:tcW w:w="900" w:type="dxa"/>
            <w:gridSpan w:val="2"/>
            <w:vAlign w:val="center"/>
          </w:tcPr>
          <w:p w14:paraId="68B5B25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811.5</w:t>
            </w:r>
          </w:p>
        </w:tc>
        <w:tc>
          <w:tcPr>
            <w:tcW w:w="1752" w:type="dxa"/>
            <w:vAlign w:val="center"/>
          </w:tcPr>
          <w:p w14:paraId="1D87660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220.4 ± 88.4</w:t>
            </w:r>
          </w:p>
        </w:tc>
        <w:tc>
          <w:tcPr>
            <w:tcW w:w="1080" w:type="dxa"/>
            <w:vAlign w:val="center"/>
          </w:tcPr>
          <w:p w14:paraId="6E62241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186.7</w:t>
            </w:r>
          </w:p>
        </w:tc>
        <w:tc>
          <w:tcPr>
            <w:tcW w:w="1800" w:type="dxa"/>
            <w:gridSpan w:val="2"/>
            <w:vAlign w:val="center"/>
          </w:tcPr>
          <w:p w14:paraId="461032E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2612.3 ± 1422.2</w:t>
            </w:r>
          </w:p>
        </w:tc>
        <w:tc>
          <w:tcPr>
            <w:tcW w:w="1080" w:type="dxa"/>
            <w:vAlign w:val="center"/>
          </w:tcPr>
          <w:p w14:paraId="767D443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3596.3</w:t>
            </w:r>
          </w:p>
        </w:tc>
      </w:tr>
      <w:tr w:rsidR="00B4734E" w:rsidRPr="00EA2C5D" w14:paraId="190A0DDA" w14:textId="77777777" w:rsidTr="008D4038">
        <w:tc>
          <w:tcPr>
            <w:tcW w:w="720" w:type="dxa"/>
          </w:tcPr>
          <w:p w14:paraId="015E90CD" w14:textId="77777777" w:rsidR="00B4734E" w:rsidRPr="00EA2C5D" w:rsidRDefault="00B4734E" w:rsidP="00B4734E">
            <w:pPr>
              <w:contextualSpacing/>
              <w:rPr>
                <w:rFonts w:ascii="Arial" w:hAnsi="Arial" w:cs="Arial"/>
                <w:sz w:val="20"/>
                <w:szCs w:val="20"/>
              </w:rPr>
            </w:pPr>
          </w:p>
        </w:tc>
        <w:tc>
          <w:tcPr>
            <w:tcW w:w="1530" w:type="dxa"/>
          </w:tcPr>
          <w:p w14:paraId="23E5B715" w14:textId="77777777" w:rsidR="00B4734E" w:rsidRPr="00EA2C5D" w:rsidRDefault="00B4734E" w:rsidP="00B4734E">
            <w:pPr>
              <w:contextualSpacing/>
              <w:rPr>
                <w:rFonts w:ascii="Arial" w:hAnsi="Arial" w:cs="Arial"/>
                <w:sz w:val="20"/>
                <w:szCs w:val="20"/>
              </w:rPr>
            </w:pPr>
          </w:p>
        </w:tc>
        <w:tc>
          <w:tcPr>
            <w:tcW w:w="1392" w:type="dxa"/>
          </w:tcPr>
          <w:p w14:paraId="3EAD535B" w14:textId="77777777" w:rsidR="00B4734E" w:rsidRPr="00EA2C5D" w:rsidRDefault="00B4734E" w:rsidP="00B4734E">
            <w:pPr>
              <w:contextualSpacing/>
              <w:rPr>
                <w:rFonts w:ascii="Arial" w:hAnsi="Arial" w:cs="Arial"/>
                <w:sz w:val="20"/>
                <w:szCs w:val="20"/>
              </w:rPr>
            </w:pPr>
          </w:p>
        </w:tc>
        <w:tc>
          <w:tcPr>
            <w:tcW w:w="1218" w:type="dxa"/>
          </w:tcPr>
          <w:p w14:paraId="1A63AE47" w14:textId="77777777" w:rsidR="00B4734E" w:rsidRPr="00EA2C5D" w:rsidRDefault="00B4734E" w:rsidP="00B4734E">
            <w:pPr>
              <w:contextualSpacing/>
              <w:rPr>
                <w:rFonts w:ascii="Arial" w:hAnsi="Arial" w:cs="Arial"/>
                <w:sz w:val="20"/>
                <w:szCs w:val="20"/>
              </w:rPr>
            </w:pPr>
          </w:p>
        </w:tc>
        <w:tc>
          <w:tcPr>
            <w:tcW w:w="900" w:type="dxa"/>
            <w:gridSpan w:val="2"/>
          </w:tcPr>
          <w:p w14:paraId="7D219E46" w14:textId="77777777" w:rsidR="00B4734E" w:rsidRPr="00EA2C5D" w:rsidRDefault="00B4734E" w:rsidP="00B4734E">
            <w:pPr>
              <w:contextualSpacing/>
              <w:rPr>
                <w:rFonts w:ascii="Arial" w:hAnsi="Arial" w:cs="Arial"/>
                <w:sz w:val="20"/>
                <w:szCs w:val="20"/>
              </w:rPr>
            </w:pPr>
          </w:p>
        </w:tc>
        <w:tc>
          <w:tcPr>
            <w:tcW w:w="1752" w:type="dxa"/>
          </w:tcPr>
          <w:p w14:paraId="0DC1E462" w14:textId="77777777" w:rsidR="00B4734E" w:rsidRPr="00EA2C5D" w:rsidRDefault="00B4734E" w:rsidP="00B4734E">
            <w:pPr>
              <w:contextualSpacing/>
              <w:rPr>
                <w:rFonts w:ascii="Arial" w:hAnsi="Arial" w:cs="Arial"/>
                <w:sz w:val="20"/>
                <w:szCs w:val="20"/>
              </w:rPr>
            </w:pPr>
          </w:p>
        </w:tc>
        <w:tc>
          <w:tcPr>
            <w:tcW w:w="1080" w:type="dxa"/>
          </w:tcPr>
          <w:p w14:paraId="62634E4E" w14:textId="77777777" w:rsidR="00B4734E" w:rsidRPr="00EA2C5D" w:rsidRDefault="00B4734E" w:rsidP="00B4734E">
            <w:pPr>
              <w:contextualSpacing/>
              <w:rPr>
                <w:rFonts w:ascii="Arial" w:hAnsi="Arial" w:cs="Arial"/>
                <w:sz w:val="20"/>
                <w:szCs w:val="20"/>
              </w:rPr>
            </w:pPr>
          </w:p>
        </w:tc>
        <w:tc>
          <w:tcPr>
            <w:tcW w:w="1800" w:type="dxa"/>
            <w:gridSpan w:val="2"/>
          </w:tcPr>
          <w:p w14:paraId="16BFE3D9" w14:textId="77777777" w:rsidR="00B4734E" w:rsidRPr="00EA2C5D" w:rsidRDefault="00B4734E" w:rsidP="00B4734E">
            <w:pPr>
              <w:contextualSpacing/>
              <w:rPr>
                <w:rFonts w:ascii="Arial" w:hAnsi="Arial" w:cs="Arial"/>
                <w:sz w:val="20"/>
                <w:szCs w:val="20"/>
              </w:rPr>
            </w:pPr>
          </w:p>
        </w:tc>
        <w:tc>
          <w:tcPr>
            <w:tcW w:w="1080" w:type="dxa"/>
          </w:tcPr>
          <w:p w14:paraId="5A94C9AE" w14:textId="77777777" w:rsidR="00B4734E" w:rsidRPr="00EA2C5D" w:rsidRDefault="00B4734E" w:rsidP="00B4734E">
            <w:pPr>
              <w:contextualSpacing/>
              <w:rPr>
                <w:rFonts w:ascii="Arial" w:hAnsi="Arial" w:cs="Arial"/>
                <w:sz w:val="20"/>
                <w:szCs w:val="20"/>
              </w:rPr>
            </w:pPr>
          </w:p>
        </w:tc>
      </w:tr>
      <w:tr w:rsidR="00B4734E" w:rsidRPr="00EA2C5D" w14:paraId="175E6D47" w14:textId="77777777" w:rsidTr="008D4038">
        <w:tc>
          <w:tcPr>
            <w:tcW w:w="720" w:type="dxa"/>
          </w:tcPr>
          <w:p w14:paraId="31C21E6A" w14:textId="77777777" w:rsidR="00B4734E" w:rsidRPr="00EA2C5D" w:rsidRDefault="00B4734E" w:rsidP="00B4734E">
            <w:pPr>
              <w:contextualSpacing/>
              <w:rPr>
                <w:rFonts w:ascii="Arial" w:hAnsi="Arial" w:cs="Arial"/>
                <w:sz w:val="20"/>
                <w:szCs w:val="20"/>
              </w:rPr>
            </w:pPr>
          </w:p>
        </w:tc>
        <w:tc>
          <w:tcPr>
            <w:tcW w:w="2922" w:type="dxa"/>
            <w:gridSpan w:val="2"/>
            <w:vAlign w:val="center"/>
          </w:tcPr>
          <w:p w14:paraId="7F15A783" w14:textId="306462A2" w:rsidR="00B4734E" w:rsidRPr="00EA2C5D" w:rsidRDefault="003712EB"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 xml:space="preserve">Soil organic N (g N </w:t>
            </w:r>
            <w:r w:rsidR="00B4734E" w:rsidRPr="00EA2C5D">
              <w:rPr>
                <w:rFonts w:ascii="Arial" w:eastAsia="Times New Roman" w:hAnsi="Arial" w:cs="Arial"/>
                <w:color w:val="000000"/>
                <w:sz w:val="20"/>
                <w:szCs w:val="20"/>
              </w:rPr>
              <w:t>m</w:t>
            </w:r>
            <w:r w:rsidRPr="00EA2C5D">
              <w:rPr>
                <w:rFonts w:ascii="Arial" w:eastAsia="Times New Roman" w:hAnsi="Arial" w:cs="Arial"/>
                <w:color w:val="000000"/>
                <w:sz w:val="20"/>
                <w:szCs w:val="20"/>
                <w:vertAlign w:val="superscript"/>
              </w:rPr>
              <w:t>-2</w:t>
            </w:r>
            <w:r w:rsidR="00B4734E" w:rsidRPr="00EA2C5D">
              <w:rPr>
                <w:rFonts w:ascii="Arial" w:eastAsia="Times New Roman" w:hAnsi="Arial" w:cs="Arial"/>
                <w:color w:val="000000"/>
                <w:sz w:val="20"/>
                <w:szCs w:val="20"/>
              </w:rPr>
              <w:t>)</w:t>
            </w:r>
          </w:p>
        </w:tc>
        <w:tc>
          <w:tcPr>
            <w:tcW w:w="3870" w:type="dxa"/>
            <w:gridSpan w:val="4"/>
            <w:vAlign w:val="center"/>
          </w:tcPr>
          <w:p w14:paraId="7CC85914" w14:textId="77777777" w:rsidR="00B4734E" w:rsidRPr="00EA2C5D" w:rsidRDefault="00B4734E" w:rsidP="00B4734E">
            <w:pPr>
              <w:contextualSpacing/>
              <w:rPr>
                <w:rFonts w:ascii="Arial" w:hAnsi="Arial" w:cs="Arial"/>
                <w:sz w:val="20"/>
                <w:szCs w:val="20"/>
              </w:rPr>
            </w:pPr>
            <w:r w:rsidRPr="00EA2C5D">
              <w:rPr>
                <w:rFonts w:ascii="Arial" w:eastAsia="Times New Roman" w:hAnsi="Arial" w:cs="Arial"/>
                <w:color w:val="000000"/>
                <w:sz w:val="20"/>
                <w:szCs w:val="20"/>
              </w:rPr>
              <w:t>5cm soil temperature (°C)</w:t>
            </w:r>
          </w:p>
        </w:tc>
        <w:tc>
          <w:tcPr>
            <w:tcW w:w="3960" w:type="dxa"/>
            <w:gridSpan w:val="4"/>
          </w:tcPr>
          <w:p w14:paraId="2D0E4449" w14:textId="77777777" w:rsidR="00B4734E" w:rsidRPr="00EA2C5D" w:rsidRDefault="00B4734E" w:rsidP="00B4734E">
            <w:pPr>
              <w:contextualSpacing/>
              <w:rPr>
                <w:rFonts w:ascii="Arial" w:hAnsi="Arial" w:cs="Arial"/>
                <w:sz w:val="20"/>
                <w:szCs w:val="20"/>
              </w:rPr>
            </w:pPr>
            <w:r w:rsidRPr="00EA2C5D">
              <w:rPr>
                <w:rFonts w:ascii="Arial" w:eastAsia="Times New Roman" w:hAnsi="Arial" w:cs="Arial"/>
                <w:color w:val="000000"/>
                <w:sz w:val="20"/>
                <w:szCs w:val="20"/>
              </w:rPr>
              <w:t>10cm soil temperature (°C)</w:t>
            </w:r>
          </w:p>
        </w:tc>
      </w:tr>
      <w:tr w:rsidR="00B4734E" w:rsidRPr="00EA2C5D" w14:paraId="16E2062A" w14:textId="77777777" w:rsidTr="008D4038">
        <w:tc>
          <w:tcPr>
            <w:tcW w:w="720" w:type="dxa"/>
          </w:tcPr>
          <w:p w14:paraId="1C92FE95" w14:textId="77777777" w:rsidR="00B4734E" w:rsidRPr="00EA2C5D" w:rsidRDefault="00B4734E" w:rsidP="00B4734E">
            <w:pPr>
              <w:contextualSpacing/>
              <w:rPr>
                <w:rFonts w:ascii="Arial" w:hAnsi="Arial" w:cs="Arial"/>
                <w:sz w:val="20"/>
                <w:szCs w:val="20"/>
              </w:rPr>
            </w:pPr>
          </w:p>
        </w:tc>
        <w:tc>
          <w:tcPr>
            <w:tcW w:w="1530" w:type="dxa"/>
            <w:vAlign w:val="center"/>
          </w:tcPr>
          <w:p w14:paraId="4E3D600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1392" w:type="dxa"/>
            <w:vAlign w:val="center"/>
          </w:tcPr>
          <w:p w14:paraId="239A252B"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c>
          <w:tcPr>
            <w:tcW w:w="1758" w:type="dxa"/>
            <w:gridSpan w:val="2"/>
            <w:vAlign w:val="center"/>
          </w:tcPr>
          <w:p w14:paraId="6B90ABAD"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2112" w:type="dxa"/>
            <w:gridSpan w:val="2"/>
            <w:vAlign w:val="center"/>
          </w:tcPr>
          <w:p w14:paraId="2816E98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c>
          <w:tcPr>
            <w:tcW w:w="1398" w:type="dxa"/>
            <w:gridSpan w:val="2"/>
            <w:vAlign w:val="center"/>
          </w:tcPr>
          <w:p w14:paraId="1208FC2B"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2562" w:type="dxa"/>
            <w:gridSpan w:val="2"/>
            <w:vAlign w:val="center"/>
          </w:tcPr>
          <w:p w14:paraId="7DBEAC3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r>
      <w:tr w:rsidR="00B4734E" w:rsidRPr="00EA2C5D" w14:paraId="7D7567E7" w14:textId="77777777" w:rsidTr="008D4038">
        <w:tc>
          <w:tcPr>
            <w:tcW w:w="720" w:type="dxa"/>
            <w:vAlign w:val="center"/>
          </w:tcPr>
          <w:p w14:paraId="78132BA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1969</w:t>
            </w:r>
          </w:p>
        </w:tc>
        <w:tc>
          <w:tcPr>
            <w:tcW w:w="1530" w:type="dxa"/>
            <w:vAlign w:val="center"/>
          </w:tcPr>
          <w:p w14:paraId="127FBBC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197.0 ± 4.1</w:t>
            </w:r>
          </w:p>
        </w:tc>
        <w:tc>
          <w:tcPr>
            <w:tcW w:w="1392" w:type="dxa"/>
            <w:vAlign w:val="center"/>
          </w:tcPr>
          <w:p w14:paraId="4953AE0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258.3</w:t>
            </w:r>
          </w:p>
        </w:tc>
        <w:tc>
          <w:tcPr>
            <w:tcW w:w="1758" w:type="dxa"/>
            <w:gridSpan w:val="2"/>
            <w:vAlign w:val="center"/>
          </w:tcPr>
          <w:p w14:paraId="2A47986F"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7.6 ± 2.0</w:t>
            </w:r>
          </w:p>
        </w:tc>
        <w:tc>
          <w:tcPr>
            <w:tcW w:w="2112" w:type="dxa"/>
            <w:gridSpan w:val="2"/>
            <w:vAlign w:val="center"/>
          </w:tcPr>
          <w:p w14:paraId="17AFB10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9.2</w:t>
            </w:r>
          </w:p>
        </w:tc>
        <w:tc>
          <w:tcPr>
            <w:tcW w:w="1398" w:type="dxa"/>
            <w:gridSpan w:val="2"/>
            <w:vAlign w:val="center"/>
          </w:tcPr>
          <w:p w14:paraId="4A26C65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5.3 ± 1.1</w:t>
            </w:r>
          </w:p>
        </w:tc>
        <w:tc>
          <w:tcPr>
            <w:tcW w:w="2562" w:type="dxa"/>
            <w:gridSpan w:val="2"/>
            <w:vAlign w:val="center"/>
          </w:tcPr>
          <w:p w14:paraId="4C94A47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7.5</w:t>
            </w:r>
          </w:p>
        </w:tc>
      </w:tr>
      <w:tr w:rsidR="00B4734E" w:rsidRPr="00EA2C5D" w14:paraId="1778182F" w14:textId="77777777" w:rsidTr="008D4038">
        <w:trPr>
          <w:trHeight w:val="70"/>
        </w:trPr>
        <w:tc>
          <w:tcPr>
            <w:tcW w:w="720" w:type="dxa"/>
            <w:vAlign w:val="center"/>
          </w:tcPr>
          <w:p w14:paraId="1C1FF57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1990</w:t>
            </w:r>
          </w:p>
        </w:tc>
        <w:tc>
          <w:tcPr>
            <w:tcW w:w="1530" w:type="dxa"/>
            <w:vAlign w:val="center"/>
          </w:tcPr>
          <w:p w14:paraId="11199DE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264.6 ± 10.4</w:t>
            </w:r>
          </w:p>
        </w:tc>
        <w:tc>
          <w:tcPr>
            <w:tcW w:w="1392" w:type="dxa"/>
            <w:vAlign w:val="center"/>
          </w:tcPr>
          <w:p w14:paraId="1ECB19B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209.9</w:t>
            </w:r>
          </w:p>
        </w:tc>
        <w:tc>
          <w:tcPr>
            <w:tcW w:w="1758" w:type="dxa"/>
            <w:gridSpan w:val="2"/>
            <w:vAlign w:val="center"/>
          </w:tcPr>
          <w:p w14:paraId="70A6F5F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9.8 ± 0.5</w:t>
            </w:r>
          </w:p>
        </w:tc>
        <w:tc>
          <w:tcPr>
            <w:tcW w:w="2112" w:type="dxa"/>
            <w:gridSpan w:val="2"/>
            <w:vAlign w:val="center"/>
          </w:tcPr>
          <w:p w14:paraId="50371F8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w:t>
            </w:r>
            <w:r w:rsidRPr="00EA2C5D">
              <w:rPr>
                <w:rFonts w:ascii="Arial" w:hAnsi="Arial" w:cs="Arial"/>
                <w:color w:val="000000"/>
                <w:sz w:val="20"/>
                <w:szCs w:val="20"/>
              </w:rPr>
              <w:t>.0</w:t>
            </w:r>
          </w:p>
        </w:tc>
        <w:tc>
          <w:tcPr>
            <w:tcW w:w="1398" w:type="dxa"/>
            <w:gridSpan w:val="2"/>
            <w:vAlign w:val="center"/>
          </w:tcPr>
          <w:p w14:paraId="6DC188B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7.7 ± 0.9</w:t>
            </w:r>
          </w:p>
        </w:tc>
        <w:tc>
          <w:tcPr>
            <w:tcW w:w="2562" w:type="dxa"/>
            <w:gridSpan w:val="2"/>
            <w:vAlign w:val="center"/>
          </w:tcPr>
          <w:p w14:paraId="34A7767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6.9</w:t>
            </w:r>
          </w:p>
        </w:tc>
      </w:tr>
      <w:tr w:rsidR="00B4734E" w:rsidRPr="00EA2C5D" w14:paraId="73729B09" w14:textId="77777777" w:rsidTr="008D4038">
        <w:tc>
          <w:tcPr>
            <w:tcW w:w="720" w:type="dxa"/>
            <w:vAlign w:val="center"/>
          </w:tcPr>
          <w:p w14:paraId="754486F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2012</w:t>
            </w:r>
          </w:p>
        </w:tc>
        <w:tc>
          <w:tcPr>
            <w:tcW w:w="1530" w:type="dxa"/>
            <w:vAlign w:val="center"/>
          </w:tcPr>
          <w:p w14:paraId="60FA549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108.1 ± 2.4</w:t>
            </w:r>
          </w:p>
        </w:tc>
        <w:tc>
          <w:tcPr>
            <w:tcW w:w="1392" w:type="dxa"/>
            <w:vAlign w:val="center"/>
          </w:tcPr>
          <w:p w14:paraId="7E8B50B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124.4</w:t>
            </w:r>
          </w:p>
        </w:tc>
        <w:tc>
          <w:tcPr>
            <w:tcW w:w="1758" w:type="dxa"/>
            <w:gridSpan w:val="2"/>
            <w:vAlign w:val="center"/>
          </w:tcPr>
          <w:p w14:paraId="41A430A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9.6 ± 2.8</w:t>
            </w:r>
          </w:p>
        </w:tc>
        <w:tc>
          <w:tcPr>
            <w:tcW w:w="2112" w:type="dxa"/>
            <w:gridSpan w:val="2"/>
            <w:vAlign w:val="center"/>
          </w:tcPr>
          <w:p w14:paraId="52EA7A8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7.8</w:t>
            </w:r>
          </w:p>
        </w:tc>
        <w:tc>
          <w:tcPr>
            <w:tcW w:w="1398" w:type="dxa"/>
            <w:gridSpan w:val="2"/>
            <w:vAlign w:val="center"/>
          </w:tcPr>
          <w:p w14:paraId="086ACE4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6.8 ± 2.1</w:t>
            </w:r>
          </w:p>
        </w:tc>
        <w:tc>
          <w:tcPr>
            <w:tcW w:w="2562" w:type="dxa"/>
            <w:gridSpan w:val="2"/>
            <w:vAlign w:val="center"/>
          </w:tcPr>
          <w:p w14:paraId="04776537"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7.6</w:t>
            </w:r>
          </w:p>
        </w:tc>
      </w:tr>
    </w:tbl>
    <w:p w14:paraId="783797A3" w14:textId="77777777" w:rsidR="00B4734E" w:rsidRDefault="00B4734E">
      <w:pPr>
        <w:rPr>
          <w:rFonts w:ascii="Arial" w:hAnsi="Arial" w:cs="Arial"/>
          <w:bCs/>
          <w:kern w:val="32"/>
          <w:sz w:val="20"/>
        </w:rPr>
      </w:pPr>
      <w:r>
        <w:rPr>
          <w:rFonts w:ascii="Arial" w:hAnsi="Arial" w:cs="Arial"/>
          <w:b/>
          <w:sz w:val="20"/>
        </w:rPr>
        <w:br w:type="page"/>
      </w:r>
    </w:p>
    <w:p w14:paraId="6C96BED5" w14:textId="5F8EFE61" w:rsidR="00820484" w:rsidRDefault="00F514EC" w:rsidP="00477182">
      <w:pPr>
        <w:pStyle w:val="SMcaption"/>
        <w:rPr>
          <w:rFonts w:ascii="Arial" w:hAnsi="Arial" w:cs="Arial"/>
          <w:b/>
          <w:sz w:val="20"/>
        </w:rPr>
      </w:pPr>
      <w:r>
        <w:rPr>
          <w:rFonts w:ascii="Arial" w:hAnsi="Arial" w:cs="Arial"/>
          <w:b/>
          <w:sz w:val="20"/>
        </w:rPr>
        <w:lastRenderedPageBreak/>
        <w:t xml:space="preserve">SI </w:t>
      </w:r>
      <w:r w:rsidR="00820484" w:rsidRPr="00840BB2">
        <w:rPr>
          <w:rFonts w:ascii="Arial" w:hAnsi="Arial" w:cs="Arial"/>
          <w:b/>
          <w:sz w:val="20"/>
        </w:rPr>
        <w:t>References</w:t>
      </w:r>
    </w:p>
    <w:p w14:paraId="1444A193" w14:textId="77777777" w:rsidR="004959D3" w:rsidRPr="00BD0D69" w:rsidRDefault="004959D3" w:rsidP="0088501A">
      <w:pPr>
        <w:pStyle w:val="NormalWeb"/>
        <w:shd w:val="clear" w:color="auto" w:fill="FFFFFF"/>
        <w:textAlignment w:val="baseline"/>
        <w:rPr>
          <w:rFonts w:ascii="Arial" w:hAnsi="Arial" w:cs="Arial"/>
          <w:color w:val="333333"/>
          <w:sz w:val="20"/>
          <w:szCs w:val="20"/>
        </w:rPr>
      </w:pPr>
    </w:p>
    <w:p w14:paraId="40D1DDBE" w14:textId="77777777" w:rsidR="00DF694E" w:rsidRPr="00BD0D69" w:rsidRDefault="004959D3" w:rsidP="00DF694E">
      <w:pPr>
        <w:pStyle w:val="EndNoteBibliography"/>
        <w:ind w:left="720" w:hanging="720"/>
        <w:rPr>
          <w:sz w:val="20"/>
        </w:rPr>
      </w:pPr>
      <w:r w:rsidRPr="00BD0D69">
        <w:rPr>
          <w:rFonts w:ascii="Arial" w:hAnsi="Arial" w:cs="Arial"/>
          <w:color w:val="333333"/>
          <w:sz w:val="20"/>
        </w:rPr>
        <w:fldChar w:fldCharType="begin"/>
      </w:r>
      <w:r w:rsidRPr="00BD0D69">
        <w:rPr>
          <w:rFonts w:ascii="Arial" w:hAnsi="Arial" w:cs="Arial"/>
          <w:color w:val="333333"/>
          <w:sz w:val="20"/>
        </w:rPr>
        <w:instrText xml:space="preserve"> ADDIN EN.REFLIST </w:instrText>
      </w:r>
      <w:r w:rsidRPr="00BD0D69">
        <w:rPr>
          <w:rFonts w:ascii="Arial" w:hAnsi="Arial" w:cs="Arial"/>
          <w:color w:val="333333"/>
          <w:sz w:val="20"/>
        </w:rPr>
        <w:fldChar w:fldCharType="separate"/>
      </w:r>
      <w:r w:rsidR="00DF694E" w:rsidRPr="00BD0D69">
        <w:rPr>
          <w:sz w:val="20"/>
        </w:rPr>
        <w:t>1</w:t>
      </w:r>
      <w:r w:rsidR="00DF694E" w:rsidRPr="00BD0D69">
        <w:rPr>
          <w:sz w:val="20"/>
        </w:rPr>
        <w:tab/>
        <w:t xml:space="preserve">Veraverbeke, S., Rogers, B. M. &amp; Randerson, J. T. Daily burned area and carbon emissions from boreal fires in Alaska. </w:t>
      </w:r>
      <w:r w:rsidR="00DF694E" w:rsidRPr="00BD0D69">
        <w:rPr>
          <w:i/>
          <w:sz w:val="20"/>
        </w:rPr>
        <w:t>Biogeosciences</w:t>
      </w:r>
      <w:r w:rsidR="00DF694E" w:rsidRPr="00BD0D69">
        <w:rPr>
          <w:sz w:val="20"/>
        </w:rPr>
        <w:t xml:space="preserve"> </w:t>
      </w:r>
      <w:r w:rsidR="00DF694E" w:rsidRPr="00BD0D69">
        <w:rPr>
          <w:b/>
          <w:sz w:val="20"/>
        </w:rPr>
        <w:t>12</w:t>
      </w:r>
      <w:r w:rsidR="00DF694E" w:rsidRPr="00BD0D69">
        <w:rPr>
          <w:sz w:val="20"/>
        </w:rPr>
        <w:t>, 3579-3601, doi:10.5194/bg-12-3579-2015 (2015).</w:t>
      </w:r>
    </w:p>
    <w:p w14:paraId="0592E6AB" w14:textId="77777777" w:rsidR="00DF694E" w:rsidRPr="00BD0D69" w:rsidRDefault="00DF694E" w:rsidP="00DF694E">
      <w:pPr>
        <w:pStyle w:val="EndNoteBibliography"/>
        <w:ind w:left="720" w:hanging="720"/>
        <w:rPr>
          <w:sz w:val="20"/>
        </w:rPr>
      </w:pPr>
      <w:r w:rsidRPr="00BD0D69">
        <w:rPr>
          <w:sz w:val="20"/>
        </w:rPr>
        <w:t>2</w:t>
      </w:r>
      <w:r w:rsidRPr="00BD0D69">
        <w:rPr>
          <w:sz w:val="20"/>
        </w:rPr>
        <w:tab/>
        <w:t>Rogers, B. M.</w:t>
      </w:r>
      <w:r w:rsidRPr="00BD0D69">
        <w:rPr>
          <w:i/>
          <w:sz w:val="20"/>
        </w:rPr>
        <w:t xml:space="preserve"> et al.</w:t>
      </w:r>
      <w:r w:rsidRPr="00BD0D69">
        <w:rPr>
          <w:sz w:val="20"/>
        </w:rPr>
        <w:t xml:space="preserve"> Quantifying fire-wide carbon emissions in interior Alaska using field measurements and Landsat imagery. </w:t>
      </w:r>
      <w:r w:rsidRPr="00BD0D69">
        <w:rPr>
          <w:i/>
          <w:sz w:val="20"/>
        </w:rPr>
        <w:t>Journal of Geophysical Research: Biogeosciences</w:t>
      </w:r>
      <w:r w:rsidRPr="00BD0D69">
        <w:rPr>
          <w:sz w:val="20"/>
        </w:rPr>
        <w:t xml:space="preserve"> </w:t>
      </w:r>
      <w:r w:rsidRPr="00BD0D69">
        <w:rPr>
          <w:b/>
          <w:sz w:val="20"/>
        </w:rPr>
        <w:t>119</w:t>
      </w:r>
      <w:r w:rsidRPr="00BD0D69">
        <w:rPr>
          <w:sz w:val="20"/>
        </w:rPr>
        <w:t>, 1608-1629, doi:10.1002/2014jg002657 (2014).</w:t>
      </w:r>
    </w:p>
    <w:p w14:paraId="1F49CF47" w14:textId="77777777" w:rsidR="00DF694E" w:rsidRPr="00BD0D69" w:rsidRDefault="00DF694E" w:rsidP="00DF694E">
      <w:pPr>
        <w:pStyle w:val="EndNoteBibliography"/>
        <w:ind w:left="720" w:hanging="720"/>
        <w:rPr>
          <w:sz w:val="20"/>
        </w:rPr>
      </w:pPr>
      <w:r w:rsidRPr="00BD0D69">
        <w:rPr>
          <w:sz w:val="20"/>
        </w:rPr>
        <w:t>3</w:t>
      </w:r>
      <w:r w:rsidRPr="00BD0D69">
        <w:rPr>
          <w:sz w:val="20"/>
        </w:rPr>
        <w:tab/>
        <w:t xml:space="preserve">Boby, L. A., Schuur, E. A. G., Mack, M. C., Verbyla, D. &amp; Johnstone, J. F. Quantifying fire severity, carbon, and nitrogen emissions in Alaska's boreal forest. </w:t>
      </w:r>
      <w:r w:rsidRPr="00BD0D69">
        <w:rPr>
          <w:i/>
          <w:sz w:val="20"/>
        </w:rPr>
        <w:t>Ecological Applications</w:t>
      </w:r>
      <w:r w:rsidRPr="00BD0D69">
        <w:rPr>
          <w:sz w:val="20"/>
        </w:rPr>
        <w:t xml:space="preserve"> </w:t>
      </w:r>
      <w:r w:rsidRPr="00BD0D69">
        <w:rPr>
          <w:b/>
          <w:sz w:val="20"/>
        </w:rPr>
        <w:t>20</w:t>
      </w:r>
      <w:r w:rsidRPr="00BD0D69">
        <w:rPr>
          <w:sz w:val="20"/>
        </w:rPr>
        <w:t>, 1633-1647, doi:10.1890/08-2295.1 (2010).</w:t>
      </w:r>
    </w:p>
    <w:p w14:paraId="6BC4267E" w14:textId="77777777" w:rsidR="00DF694E" w:rsidRPr="00BD0D69" w:rsidRDefault="00DF694E" w:rsidP="00DF694E">
      <w:pPr>
        <w:pStyle w:val="EndNoteBibliography"/>
        <w:ind w:left="720" w:hanging="720"/>
        <w:rPr>
          <w:sz w:val="20"/>
        </w:rPr>
      </w:pPr>
      <w:r w:rsidRPr="00BD0D69">
        <w:rPr>
          <w:sz w:val="20"/>
        </w:rPr>
        <w:t>4</w:t>
      </w:r>
      <w:r w:rsidRPr="00BD0D69">
        <w:rPr>
          <w:sz w:val="20"/>
        </w:rPr>
        <w:tab/>
        <w:t>Randerson, J. T.</w:t>
      </w:r>
      <w:r w:rsidRPr="00BD0D69">
        <w:rPr>
          <w:i/>
          <w:sz w:val="20"/>
        </w:rPr>
        <w:t xml:space="preserve"> et al.</w:t>
      </w:r>
      <w:r w:rsidRPr="00BD0D69">
        <w:rPr>
          <w:sz w:val="20"/>
        </w:rPr>
        <w:t xml:space="preserve"> The Impact of Boreal Forest Fire on Climate Warming. </w:t>
      </w:r>
      <w:r w:rsidRPr="00BD0D69">
        <w:rPr>
          <w:i/>
          <w:sz w:val="20"/>
        </w:rPr>
        <w:t>Science</w:t>
      </w:r>
      <w:r w:rsidRPr="00BD0D69">
        <w:rPr>
          <w:sz w:val="20"/>
        </w:rPr>
        <w:t xml:space="preserve"> </w:t>
      </w:r>
      <w:r w:rsidRPr="00BD0D69">
        <w:rPr>
          <w:b/>
          <w:sz w:val="20"/>
        </w:rPr>
        <w:t>314</w:t>
      </w:r>
      <w:r w:rsidRPr="00BD0D69">
        <w:rPr>
          <w:sz w:val="20"/>
        </w:rPr>
        <w:t>, 1130, doi:10.1126/science.1132075 (2006).</w:t>
      </w:r>
    </w:p>
    <w:p w14:paraId="75853ADC" w14:textId="77777777" w:rsidR="00DF694E" w:rsidRPr="00BD0D69" w:rsidRDefault="00DF694E" w:rsidP="00DF694E">
      <w:pPr>
        <w:pStyle w:val="EndNoteBibliography"/>
        <w:ind w:left="720" w:hanging="720"/>
        <w:rPr>
          <w:sz w:val="20"/>
        </w:rPr>
      </w:pPr>
      <w:r w:rsidRPr="00BD0D69">
        <w:rPr>
          <w:sz w:val="20"/>
        </w:rPr>
        <w:t>5</w:t>
      </w:r>
      <w:r w:rsidRPr="00BD0D69">
        <w:rPr>
          <w:sz w:val="20"/>
        </w:rPr>
        <w:tab/>
        <w:t xml:space="preserve">Kasischke, E. S. &amp; Hoy, E. E. Controls on carbon consumption during Alaskan wildland fires. </w:t>
      </w:r>
      <w:r w:rsidRPr="00BD0D69">
        <w:rPr>
          <w:i/>
          <w:sz w:val="20"/>
        </w:rPr>
        <w:t>Global Change Biology</w:t>
      </w:r>
      <w:r w:rsidRPr="00BD0D69">
        <w:rPr>
          <w:sz w:val="20"/>
        </w:rPr>
        <w:t xml:space="preserve"> </w:t>
      </w:r>
      <w:r w:rsidRPr="00BD0D69">
        <w:rPr>
          <w:b/>
          <w:sz w:val="20"/>
        </w:rPr>
        <w:t>18</w:t>
      </w:r>
      <w:r w:rsidRPr="00BD0D69">
        <w:rPr>
          <w:sz w:val="20"/>
        </w:rPr>
        <w:t>, 685-699, doi:10.1111/j.1365-2486.2011.02573.x (2012).</w:t>
      </w:r>
    </w:p>
    <w:p w14:paraId="294748B5" w14:textId="77777777" w:rsidR="00DF694E" w:rsidRPr="00BD0D69" w:rsidRDefault="00DF694E" w:rsidP="00DF694E">
      <w:pPr>
        <w:pStyle w:val="EndNoteBibliography"/>
        <w:ind w:left="720" w:hanging="720"/>
        <w:rPr>
          <w:sz w:val="20"/>
        </w:rPr>
      </w:pPr>
      <w:r w:rsidRPr="00BD0D69">
        <w:rPr>
          <w:sz w:val="20"/>
        </w:rPr>
        <w:t>6</w:t>
      </w:r>
      <w:r w:rsidRPr="00BD0D69">
        <w:rPr>
          <w:sz w:val="20"/>
        </w:rPr>
        <w:tab/>
        <w:t xml:space="preserve">Tan, Z., Tieszen, L. L., Zhu, Z., Liu, S. &amp; Howard, S. M. An estimate of carbon emissions from 2004 wildfires across Alaskan Yukon River Basin. </w:t>
      </w:r>
      <w:r w:rsidRPr="00BD0D69">
        <w:rPr>
          <w:i/>
          <w:sz w:val="20"/>
        </w:rPr>
        <w:t>Carbon Balance and Management</w:t>
      </w:r>
      <w:r w:rsidRPr="00BD0D69">
        <w:rPr>
          <w:sz w:val="20"/>
        </w:rPr>
        <w:t xml:space="preserve"> </w:t>
      </w:r>
      <w:r w:rsidRPr="00BD0D69">
        <w:rPr>
          <w:b/>
          <w:sz w:val="20"/>
        </w:rPr>
        <w:t>2</w:t>
      </w:r>
      <w:r w:rsidRPr="00BD0D69">
        <w:rPr>
          <w:sz w:val="20"/>
        </w:rPr>
        <w:t>, 12, doi:10.1186/1750-0680-2-12 (2007).</w:t>
      </w:r>
    </w:p>
    <w:p w14:paraId="73F90BAD" w14:textId="77777777" w:rsidR="00DF694E" w:rsidRPr="00BD0D69" w:rsidRDefault="00DF694E" w:rsidP="00DF694E">
      <w:pPr>
        <w:pStyle w:val="EndNoteBibliography"/>
        <w:ind w:left="720" w:hanging="720"/>
        <w:rPr>
          <w:sz w:val="20"/>
        </w:rPr>
      </w:pPr>
      <w:r w:rsidRPr="00BD0D69">
        <w:rPr>
          <w:sz w:val="20"/>
        </w:rPr>
        <w:t>7</w:t>
      </w:r>
      <w:r w:rsidRPr="00BD0D69">
        <w:rPr>
          <w:sz w:val="20"/>
        </w:rPr>
        <w:tab/>
        <w:t>Amiro, B. D.</w:t>
      </w:r>
      <w:r w:rsidRPr="00BD0D69">
        <w:rPr>
          <w:i/>
          <w:sz w:val="20"/>
        </w:rPr>
        <w:t xml:space="preserve"> et al.</w:t>
      </w:r>
      <w:r w:rsidRPr="00BD0D69">
        <w:rPr>
          <w:sz w:val="20"/>
        </w:rPr>
        <w:t xml:space="preserve"> Direct carbon emissions from Canadian forest fires, 1959-1999. </w:t>
      </w:r>
      <w:r w:rsidRPr="00BD0D69">
        <w:rPr>
          <w:i/>
          <w:sz w:val="20"/>
        </w:rPr>
        <w:t>Canadian Journal of Forest Research</w:t>
      </w:r>
      <w:r w:rsidRPr="00BD0D69">
        <w:rPr>
          <w:sz w:val="20"/>
        </w:rPr>
        <w:t xml:space="preserve"> </w:t>
      </w:r>
      <w:r w:rsidRPr="00BD0D69">
        <w:rPr>
          <w:b/>
          <w:sz w:val="20"/>
        </w:rPr>
        <w:t>31</w:t>
      </w:r>
      <w:r w:rsidRPr="00BD0D69">
        <w:rPr>
          <w:sz w:val="20"/>
        </w:rPr>
        <w:t>, 512-525, doi:10.1139/x00-197 (2001).</w:t>
      </w:r>
    </w:p>
    <w:p w14:paraId="5C354CA5" w14:textId="77777777" w:rsidR="00DF694E" w:rsidRPr="00BD0D69" w:rsidRDefault="00DF694E" w:rsidP="00DF694E">
      <w:pPr>
        <w:pStyle w:val="EndNoteBibliography"/>
        <w:ind w:left="720" w:hanging="720"/>
        <w:rPr>
          <w:sz w:val="20"/>
        </w:rPr>
      </w:pPr>
      <w:r w:rsidRPr="00BD0D69">
        <w:rPr>
          <w:sz w:val="20"/>
        </w:rPr>
        <w:t>8</w:t>
      </w:r>
      <w:r w:rsidRPr="00BD0D69">
        <w:rPr>
          <w:sz w:val="20"/>
        </w:rPr>
        <w:tab/>
        <w:t>de Groot, W.</w:t>
      </w:r>
      <w:r w:rsidRPr="00BD0D69">
        <w:rPr>
          <w:i/>
          <w:sz w:val="20"/>
        </w:rPr>
        <w:t xml:space="preserve"> et al.</w:t>
      </w:r>
      <w:r w:rsidRPr="00BD0D69">
        <w:rPr>
          <w:sz w:val="20"/>
        </w:rPr>
        <w:t xml:space="preserve"> Estimating direct carbon emissions from Canadian wildland fires. </w:t>
      </w:r>
      <w:r w:rsidRPr="00BD0D69">
        <w:rPr>
          <w:i/>
          <w:sz w:val="20"/>
        </w:rPr>
        <w:t>International Journal of Wildland Fire</w:t>
      </w:r>
      <w:r w:rsidRPr="00BD0D69">
        <w:rPr>
          <w:sz w:val="20"/>
        </w:rPr>
        <w:t xml:space="preserve"> </w:t>
      </w:r>
      <w:r w:rsidRPr="00BD0D69">
        <w:rPr>
          <w:b/>
          <w:sz w:val="20"/>
        </w:rPr>
        <w:t>16</w:t>
      </w:r>
      <w:r w:rsidRPr="00BD0D69">
        <w:rPr>
          <w:sz w:val="20"/>
        </w:rPr>
        <w:t>, doi:10.1071/WF06150 (2007).</w:t>
      </w:r>
    </w:p>
    <w:p w14:paraId="4298FFE4" w14:textId="77777777" w:rsidR="00DF694E" w:rsidRPr="00BD0D69" w:rsidRDefault="00DF694E" w:rsidP="00DF694E">
      <w:pPr>
        <w:pStyle w:val="EndNoteBibliography"/>
        <w:ind w:left="720" w:hanging="720"/>
        <w:rPr>
          <w:sz w:val="20"/>
        </w:rPr>
      </w:pPr>
      <w:r w:rsidRPr="00BD0D69">
        <w:rPr>
          <w:sz w:val="20"/>
        </w:rPr>
        <w:t>9</w:t>
      </w:r>
      <w:r w:rsidRPr="00BD0D69">
        <w:rPr>
          <w:sz w:val="20"/>
        </w:rPr>
        <w:tab/>
        <w:t>Walker, X. J.</w:t>
      </w:r>
      <w:r w:rsidRPr="00BD0D69">
        <w:rPr>
          <w:i/>
          <w:sz w:val="20"/>
        </w:rPr>
        <w:t xml:space="preserve"> et al.</w:t>
      </w:r>
      <w:r w:rsidRPr="00BD0D69">
        <w:rPr>
          <w:sz w:val="20"/>
        </w:rPr>
        <w:t xml:space="preserve"> Cross-scale controls on carbon emissions from boreal forest megafires. </w:t>
      </w:r>
      <w:r w:rsidRPr="00BD0D69">
        <w:rPr>
          <w:i/>
          <w:sz w:val="20"/>
        </w:rPr>
        <w:t>Global Change Biology</w:t>
      </w:r>
      <w:r w:rsidRPr="00BD0D69">
        <w:rPr>
          <w:sz w:val="20"/>
        </w:rPr>
        <w:t xml:space="preserve"> </w:t>
      </w:r>
      <w:r w:rsidRPr="00BD0D69">
        <w:rPr>
          <w:b/>
          <w:sz w:val="20"/>
        </w:rPr>
        <w:t>24</w:t>
      </w:r>
      <w:r w:rsidRPr="00BD0D69">
        <w:rPr>
          <w:sz w:val="20"/>
        </w:rPr>
        <w:t>, 4251-4265, doi:10.1111/gcb.14287 (2018).</w:t>
      </w:r>
    </w:p>
    <w:p w14:paraId="10F8B702" w14:textId="77777777" w:rsidR="00DF694E" w:rsidRPr="00BD0D69" w:rsidRDefault="00DF694E" w:rsidP="00DF694E">
      <w:pPr>
        <w:pStyle w:val="EndNoteBibliography"/>
        <w:ind w:left="720" w:hanging="720"/>
        <w:rPr>
          <w:sz w:val="20"/>
        </w:rPr>
      </w:pPr>
      <w:r w:rsidRPr="00BD0D69">
        <w:rPr>
          <w:sz w:val="20"/>
        </w:rPr>
        <w:t>10</w:t>
      </w:r>
      <w:r w:rsidRPr="00BD0D69">
        <w:rPr>
          <w:sz w:val="20"/>
        </w:rPr>
        <w:tab/>
        <w:t>van der Werf, G. R.</w:t>
      </w:r>
      <w:r w:rsidRPr="00BD0D69">
        <w:rPr>
          <w:i/>
          <w:sz w:val="20"/>
        </w:rPr>
        <w:t xml:space="preserve"> et al.</w:t>
      </w:r>
      <w:r w:rsidRPr="00BD0D69">
        <w:rPr>
          <w:sz w:val="20"/>
        </w:rPr>
        <w:t xml:space="preserve"> Global fire emissions and the contribution of deforestation, savanna, forest, agricultural, and peat fires (1997–2009). </w:t>
      </w:r>
      <w:r w:rsidRPr="00BD0D69">
        <w:rPr>
          <w:i/>
          <w:sz w:val="20"/>
        </w:rPr>
        <w:t>Atmos. Chem. Phys.</w:t>
      </w:r>
      <w:r w:rsidRPr="00BD0D69">
        <w:rPr>
          <w:sz w:val="20"/>
        </w:rPr>
        <w:t xml:space="preserve"> </w:t>
      </w:r>
      <w:r w:rsidRPr="00BD0D69">
        <w:rPr>
          <w:b/>
          <w:sz w:val="20"/>
        </w:rPr>
        <w:t>10</w:t>
      </w:r>
      <w:r w:rsidRPr="00BD0D69">
        <w:rPr>
          <w:sz w:val="20"/>
        </w:rPr>
        <w:t>, 11707-11735, doi:10.5194/acp-10-11707-2010 (2010).</w:t>
      </w:r>
    </w:p>
    <w:p w14:paraId="20387976" w14:textId="77777777" w:rsidR="00DF694E" w:rsidRPr="00BD0D69" w:rsidRDefault="00DF694E" w:rsidP="00DF694E">
      <w:pPr>
        <w:pStyle w:val="EndNoteBibliography"/>
        <w:ind w:left="720" w:hanging="720"/>
        <w:rPr>
          <w:sz w:val="20"/>
        </w:rPr>
      </w:pPr>
      <w:r w:rsidRPr="00BD0D69">
        <w:rPr>
          <w:sz w:val="20"/>
        </w:rPr>
        <w:t>11</w:t>
      </w:r>
      <w:r w:rsidRPr="00BD0D69">
        <w:rPr>
          <w:sz w:val="20"/>
        </w:rPr>
        <w:tab/>
        <w:t xml:space="preserve">Kasischke, E. S., Christensen, N. L. &amp; Stocks, B. J. Fire, Global Warming, and the Carbon Balance of Boreal Forests. </w:t>
      </w:r>
      <w:r w:rsidRPr="00BD0D69">
        <w:rPr>
          <w:i/>
          <w:sz w:val="20"/>
        </w:rPr>
        <w:t>Ecological Applications</w:t>
      </w:r>
      <w:r w:rsidRPr="00BD0D69">
        <w:rPr>
          <w:sz w:val="20"/>
        </w:rPr>
        <w:t xml:space="preserve"> </w:t>
      </w:r>
      <w:r w:rsidRPr="00BD0D69">
        <w:rPr>
          <w:b/>
          <w:sz w:val="20"/>
        </w:rPr>
        <w:t>5</w:t>
      </w:r>
      <w:r w:rsidRPr="00BD0D69">
        <w:rPr>
          <w:sz w:val="20"/>
        </w:rPr>
        <w:t>, 437-451, doi:10.2307/1942034 (1995).</w:t>
      </w:r>
    </w:p>
    <w:p w14:paraId="3EBFE118" w14:textId="77777777" w:rsidR="00DF694E" w:rsidRPr="00BD0D69" w:rsidRDefault="00DF694E" w:rsidP="00DF694E">
      <w:pPr>
        <w:pStyle w:val="EndNoteBibliography"/>
        <w:ind w:left="720" w:hanging="720"/>
        <w:rPr>
          <w:sz w:val="20"/>
        </w:rPr>
      </w:pPr>
      <w:r w:rsidRPr="00BD0D69">
        <w:rPr>
          <w:sz w:val="20"/>
        </w:rPr>
        <w:t>12</w:t>
      </w:r>
      <w:r w:rsidRPr="00BD0D69">
        <w:rPr>
          <w:sz w:val="20"/>
        </w:rPr>
        <w:tab/>
        <w:t>Kasischke, E. S.</w:t>
      </w:r>
      <w:r w:rsidRPr="00BD0D69">
        <w:rPr>
          <w:i/>
          <w:sz w:val="20"/>
        </w:rPr>
        <w:t xml:space="preserve"> et al.</w:t>
      </w:r>
      <w:r w:rsidRPr="00BD0D69">
        <w:rPr>
          <w:sz w:val="20"/>
        </w:rPr>
        <w:t xml:space="preserve"> Influences of boreal fire emissions on Northern Hemisphere atmospheric carbon and carbon monoxide. </w:t>
      </w:r>
      <w:r w:rsidRPr="00BD0D69">
        <w:rPr>
          <w:i/>
          <w:sz w:val="20"/>
        </w:rPr>
        <w:t>Global Biogeochemical Cycles</w:t>
      </w:r>
      <w:r w:rsidRPr="00BD0D69">
        <w:rPr>
          <w:sz w:val="20"/>
        </w:rPr>
        <w:t xml:space="preserve"> </w:t>
      </w:r>
      <w:r w:rsidRPr="00BD0D69">
        <w:rPr>
          <w:b/>
          <w:sz w:val="20"/>
        </w:rPr>
        <w:t>19</w:t>
      </w:r>
      <w:r w:rsidRPr="00BD0D69">
        <w:rPr>
          <w:sz w:val="20"/>
        </w:rPr>
        <w:t>, doi:10.1029/2004GB002300 (2005).</w:t>
      </w:r>
    </w:p>
    <w:p w14:paraId="2450442D" w14:textId="3198674E" w:rsidR="00CF16C9" w:rsidRPr="00797F24" w:rsidRDefault="004959D3" w:rsidP="00DF694E">
      <w:pPr>
        <w:pStyle w:val="NormalWeb"/>
        <w:rPr>
          <w:rFonts w:ascii="Arial" w:hAnsi="Arial" w:cs="Arial"/>
          <w:color w:val="333333"/>
          <w:sz w:val="20"/>
          <w:szCs w:val="20"/>
        </w:rPr>
      </w:pPr>
      <w:r w:rsidRPr="00BD0D69">
        <w:rPr>
          <w:rFonts w:ascii="Arial" w:hAnsi="Arial" w:cs="Arial"/>
          <w:color w:val="333333"/>
          <w:sz w:val="20"/>
          <w:szCs w:val="20"/>
        </w:rPr>
        <w:fldChar w:fldCharType="end"/>
      </w:r>
      <w:bookmarkStart w:id="0" w:name="_GoBack"/>
      <w:bookmarkEnd w:id="0"/>
    </w:p>
    <w:sectPr w:rsidR="00CF16C9" w:rsidRPr="00797F24" w:rsidSect="00F125EE">
      <w:headerReference w:type="default" r:id="rId12"/>
      <w:footerReference w:type="default" r:id="rId1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336A5" w14:textId="77777777" w:rsidR="00641AB4" w:rsidRDefault="00641AB4">
      <w:r>
        <w:separator/>
      </w:r>
    </w:p>
  </w:endnote>
  <w:endnote w:type="continuationSeparator" w:id="0">
    <w:p w14:paraId="29F7E0F5" w14:textId="77777777" w:rsidR="00641AB4" w:rsidRDefault="0064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28BA1598" w:rsidR="00461425" w:rsidRDefault="00461425">
    <w:pPr>
      <w:pStyle w:val="Footer"/>
      <w:jc w:val="right"/>
    </w:pPr>
    <w:r>
      <w:fldChar w:fldCharType="begin"/>
    </w:r>
    <w:r>
      <w:instrText xml:space="preserve"> PAGE   \* MERGEFORMAT </w:instrText>
    </w:r>
    <w:r>
      <w:fldChar w:fldCharType="separate"/>
    </w:r>
    <w:r w:rsidR="00BD0D69">
      <w:rPr>
        <w:noProof/>
      </w:rPr>
      <w:t>6</w:t>
    </w:r>
    <w:r>
      <w:fldChar w:fldCharType="end"/>
    </w:r>
  </w:p>
  <w:p w14:paraId="180EEFF6" w14:textId="77777777" w:rsidR="00461425" w:rsidRDefault="00461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4918" w14:textId="77777777" w:rsidR="00641AB4" w:rsidRDefault="00641AB4">
      <w:r>
        <w:separator/>
      </w:r>
    </w:p>
  </w:footnote>
  <w:footnote w:type="continuationSeparator" w:id="0">
    <w:p w14:paraId="361F199B" w14:textId="77777777" w:rsidR="00641AB4" w:rsidRDefault="00641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461425" w:rsidRPr="005001AC" w:rsidRDefault="00461425" w:rsidP="005001AC">
    <w:pPr>
      <w:jc w:val="right"/>
      <w:rPr>
        <w:sz w:val="20"/>
      </w:rPr>
    </w:pPr>
  </w:p>
  <w:p w14:paraId="0091C365" w14:textId="77777777" w:rsidR="00461425" w:rsidRDefault="0046142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41F43"/>
    <w:multiLevelType w:val="hybridMultilevel"/>
    <w:tmpl w:val="9E98C40E"/>
    <w:lvl w:ilvl="0" w:tplc="EB4435BA">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188"/>
    <w:multiLevelType w:val="hybridMultilevel"/>
    <w:tmpl w:val="6218D2BE"/>
    <w:lvl w:ilvl="0" w:tplc="1E32B83C">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wf2as9uepxr8epfdsvva5qt5rxtree9edp&quot;&gt;fire&lt;record-ids&gt;&lt;item&gt;23&lt;/item&gt;&lt;item&gt;30&lt;/item&gt;&lt;item&gt;38&lt;/item&gt;&lt;item&gt;42&lt;/item&gt;&lt;item&gt;58&lt;/item&gt;&lt;item&gt;65&lt;/item&gt;&lt;item&gt;66&lt;/item&gt;&lt;item&gt;68&lt;/item&gt;&lt;item&gt;81&lt;/item&gt;&lt;item&gt;86&lt;/item&gt;&lt;item&gt;88&lt;/item&gt;&lt;item&gt;89&lt;/item&gt;&lt;/record-ids&gt;&lt;/item&gt;&lt;/Libraries&gt;"/>
  </w:docVars>
  <w:rsids>
    <w:rsidRoot w:val="002C030F"/>
    <w:rsid w:val="00000312"/>
    <w:rsid w:val="000004B2"/>
    <w:rsid w:val="00015F74"/>
    <w:rsid w:val="00017C53"/>
    <w:rsid w:val="00030840"/>
    <w:rsid w:val="00065EBD"/>
    <w:rsid w:val="000671C4"/>
    <w:rsid w:val="00083B44"/>
    <w:rsid w:val="000850DC"/>
    <w:rsid w:val="000C2771"/>
    <w:rsid w:val="000E0417"/>
    <w:rsid w:val="000F0DCE"/>
    <w:rsid w:val="00112C5B"/>
    <w:rsid w:val="00114193"/>
    <w:rsid w:val="00115A38"/>
    <w:rsid w:val="0011687B"/>
    <w:rsid w:val="00124F82"/>
    <w:rsid w:val="0016337A"/>
    <w:rsid w:val="00164269"/>
    <w:rsid w:val="001A10B1"/>
    <w:rsid w:val="001A1BDE"/>
    <w:rsid w:val="001C0520"/>
    <w:rsid w:val="001C0975"/>
    <w:rsid w:val="001E6B1D"/>
    <w:rsid w:val="001F0876"/>
    <w:rsid w:val="001F167C"/>
    <w:rsid w:val="001F5E91"/>
    <w:rsid w:val="002077B9"/>
    <w:rsid w:val="00262D72"/>
    <w:rsid w:val="00294FBB"/>
    <w:rsid w:val="002C030F"/>
    <w:rsid w:val="002C667A"/>
    <w:rsid w:val="00315228"/>
    <w:rsid w:val="00325D90"/>
    <w:rsid w:val="00331D75"/>
    <w:rsid w:val="00355362"/>
    <w:rsid w:val="00360F2E"/>
    <w:rsid w:val="00363E44"/>
    <w:rsid w:val="003712EB"/>
    <w:rsid w:val="00387114"/>
    <w:rsid w:val="00395E86"/>
    <w:rsid w:val="00397983"/>
    <w:rsid w:val="003A2FD8"/>
    <w:rsid w:val="003B40E6"/>
    <w:rsid w:val="003C4E25"/>
    <w:rsid w:val="003F05BF"/>
    <w:rsid w:val="003F6E14"/>
    <w:rsid w:val="00405336"/>
    <w:rsid w:val="00441820"/>
    <w:rsid w:val="004571D5"/>
    <w:rsid w:val="00461425"/>
    <w:rsid w:val="00461D81"/>
    <w:rsid w:val="0046356B"/>
    <w:rsid w:val="00477182"/>
    <w:rsid w:val="004779CB"/>
    <w:rsid w:val="004959D3"/>
    <w:rsid w:val="004A159F"/>
    <w:rsid w:val="004B2F21"/>
    <w:rsid w:val="004E42D8"/>
    <w:rsid w:val="004E7BA2"/>
    <w:rsid w:val="004F7EDF"/>
    <w:rsid w:val="005001AC"/>
    <w:rsid w:val="00527D71"/>
    <w:rsid w:val="005607DD"/>
    <w:rsid w:val="005A558C"/>
    <w:rsid w:val="005D088E"/>
    <w:rsid w:val="005E28F8"/>
    <w:rsid w:val="005E6513"/>
    <w:rsid w:val="005F4E11"/>
    <w:rsid w:val="006069C6"/>
    <w:rsid w:val="00611A19"/>
    <w:rsid w:val="006140DF"/>
    <w:rsid w:val="00641AB4"/>
    <w:rsid w:val="00651114"/>
    <w:rsid w:val="0065772A"/>
    <w:rsid w:val="00670299"/>
    <w:rsid w:val="00690A01"/>
    <w:rsid w:val="00691985"/>
    <w:rsid w:val="006A1B64"/>
    <w:rsid w:val="006A6719"/>
    <w:rsid w:val="006D169A"/>
    <w:rsid w:val="006E3E68"/>
    <w:rsid w:val="006E6725"/>
    <w:rsid w:val="00701991"/>
    <w:rsid w:val="007108F5"/>
    <w:rsid w:val="00713E5B"/>
    <w:rsid w:val="00725F33"/>
    <w:rsid w:val="007402FC"/>
    <w:rsid w:val="007411A1"/>
    <w:rsid w:val="007431B8"/>
    <w:rsid w:val="00746F5F"/>
    <w:rsid w:val="007743AE"/>
    <w:rsid w:val="00797F24"/>
    <w:rsid w:val="007B5946"/>
    <w:rsid w:val="007D19A2"/>
    <w:rsid w:val="007F5297"/>
    <w:rsid w:val="00807D35"/>
    <w:rsid w:val="00820484"/>
    <w:rsid w:val="00824DF3"/>
    <w:rsid w:val="00840BB2"/>
    <w:rsid w:val="0088501A"/>
    <w:rsid w:val="00885C9B"/>
    <w:rsid w:val="008D334B"/>
    <w:rsid w:val="008D4038"/>
    <w:rsid w:val="008D5D2A"/>
    <w:rsid w:val="00914B63"/>
    <w:rsid w:val="009258B8"/>
    <w:rsid w:val="009354F3"/>
    <w:rsid w:val="00943C3C"/>
    <w:rsid w:val="009447DC"/>
    <w:rsid w:val="00961BA5"/>
    <w:rsid w:val="009743A9"/>
    <w:rsid w:val="009A4CB2"/>
    <w:rsid w:val="009A5287"/>
    <w:rsid w:val="009A670E"/>
    <w:rsid w:val="009B2AC5"/>
    <w:rsid w:val="009B7984"/>
    <w:rsid w:val="009D0224"/>
    <w:rsid w:val="009D1C70"/>
    <w:rsid w:val="009F4BED"/>
    <w:rsid w:val="009F7C26"/>
    <w:rsid w:val="009F7D93"/>
    <w:rsid w:val="00A23AF2"/>
    <w:rsid w:val="00A3403B"/>
    <w:rsid w:val="00A4038F"/>
    <w:rsid w:val="00A51A12"/>
    <w:rsid w:val="00A627D4"/>
    <w:rsid w:val="00A67B80"/>
    <w:rsid w:val="00A72B81"/>
    <w:rsid w:val="00A74DA2"/>
    <w:rsid w:val="00A90882"/>
    <w:rsid w:val="00AC1366"/>
    <w:rsid w:val="00AC15B4"/>
    <w:rsid w:val="00AD499C"/>
    <w:rsid w:val="00AE2D27"/>
    <w:rsid w:val="00B15008"/>
    <w:rsid w:val="00B31551"/>
    <w:rsid w:val="00B36869"/>
    <w:rsid w:val="00B42F9C"/>
    <w:rsid w:val="00B43B31"/>
    <w:rsid w:val="00B462EA"/>
    <w:rsid w:val="00B4734E"/>
    <w:rsid w:val="00B47CFA"/>
    <w:rsid w:val="00B57F00"/>
    <w:rsid w:val="00B77717"/>
    <w:rsid w:val="00B77B2A"/>
    <w:rsid w:val="00B82C22"/>
    <w:rsid w:val="00B8723B"/>
    <w:rsid w:val="00B93DBA"/>
    <w:rsid w:val="00B9440A"/>
    <w:rsid w:val="00BB2D2A"/>
    <w:rsid w:val="00BD0D69"/>
    <w:rsid w:val="00BD58CF"/>
    <w:rsid w:val="00BD5A45"/>
    <w:rsid w:val="00C046DC"/>
    <w:rsid w:val="00C04CC1"/>
    <w:rsid w:val="00C50C6D"/>
    <w:rsid w:val="00C600D9"/>
    <w:rsid w:val="00CC1384"/>
    <w:rsid w:val="00CD3720"/>
    <w:rsid w:val="00CF16C9"/>
    <w:rsid w:val="00CF1848"/>
    <w:rsid w:val="00CF5C2F"/>
    <w:rsid w:val="00D04BCF"/>
    <w:rsid w:val="00D143D9"/>
    <w:rsid w:val="00D269AB"/>
    <w:rsid w:val="00D346C2"/>
    <w:rsid w:val="00D41761"/>
    <w:rsid w:val="00DA59EA"/>
    <w:rsid w:val="00DD421A"/>
    <w:rsid w:val="00DF694E"/>
    <w:rsid w:val="00E12EB0"/>
    <w:rsid w:val="00E257C8"/>
    <w:rsid w:val="00E37047"/>
    <w:rsid w:val="00E60D0F"/>
    <w:rsid w:val="00E730EA"/>
    <w:rsid w:val="00E9773B"/>
    <w:rsid w:val="00EA2C5D"/>
    <w:rsid w:val="00EA596B"/>
    <w:rsid w:val="00EB1368"/>
    <w:rsid w:val="00EC13A3"/>
    <w:rsid w:val="00EC7C85"/>
    <w:rsid w:val="00EE4EDC"/>
    <w:rsid w:val="00F125EE"/>
    <w:rsid w:val="00F12E98"/>
    <w:rsid w:val="00F22029"/>
    <w:rsid w:val="00F514EC"/>
    <w:rsid w:val="00F630EA"/>
    <w:rsid w:val="00F7007E"/>
    <w:rsid w:val="00F70200"/>
    <w:rsid w:val="00F73193"/>
    <w:rsid w:val="00F74F95"/>
    <w:rsid w:val="00F80705"/>
    <w:rsid w:val="00F97DEC"/>
    <w:rsid w:val="00FA1481"/>
    <w:rsid w:val="00FA645B"/>
    <w:rsid w:val="00FB3374"/>
    <w:rsid w:val="00FC1BEF"/>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B4734E"/>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959D3"/>
    <w:pPr>
      <w:jc w:val="center"/>
    </w:pPr>
    <w:rPr>
      <w:noProof/>
    </w:rPr>
  </w:style>
  <w:style w:type="character" w:customStyle="1" w:styleId="EndNoteBibliographyTitleChar">
    <w:name w:val="EndNote Bibliography Title Char"/>
    <w:basedOn w:val="DefaultParagraphFont"/>
    <w:link w:val="EndNoteBibliographyTitle"/>
    <w:rsid w:val="004959D3"/>
    <w:rPr>
      <w:noProof/>
      <w:sz w:val="24"/>
    </w:rPr>
  </w:style>
  <w:style w:type="paragraph" w:customStyle="1" w:styleId="EndNoteBibliography">
    <w:name w:val="EndNote Bibliography"/>
    <w:basedOn w:val="Normal"/>
    <w:link w:val="EndNoteBibliographyChar"/>
    <w:rsid w:val="004959D3"/>
    <w:rPr>
      <w:noProof/>
    </w:rPr>
  </w:style>
  <w:style w:type="character" w:customStyle="1" w:styleId="EndNoteBibliographyChar">
    <w:name w:val="EndNote Bibliography Char"/>
    <w:basedOn w:val="DefaultParagraphFont"/>
    <w:link w:val="EndNoteBibliography"/>
    <w:rsid w:val="004959D3"/>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43442013">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088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zhuang@purdu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88893-54D3-4685-9BC6-F803FD11F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7</Pages>
  <Words>3648</Words>
  <Characters>20799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24399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Zhao, Bailu</cp:lastModifiedBy>
  <cp:revision>39</cp:revision>
  <cp:lastPrinted>2018-02-26T17:19:00Z</cp:lastPrinted>
  <dcterms:created xsi:type="dcterms:W3CDTF">2019-09-25T00:44:00Z</dcterms:created>
  <dcterms:modified xsi:type="dcterms:W3CDTF">2020-09-01T20:33:00Z</dcterms:modified>
</cp:coreProperties>
</file>