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451AA" w14:textId="77777777" w:rsidR="00E669F8" w:rsidRPr="00E6299B" w:rsidRDefault="00E669F8" w:rsidP="00E669F8">
      <w:pPr>
        <w:wordWrap/>
        <w:spacing w:line="480" w:lineRule="auto"/>
        <w:rPr>
          <w:rFonts w:ascii="Times New Roman" w:hAnsi="Times New Roman" w:cs="Times New Roman"/>
          <w:b/>
          <w:sz w:val="32"/>
          <w:szCs w:val="24"/>
          <w:lang w:val="en-US"/>
        </w:rPr>
      </w:pPr>
      <w:r w:rsidRPr="00E6299B">
        <w:rPr>
          <w:rFonts w:ascii="Times New Roman" w:hAnsi="Times New Roman" w:cs="Times New Roman"/>
          <w:b/>
          <w:sz w:val="32"/>
          <w:szCs w:val="24"/>
          <w:lang w:val="en-US"/>
        </w:rPr>
        <w:t>Supplementary Information</w:t>
      </w:r>
    </w:p>
    <w:p w14:paraId="754DACBD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Additional file 1: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Supplementary Methods</w:t>
      </w:r>
    </w:p>
    <w:p w14:paraId="3FE8C187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</w:t>
      </w: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2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Supplementary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Table 1</w:t>
      </w:r>
    </w:p>
    <w:p w14:paraId="5F551D0D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 xml:space="preserve">Table S1.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Properties and clinical features of 14 patients. Patient-derived Hepatocellular carcinoma cells were isolated from these patient specimen.</w:t>
      </w:r>
    </w:p>
    <w:p w14:paraId="5F4860B9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6B393B6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</w:t>
      </w: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3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Supplementary </w:t>
      </w:r>
      <w:r>
        <w:rPr>
          <w:rFonts w:ascii="Times New Roman" w:hAnsi="Times New Roman" w:cs="Times New Roman"/>
          <w:sz w:val="24"/>
          <w:szCs w:val="24"/>
          <w:lang w:val="en-US"/>
        </w:rPr>
        <w:t>Fig</w:t>
      </w:r>
      <w:r>
        <w:rPr>
          <w:rFonts w:ascii="Times New Roman" w:hAnsi="Times New Roman" w:cs="Times New Roman" w:hint="eastAsia"/>
          <w:sz w:val="24"/>
          <w:szCs w:val="24"/>
          <w:lang w:val="en-US"/>
        </w:rPr>
        <w:t>ures</w:t>
      </w:r>
    </w:p>
    <w:p w14:paraId="6236ACA5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Fig. S1.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Target gene expression profiling in patient-derived </w:t>
      </w: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metastatic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HCC.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A,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Hierarchical clustering shows differential gene expression; gene expression profiles in the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patient-derived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non-metastatic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HCC (n=1,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fe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male)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and metastatic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HCC cells (n=1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3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, male;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9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, female;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4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) compared to those in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established HCC, Huh7.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B–</w:t>
      </w: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D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Gene expression variances were evaluated on mRNA sequencing (mRNA seq) analysis between the non-metastatic and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metastatic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HCC cells.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E,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Immunoblot analysis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for expression of HCC markers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between the non-metastatic and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metastatic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HCC cells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compare than normal liver cell.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**; p&lt;0.01 versus non-metastatic HCC cells.</w:t>
      </w:r>
    </w:p>
    <w:p w14:paraId="668A15C6" w14:textId="77777777" w:rsidR="00E669F8" w:rsidRPr="00E6299B" w:rsidRDefault="00E669F8" w:rsidP="00E669F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Fig. S2.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Patient or specimen information for the patient-derived Hepatocellular carcinoma (HCC) cell line used in the study. A–D,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computed tomography (CT) scan images.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E–H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, primary tumor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US"/>
        </w:rPr>
        <w:t>Fig.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s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HCC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patient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s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A and E,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CT image and sectioned photo of the primary tumor of a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71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-year-old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woman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diagnosed with HCC. The non-metastatic HCC cell line, YUMC-NM-H1, was isolated from this specimen. </w:t>
      </w:r>
      <w:r w:rsidRPr="00E6299B">
        <w:rPr>
          <w:rFonts w:ascii="Times New Roman" w:hAnsi="Times New Roman" w:cs="Times New Roman"/>
          <w:sz w:val="24"/>
          <w:szCs w:val="24"/>
        </w:rPr>
        <w:t>She presented with a 2.5 cm multinodular-confluent HCC located in segment 3 of the liver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B and F,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CT image and sectioned photo of the primary tumor of a </w:t>
      </w:r>
      <w:r w:rsidRPr="00E6299B">
        <w:rPr>
          <w:rFonts w:ascii="Times New Roman" w:hAnsi="Times New Roman" w:cs="Times New Roman"/>
          <w:sz w:val="24"/>
          <w:szCs w:val="24"/>
        </w:rPr>
        <w:t xml:space="preserve">53-year-old woman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also diagnosed with HCC; the YUMC-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1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cell line was isolated from this specimen.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C and G,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CT image and sectioned photo of the primary tumor of a 6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7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-year-old man diagnosed with HCC; the YUMC-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2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cell line was isolated from this specimen.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D and H,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CT image and sectioned photo of the primary tumor of a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71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-year-old man diagnosed with HCC; the YUMC-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3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cell line was isolated from this specimen. Yellow circles show primary mass without metastasis and recurrence. Red circles indicate observed metastasis. </w:t>
      </w:r>
    </w:p>
    <w:p w14:paraId="5A7232FB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Fig. S3. metastatic</w:t>
      </w:r>
      <w:r w:rsidRPr="00E6299B">
        <w:rPr>
          <w:rFonts w:ascii="Times New Roman" w:hAnsi="Times New Roman" w:cs="Times New Roman"/>
          <w:b/>
          <w:sz w:val="24"/>
          <w:szCs w:val="24"/>
        </w:rPr>
        <w:t xml:space="preserve"> HCC survival during prolonged</w:t>
      </w:r>
      <w:r w:rsidRPr="00E6299B">
        <w:rPr>
          <w:rFonts w:ascii="Times New Roman" w:hAnsi="Times New Roman" w:cs="Times New Roman" w:hint="eastAsia"/>
          <w:b/>
          <w:sz w:val="24"/>
          <w:szCs w:val="24"/>
        </w:rPr>
        <w:t xml:space="preserve"> sorafenib</w:t>
      </w:r>
      <w:r w:rsidRPr="00E6299B">
        <w:rPr>
          <w:rFonts w:ascii="Times New Roman" w:hAnsi="Times New Roman" w:cs="Times New Roman"/>
          <w:b/>
          <w:sz w:val="24"/>
          <w:szCs w:val="24"/>
        </w:rPr>
        <w:t xml:space="preserve"> treatment–induced metabolic stress depended on SERCA</w:t>
      </w:r>
      <w:r w:rsidRPr="00E6299B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E6299B">
        <w:rPr>
          <w:rFonts w:ascii="Times New Roman" w:hAnsi="Times New Roman" w:cs="Times New Roman"/>
          <w:b/>
          <w:sz w:val="24"/>
          <w:szCs w:val="24"/>
        </w:rPr>
        <w:t xml:space="preserve"> expression induction</w:t>
      </w:r>
      <w:r w:rsidRPr="00E6299B">
        <w:rPr>
          <w:rFonts w:ascii="Times New Roman" w:hAnsi="Times New Roman" w:cs="Times New Roman" w:hint="eastAsia"/>
          <w:b/>
          <w:sz w:val="24"/>
          <w:szCs w:val="24"/>
        </w:rPr>
        <w:t xml:space="preserve"> by </w:t>
      </w:r>
      <w:r w:rsidRPr="00E6299B">
        <w:rPr>
          <w:rFonts w:ascii="Times New Roman" w:hAnsi="Times New Roman" w:cs="Times New Roman"/>
          <w:b/>
          <w:sz w:val="24"/>
          <w:szCs w:val="24"/>
        </w:rPr>
        <w:t>CaMK2α-mediated</w:t>
      </w:r>
      <w:r w:rsidRPr="00E6299B">
        <w:rPr>
          <w:rFonts w:ascii="Times New Roman" w:hAnsi="Times New Roman" w:cs="Times New Roman" w:hint="eastAsia"/>
          <w:b/>
          <w:sz w:val="24"/>
          <w:szCs w:val="24"/>
        </w:rPr>
        <w:t xml:space="preserve"> nuclear translocated </w:t>
      </w:r>
      <w:r w:rsidRPr="00E6299B">
        <w:rPr>
          <w:rFonts w:ascii="Times New Roman" w:hAnsi="Times New Roman" w:cs="Times New Roman"/>
          <w:b/>
          <w:sz w:val="24"/>
          <w:szCs w:val="24"/>
        </w:rPr>
        <w:t>NFκB.</w:t>
      </w:r>
      <w:r w:rsidRPr="00E6299B">
        <w:rPr>
          <w:rFonts w:ascii="Times New Roman" w:hAnsi="Times New Roman" w:cs="Times New Roman"/>
          <w:sz w:val="24"/>
          <w:szCs w:val="24"/>
        </w:rPr>
        <w:t xml:space="preserve"> </w:t>
      </w:r>
      <w:r w:rsidRPr="00E6299B">
        <w:rPr>
          <w:rFonts w:ascii="Times New Roman" w:hAnsi="Times New Roman" w:cs="Times New Roman"/>
          <w:b/>
          <w:sz w:val="24"/>
          <w:szCs w:val="24"/>
        </w:rPr>
        <w:t>A</w:t>
      </w:r>
      <w:r w:rsidRPr="00E6299B">
        <w:rPr>
          <w:rFonts w:ascii="Times New Roman" w:hAnsi="Times New Roman" w:cs="Times New Roman"/>
          <w:sz w:val="24"/>
          <w:szCs w:val="24"/>
        </w:rPr>
        <w:t>, EMSA assay of NFκB, its transcriptional factor NFκB</w:t>
      </w:r>
      <w:r w:rsidRPr="00E6299B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E6299B">
        <w:rPr>
          <w:rFonts w:ascii="Times New Roman" w:hAnsi="Times New Roman" w:cs="Times New Roman"/>
          <w:sz w:val="24"/>
          <w:szCs w:val="24"/>
        </w:rPr>
        <w:t>with the SERCA1 promoters. Lane 1; Control (NFκB hot probe) + YUMC-NM-H1, nucleic extract, lane 2; Mutant (NFκB hot probe, mutant) + YUMC-NM-H1, nucleic extract, lane 3;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1</w:t>
      </w:r>
      <w:r w:rsidRPr="00E6299B">
        <w:rPr>
          <w:rFonts w:ascii="Times New Roman" w:hAnsi="Times New Roman" w:cs="Times New Roman"/>
          <w:sz w:val="24"/>
          <w:szCs w:val="24"/>
        </w:rPr>
        <w:t>, si-CaMK2α (NFκB hot probe + nucleic extract), lane 4;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1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hot probe + nucleic extract), lane 5;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2</w:t>
      </w:r>
      <w:r w:rsidRPr="00E6299B">
        <w:rPr>
          <w:rFonts w:ascii="Times New Roman" w:hAnsi="Times New Roman" w:cs="Times New Roman"/>
          <w:sz w:val="24"/>
          <w:szCs w:val="24"/>
        </w:rPr>
        <w:t>, si-CaMK2α (NFκB hot probe + nucleic extract), lane 6;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2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hot probe + nucleic extract), lane 7;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M-</w:t>
      </w:r>
      <w:r w:rsidRPr="00E6299B">
        <w:rPr>
          <w:rFonts w:ascii="Times New Roman" w:hAnsi="Times New Roman" w:cs="Times New Roman"/>
          <w:sz w:val="24"/>
          <w:szCs w:val="24"/>
        </w:rPr>
        <w:t>H</w:t>
      </w:r>
      <w:r w:rsidRPr="00E6299B">
        <w:rPr>
          <w:rFonts w:ascii="Times New Roman" w:hAnsi="Times New Roman" w:cs="Times New Roman" w:hint="eastAsia"/>
          <w:sz w:val="24"/>
          <w:szCs w:val="24"/>
        </w:rPr>
        <w:t>3</w:t>
      </w:r>
      <w:r w:rsidRPr="00E6299B">
        <w:rPr>
          <w:rFonts w:ascii="Times New Roman" w:hAnsi="Times New Roman" w:cs="Times New Roman"/>
          <w:sz w:val="24"/>
          <w:szCs w:val="24"/>
        </w:rPr>
        <w:t>, si-CaMK2α (NFκB hot probe + nucleic extract), lane 8;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3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hot probe + nucleic extract), lane 9; YUMC-NM-H1, si-CaMK2α (NFκB hot probe + nucleic extract), lane 10; YUMC-NM-H1 (NFκB hot probe + nucleic extract), </w:t>
      </w:r>
      <w:r w:rsidRPr="00E6299B">
        <w:rPr>
          <w:rFonts w:ascii="Times New Roman" w:hAnsi="Times New Roman" w:cs="Times New Roman"/>
          <w:b/>
          <w:sz w:val="24"/>
          <w:szCs w:val="24"/>
        </w:rPr>
        <w:t>B,</w:t>
      </w:r>
      <w:r w:rsidRPr="00E6299B">
        <w:rPr>
          <w:rFonts w:ascii="Times New Roman" w:hAnsi="Times New Roman" w:cs="Times New Roman"/>
          <w:sz w:val="24"/>
          <w:szCs w:val="24"/>
        </w:rPr>
        <w:t xml:space="preserve"> Lane 1; Control (NFκB hot probe) + YUMC-NM-H1 nucleic extract, lane 2; Mutant (NFκB hot probe, mutant) + YUMC-NM-H1 nucleic extract + NFκB antibody 3ug, lane 3; YUMC-NM-H1, NFκB  hot probe + nucleic extract + NFκB antibody 3ug), lane 4;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1</w:t>
      </w:r>
      <w:r w:rsidRPr="00E6299B">
        <w:rPr>
          <w:rFonts w:ascii="Times New Roman" w:hAnsi="Times New Roman" w:cs="Times New Roman"/>
          <w:sz w:val="24"/>
          <w:szCs w:val="24"/>
        </w:rPr>
        <w:t>,si-CaMK2α (NFκB hot probe + nucleic extract + NFκB antibody 3ug),  lane 5;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2</w:t>
      </w:r>
      <w:r w:rsidRPr="00E6299B">
        <w:rPr>
          <w:rFonts w:ascii="Times New Roman" w:hAnsi="Times New Roman" w:cs="Times New Roman"/>
          <w:sz w:val="24"/>
          <w:szCs w:val="24"/>
        </w:rPr>
        <w:t>,si-CaMK2α (NFκB hot probe + nucleic extract + NFκB antibody 3ug), lane 6;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3</w:t>
      </w:r>
      <w:r w:rsidRPr="00E6299B">
        <w:rPr>
          <w:rFonts w:ascii="Times New Roman" w:hAnsi="Times New Roman" w:cs="Times New Roman"/>
          <w:sz w:val="24"/>
          <w:szCs w:val="24"/>
        </w:rPr>
        <w:t>,si-CaMK2α (NFκB hot probe + nucleic extract + NFκB antibody 3ug), lane 7;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1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 hot probe + nucleic extract + NFκB antibody 3ug), lane 8;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2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 hot probe + nucleic extract + NFκB antibody 3ug), lane 9;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3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 hot probe + nucleic extract </w:t>
      </w:r>
      <w:r w:rsidRPr="00E6299B">
        <w:rPr>
          <w:rFonts w:ascii="Times New Roman" w:hAnsi="Times New Roman" w:cs="Times New Roman"/>
          <w:sz w:val="24"/>
          <w:szCs w:val="24"/>
        </w:rPr>
        <w:lastRenderedPageBreak/>
        <w:t>+ NFκB antibody 3ug),  lane 10;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1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hot probe + nucleic extract + NFκB antibody 1ug), lane 11; YUMC-</w:t>
      </w:r>
      <w:r w:rsidRPr="00E6299B">
        <w:rPr>
          <w:rFonts w:ascii="Times New Roman" w:hAnsi="Times New Roman" w:cs="Times New Roman" w:hint="eastAsia"/>
          <w:sz w:val="24"/>
          <w:szCs w:val="24"/>
        </w:rPr>
        <w:t>M</w:t>
      </w:r>
      <w:r w:rsidRPr="00E6299B">
        <w:rPr>
          <w:rFonts w:ascii="Times New Roman" w:hAnsi="Times New Roman" w:cs="Times New Roman"/>
          <w:sz w:val="24"/>
          <w:szCs w:val="24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</w:rPr>
        <w:t>2</w:t>
      </w:r>
      <w:r w:rsidRPr="00E6299B">
        <w:rPr>
          <w:rFonts w:ascii="Times New Roman" w:hAnsi="Times New Roman" w:cs="Times New Roman"/>
          <w:sz w:val="24"/>
          <w:szCs w:val="24"/>
        </w:rPr>
        <w:t xml:space="preserve"> (NFκB  hot probe + nucleic extract + NFκB antibody 1ug)</w:t>
      </w:r>
      <w:r w:rsidRPr="00E6299B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6299B">
        <w:rPr>
          <w:rFonts w:ascii="Times New Roman" w:hAnsi="Times New Roman" w:cs="Times New Roman" w:hint="eastAsia"/>
          <w:b/>
          <w:sz w:val="24"/>
          <w:szCs w:val="24"/>
        </w:rPr>
        <w:t xml:space="preserve">C, </w:t>
      </w:r>
      <w:r w:rsidRPr="00E6299B">
        <w:rPr>
          <w:rFonts w:ascii="Times New Roman" w:hAnsi="Times New Roman" w:cs="Times New Roman"/>
          <w:sz w:val="24"/>
          <w:szCs w:val="24"/>
        </w:rPr>
        <w:t xml:space="preserve">Dual Luciferase Reporter Assay, which was used to compare NFκB transcriptional activity between </w:t>
      </w:r>
      <w:r w:rsidRPr="00E6299B">
        <w:rPr>
          <w:rFonts w:ascii="Times New Roman" w:hAnsi="Times New Roman" w:cs="Times New Roman" w:hint="eastAsia"/>
          <w:sz w:val="24"/>
          <w:szCs w:val="24"/>
        </w:rPr>
        <w:t xml:space="preserve">non-metastatic and metastatic HCC </w:t>
      </w:r>
      <w:r w:rsidRPr="00E6299B">
        <w:rPr>
          <w:rFonts w:ascii="Times New Roman" w:hAnsi="Times New Roman" w:cs="Times New Roman"/>
          <w:sz w:val="24"/>
          <w:szCs w:val="24"/>
        </w:rPr>
        <w:t>in CaMK2α knockdown. **P &lt; 0.01 vs</w:t>
      </w:r>
      <w:r w:rsidRPr="00E6299B">
        <w:rPr>
          <w:rFonts w:ascii="Times New Roman" w:hAnsi="Times New Roman" w:cs="Times New Roman" w:hint="eastAsia"/>
          <w:sz w:val="24"/>
          <w:szCs w:val="24"/>
        </w:rPr>
        <w:t xml:space="preserve"> non-metastatic HCC cell</w:t>
      </w:r>
      <w:r w:rsidRPr="00E6299B">
        <w:rPr>
          <w:rFonts w:ascii="Times New Roman" w:hAnsi="Times New Roman" w:cs="Times New Roman"/>
          <w:sz w:val="24"/>
          <w:szCs w:val="24"/>
        </w:rPr>
        <w:t xml:space="preserve">, YUMC-NM-H1. </w:t>
      </w:r>
    </w:p>
    <w:p w14:paraId="6A1AB028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CE4DABB" w14:textId="77777777" w:rsidR="00E669F8" w:rsidRPr="00E6299B" w:rsidRDefault="00E669F8" w:rsidP="00E669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  <w:lang w:val="en-US"/>
        </w:rPr>
        <w:t>4</w:t>
      </w: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 xml:space="preserve">.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Changes in relative tumor volumes at different doses of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sorafenib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A: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YUMC-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1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B: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YUMC-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2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E6299B">
        <w:rPr>
          <w:rFonts w:ascii="Times New Roman" w:hAnsi="Times New Roman" w:cs="Times New Roman"/>
          <w:b/>
          <w:sz w:val="24"/>
          <w:szCs w:val="24"/>
          <w:lang w:val="en-US"/>
        </w:rPr>
        <w:t>C: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YUMC-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M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-H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3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. The dose of </w:t>
      </w:r>
      <w:r w:rsidRPr="00E6299B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candidate 56 </w:t>
      </w:r>
      <w:r w:rsidRPr="00E6299B">
        <w:rPr>
          <w:rFonts w:ascii="Times New Roman" w:eastAsia="Malgun Gothic" w:hAnsi="Times New Roman" w:cs="Times New Roman" w:hint="eastAsia"/>
          <w:sz w:val="24"/>
          <w:szCs w:val="24"/>
          <w:lang w:val="en-US"/>
        </w:rPr>
        <w:t>or</w:t>
      </w:r>
      <w:r w:rsidRPr="00E6299B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 </w:t>
      </w:r>
      <w:r w:rsidRPr="00E6299B">
        <w:rPr>
          <w:rFonts w:ascii="Times New Roman" w:eastAsia="Malgun Gothic" w:hAnsi="Times New Roman" w:cs="Times New Roman" w:hint="eastAsia"/>
          <w:sz w:val="24"/>
          <w:szCs w:val="24"/>
          <w:lang w:val="en-US"/>
        </w:rPr>
        <w:t xml:space="preserve">62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was fixed 25 mg/kg (p.o.). Data are presented as mean ± standard error of mean. *p&lt;0.05 versus control (</w:t>
      </w:r>
      <w:r w:rsidRPr="00E6299B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candidate 56 </w:t>
      </w:r>
      <w:r w:rsidRPr="00E6299B">
        <w:rPr>
          <w:rFonts w:ascii="Times New Roman" w:eastAsia="Malgun Gothic" w:hAnsi="Times New Roman" w:cs="Times New Roman" w:hint="eastAsia"/>
          <w:sz w:val="24"/>
          <w:szCs w:val="24"/>
          <w:lang w:val="en-US"/>
        </w:rPr>
        <w:t>or</w:t>
      </w:r>
      <w:r w:rsidRPr="00E6299B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 </w:t>
      </w:r>
      <w:r w:rsidRPr="00E6299B">
        <w:rPr>
          <w:rFonts w:ascii="Times New Roman" w:eastAsia="Malgun Gothic" w:hAnsi="Times New Roman" w:cs="Times New Roman" w:hint="eastAsia"/>
          <w:sz w:val="24"/>
          <w:szCs w:val="24"/>
          <w:lang w:val="en-US"/>
        </w:rPr>
        <w:t xml:space="preserve">62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40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mg/kg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sorafenib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), **p&lt;0.01 versus control (</w:t>
      </w:r>
      <w:r w:rsidRPr="00E6299B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candidate 56 </w:t>
      </w:r>
      <w:r w:rsidRPr="00E6299B">
        <w:rPr>
          <w:rFonts w:ascii="Times New Roman" w:eastAsia="Malgun Gothic" w:hAnsi="Times New Roman" w:cs="Times New Roman" w:hint="eastAsia"/>
          <w:sz w:val="24"/>
          <w:szCs w:val="24"/>
          <w:lang w:val="en-US"/>
        </w:rPr>
        <w:t>or</w:t>
      </w:r>
      <w:r w:rsidRPr="00E6299B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 </w:t>
      </w:r>
      <w:r w:rsidRPr="00E6299B">
        <w:rPr>
          <w:rFonts w:ascii="Times New Roman" w:eastAsia="Malgun Gothic" w:hAnsi="Times New Roman" w:cs="Times New Roman" w:hint="eastAsia"/>
          <w:sz w:val="24"/>
          <w:szCs w:val="24"/>
          <w:lang w:val="en-US"/>
        </w:rPr>
        <w:t xml:space="preserve">62 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40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 mg/kg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sorafenib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). *,**;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candidate 56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 xml:space="preserve">, *,**; 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>candidate 62</w:t>
      </w:r>
      <w:r w:rsidRPr="00E6299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Pr="00E6299B">
        <w:rPr>
          <w:rFonts w:ascii="Times New Roman" w:hAnsi="Times New Roman" w:cs="Times New Roman" w:hint="eastAsia"/>
          <w:b/>
          <w:sz w:val="24"/>
          <w:szCs w:val="24"/>
          <w:lang w:val="en-US"/>
        </w:rPr>
        <w:t>D,</w:t>
      </w:r>
      <w:r w:rsidRPr="00E6299B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Pr="00E6299B">
        <w:rPr>
          <w:rFonts w:ascii="Times New Roman" w:hAnsi="Times New Roman" w:cs="Times New Roman"/>
          <w:sz w:val="24"/>
          <w:szCs w:val="24"/>
        </w:rPr>
        <w:t xml:space="preserve">The change of whole body weight measurement under treatment with thapsigargin, </w:t>
      </w:r>
      <w:r w:rsidRPr="00E6299B">
        <w:rPr>
          <w:rFonts w:ascii="Times New Roman" w:hAnsi="Times New Roman" w:cs="Times New Roman" w:hint="eastAsia"/>
          <w:sz w:val="24"/>
          <w:szCs w:val="24"/>
        </w:rPr>
        <w:t>candidate 56</w:t>
      </w:r>
      <w:r w:rsidRPr="00E6299B">
        <w:rPr>
          <w:rFonts w:ascii="Times New Roman" w:hAnsi="Times New Roman" w:cs="Times New Roman"/>
          <w:sz w:val="24"/>
          <w:szCs w:val="24"/>
        </w:rPr>
        <w:t xml:space="preserve"> or </w:t>
      </w:r>
      <w:r w:rsidRPr="00E6299B">
        <w:rPr>
          <w:rFonts w:ascii="Times New Roman" w:hAnsi="Times New Roman" w:cs="Times New Roman" w:hint="eastAsia"/>
          <w:sz w:val="24"/>
          <w:szCs w:val="24"/>
        </w:rPr>
        <w:t>6</w:t>
      </w:r>
      <w:r w:rsidRPr="00E6299B">
        <w:rPr>
          <w:rFonts w:ascii="Times New Roman" w:hAnsi="Times New Roman" w:cs="Times New Roman"/>
          <w:sz w:val="24"/>
          <w:szCs w:val="24"/>
        </w:rPr>
        <w:t xml:space="preserve">2 alone in normal mice (not </w:t>
      </w:r>
      <w:r w:rsidRPr="00E6299B">
        <w:rPr>
          <w:rFonts w:ascii="Times New Roman" w:hAnsi="Times New Roman" w:cs="Times New Roman" w:hint="eastAsia"/>
          <w:sz w:val="24"/>
          <w:szCs w:val="24"/>
        </w:rPr>
        <w:t>xenograft model</w:t>
      </w:r>
      <w:r w:rsidRPr="00E6299B">
        <w:rPr>
          <w:rFonts w:ascii="Times New Roman" w:hAnsi="Times New Roman" w:cs="Times New Roman"/>
          <w:sz w:val="24"/>
          <w:szCs w:val="24"/>
        </w:rPr>
        <w:t>) compared with the non-treated group.</w:t>
      </w:r>
    </w:p>
    <w:p w14:paraId="1C5656F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9F8"/>
    <w:rsid w:val="00011C58"/>
    <w:rsid w:val="0006021D"/>
    <w:rsid w:val="00331A6B"/>
    <w:rsid w:val="00755780"/>
    <w:rsid w:val="00857596"/>
    <w:rsid w:val="00B26AF0"/>
    <w:rsid w:val="00C025DD"/>
    <w:rsid w:val="00E6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86893"/>
  <w15:chartTrackingRefBased/>
  <w15:docId w15:val="{1C6B9A2B-ADFD-45BB-9480-5332E0138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9F8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sz w:val="20"/>
      <w:szCs w:val="22"/>
      <w:lang w:val="en-GB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69F8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69F8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69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69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9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9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69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69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69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69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69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69F8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69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69F8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69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69F8"/>
    <w:pPr>
      <w:widowControl/>
      <w:wordWrap/>
      <w:autoSpaceDE/>
      <w:autoSpaceDN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69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69F8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69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9F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9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69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676</Words>
  <Characters>3858</Characters>
  <Application>Microsoft Office Word</Application>
  <DocSecurity>0</DocSecurity>
  <Lines>32</Lines>
  <Paragraphs>9</Paragraphs>
  <ScaleCrop>false</ScaleCrop>
  <Company>Springer Nature</Company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2025-09-17T05:09:00Z</dcterms:created>
  <dcterms:modified xsi:type="dcterms:W3CDTF">2025-09-17T05:09:00Z</dcterms:modified>
</cp:coreProperties>
</file>