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A1BF0" w14:textId="6CF150AB" w:rsidR="00F5486C" w:rsidRDefault="00F5486C" w:rsidP="00501361">
      <w:pPr>
        <w:adjustRightInd w:val="0"/>
        <w:snapToGrid w:val="0"/>
        <w:spacing w:line="360" w:lineRule="auto"/>
        <w:contextualSpacing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Epigenetic Rewiring Connects Aging to Alzheimer’s Pathology in the Human Prefrontal Cortex</w:t>
      </w:r>
    </w:p>
    <w:p w14:paraId="30288BDB" w14:textId="77777777" w:rsidR="00F5486C" w:rsidRPr="00F5486C" w:rsidRDefault="00F5486C" w:rsidP="00501361">
      <w:pPr>
        <w:adjustRightInd w:val="0"/>
        <w:snapToGrid w:val="0"/>
        <w:spacing w:line="360" w:lineRule="auto"/>
        <w:contextualSpacing/>
        <w:rPr>
          <w:rFonts w:ascii="Times New Roman" w:hAnsi="Times New Roman" w:cs="Times New Roman"/>
          <w:sz w:val="28"/>
          <w:szCs w:val="32"/>
        </w:rPr>
      </w:pPr>
    </w:p>
    <w:p w14:paraId="10144297" w14:textId="53EFC36A" w:rsidR="00865EEF" w:rsidRDefault="00865EEF" w:rsidP="00501361">
      <w:pPr>
        <w:adjustRightInd w:val="0"/>
        <w:snapToGrid w:val="0"/>
        <w:spacing w:line="360" w:lineRule="auto"/>
        <w:contextualSpacing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Supplementary Figure</w:t>
      </w:r>
    </w:p>
    <w:p w14:paraId="70223FAA" w14:textId="77777777" w:rsidR="00F5486C" w:rsidRDefault="00F5486C" w:rsidP="00501361">
      <w:pPr>
        <w:adjustRightInd w:val="0"/>
        <w:snapToGrid w:val="0"/>
        <w:spacing w:line="360" w:lineRule="auto"/>
        <w:contextualSpacing/>
        <w:rPr>
          <w:rFonts w:ascii="Times New Roman" w:hAnsi="Times New Roman" w:cs="Times New Roman" w:hint="eastAsia"/>
        </w:rPr>
      </w:pPr>
    </w:p>
    <w:p w14:paraId="744B482F" w14:textId="77777777" w:rsidR="00865EEF" w:rsidRDefault="00865EEF" w:rsidP="00501361">
      <w:pPr>
        <w:adjustRightInd w:val="0"/>
        <w:snapToGrid w:val="0"/>
        <w:spacing w:line="360" w:lineRule="auto"/>
        <w:contextualSpacing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7D022DE2" wp14:editId="18EBA014">
            <wp:extent cx="5272405" cy="2738755"/>
            <wp:effectExtent l="0" t="0" r="4445" b="4445"/>
            <wp:docPr id="1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D2F29" w14:textId="77777777" w:rsidR="00865EEF" w:rsidRDefault="00865EEF" w:rsidP="00501361">
      <w:pPr>
        <w:adjustRightInd w:val="0"/>
        <w:snapToGrid w:val="0"/>
        <w:spacing w:line="360" w:lineRule="auto"/>
        <w:contextualSpacing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bCs/>
        </w:rPr>
        <w:t>Extended Data Fig. 1. DNA methylation quality control and filtering.</w:t>
      </w:r>
      <w:r>
        <w:rPr>
          <w:rFonts w:ascii="Times New Roman" w:hAnsi="Times New Roman" w:cs="Times New Roman"/>
        </w:rPr>
        <w:t xml:space="preserve"> 907,506 CpG sites from 1,031 samples passed quality checks and were retained in downstream analyses.</w:t>
      </w:r>
    </w:p>
    <w:p w14:paraId="05A6E395" w14:textId="77777777" w:rsidR="00865EEF" w:rsidRDefault="00865EEF" w:rsidP="00501361">
      <w:pPr>
        <w:adjustRightInd w:val="0"/>
        <w:snapToGrid w:val="0"/>
        <w:spacing w:line="360" w:lineRule="auto"/>
        <w:contextualSpacing/>
        <w:rPr>
          <w:rFonts w:ascii="Times New Roman" w:hAnsi="Times New Roman" w:cs="Times New Roman"/>
          <w:sz w:val="28"/>
          <w:szCs w:val="32"/>
        </w:rPr>
      </w:pPr>
    </w:p>
    <w:p w14:paraId="6E757AA2" w14:textId="77777777" w:rsidR="00865EEF" w:rsidRDefault="00865EEF" w:rsidP="00501361">
      <w:pPr>
        <w:adjustRightInd w:val="0"/>
        <w:snapToGrid w:val="0"/>
        <w:spacing w:line="360" w:lineRule="auto"/>
        <w:contextualSpacing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45353AC1" wp14:editId="2268DD88">
            <wp:extent cx="5260340" cy="2478405"/>
            <wp:effectExtent l="0" t="0" r="6985" b="7620"/>
            <wp:docPr id="2" name="图片 2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示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E78D6" w14:textId="77777777" w:rsidR="00865EEF" w:rsidRDefault="00865EEF" w:rsidP="00501361">
      <w:pPr>
        <w:adjustRightInd w:val="0"/>
        <w:snapToGrid w:val="0"/>
        <w:spacing w:line="36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Extended Data Fig. 2. PCA of methylation data and functional enrichment analysis (GO/KEGG) of genes linked to methylation differences between northern and southern regions.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>a,</w:t>
      </w:r>
      <w:r>
        <w:rPr>
          <w:rFonts w:ascii="Times New Roman" w:hAnsi="Times New Roman" w:cs="Times New Roman"/>
        </w:rPr>
        <w:t xml:space="preserve"> PCA of methylation data across age; </w:t>
      </w:r>
      <w:r>
        <w:rPr>
          <w:rFonts w:ascii="Times New Roman" w:hAnsi="Times New Roman" w:cs="Times New Roman"/>
          <w:b/>
          <w:bCs/>
        </w:rPr>
        <w:t>b,</w:t>
      </w:r>
      <w:r>
        <w:rPr>
          <w:rFonts w:ascii="Times New Roman" w:hAnsi="Times New Roman" w:cs="Times New Roman"/>
        </w:rPr>
        <w:t xml:space="preserve"> PCA of methylation data across regions; </w:t>
      </w:r>
      <w:r>
        <w:rPr>
          <w:rFonts w:ascii="Times New Roman" w:hAnsi="Times New Roman" w:cs="Times New Roman"/>
          <w:b/>
          <w:bCs/>
        </w:rPr>
        <w:t>c,</w:t>
      </w:r>
      <w:r>
        <w:rPr>
          <w:rFonts w:ascii="Times New Roman" w:hAnsi="Times New Roman" w:cs="Times New Roman"/>
        </w:rPr>
        <w:t xml:space="preserve"> PCA of the most differentially methylated CpGs between northern and southern China. </w:t>
      </w:r>
      <w:r>
        <w:rPr>
          <w:rFonts w:ascii="Times New Roman" w:hAnsi="Times New Roman" w:cs="Times New Roman"/>
          <w:b/>
          <w:bCs/>
        </w:rPr>
        <w:t>d,</w:t>
      </w:r>
      <w:r>
        <w:rPr>
          <w:rFonts w:ascii="Times New Roman" w:hAnsi="Times New Roman" w:cs="Times New Roman"/>
        </w:rPr>
        <w:t xml:space="preserve"> GO terms enriched in genes linked to differentially methylated CpGs between northern and </w:t>
      </w:r>
      <w:r>
        <w:rPr>
          <w:rFonts w:ascii="Times New Roman" w:hAnsi="Times New Roman" w:cs="Times New Roman"/>
        </w:rPr>
        <w:lastRenderedPageBreak/>
        <w:t xml:space="preserve">southern China. </w:t>
      </w:r>
      <w:r>
        <w:rPr>
          <w:rFonts w:ascii="Times New Roman" w:hAnsi="Times New Roman" w:cs="Times New Roman"/>
          <w:b/>
          <w:bCs/>
        </w:rPr>
        <w:t>e,</w:t>
      </w:r>
      <w:r>
        <w:rPr>
          <w:rFonts w:ascii="Times New Roman" w:hAnsi="Times New Roman" w:cs="Times New Roman"/>
        </w:rPr>
        <w:t xml:space="preserve"> KEGG pathways enriched in genes linked to differentially methylated CpGs between northern and southern China.</w:t>
      </w:r>
    </w:p>
    <w:p w14:paraId="769E7771" w14:textId="77777777" w:rsidR="00865EEF" w:rsidRDefault="00865EEF" w:rsidP="00501361">
      <w:pPr>
        <w:adjustRightInd w:val="0"/>
        <w:snapToGrid w:val="0"/>
        <w:spacing w:line="360" w:lineRule="auto"/>
        <w:contextualSpacing/>
        <w:rPr>
          <w:rFonts w:ascii="Times New Roman" w:hAnsi="Times New Roman" w:cs="Times New Roman"/>
        </w:rPr>
      </w:pPr>
    </w:p>
    <w:p w14:paraId="385911C1" w14:textId="77777777" w:rsidR="00865EEF" w:rsidRDefault="00865EEF" w:rsidP="00501361">
      <w:pPr>
        <w:adjustRightInd w:val="0"/>
        <w:snapToGrid w:val="0"/>
        <w:spacing w:line="36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16944DAB" wp14:editId="52744C39">
            <wp:extent cx="5269865" cy="2481580"/>
            <wp:effectExtent l="0" t="0" r="698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ADB93" w14:textId="77777777" w:rsidR="00865EEF" w:rsidRDefault="00865EEF" w:rsidP="00501361">
      <w:pPr>
        <w:adjustRightInd w:val="0"/>
        <w:snapToGrid w:val="0"/>
        <w:spacing w:line="36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Extended Data Fig. 3. Functional enrichment analysis (GO/KEGG) of genes linked to PFC-shared and PFC-specific CpGs. a, </w:t>
      </w:r>
      <w:r>
        <w:rPr>
          <w:rFonts w:ascii="Times New Roman" w:hAnsi="Times New Roman" w:cs="Times New Roman"/>
        </w:rPr>
        <w:t xml:space="preserve">PFC-shared GO terms; </w:t>
      </w:r>
      <w:r>
        <w:rPr>
          <w:rFonts w:ascii="Times New Roman" w:hAnsi="Times New Roman" w:cs="Times New Roman"/>
          <w:b/>
          <w:bCs/>
        </w:rPr>
        <w:t>b,</w:t>
      </w:r>
      <w:r>
        <w:rPr>
          <w:rFonts w:ascii="Times New Roman" w:hAnsi="Times New Roman" w:cs="Times New Roman"/>
        </w:rPr>
        <w:t xml:space="preserve"> PFC-shared KEGG pathways; </w:t>
      </w:r>
      <w:r>
        <w:rPr>
          <w:rFonts w:ascii="Times New Roman" w:hAnsi="Times New Roman" w:cs="Times New Roman"/>
          <w:b/>
          <w:bCs/>
        </w:rPr>
        <w:t>c,</w:t>
      </w:r>
      <w:r>
        <w:rPr>
          <w:rFonts w:ascii="Times New Roman" w:hAnsi="Times New Roman" w:cs="Times New Roman"/>
        </w:rPr>
        <w:t xml:space="preserve"> PFC-specific GO terms; </w:t>
      </w:r>
      <w:r>
        <w:rPr>
          <w:rFonts w:ascii="Times New Roman" w:hAnsi="Times New Roman" w:cs="Times New Roman"/>
          <w:b/>
          <w:bCs/>
        </w:rPr>
        <w:t>d,</w:t>
      </w:r>
      <w:r>
        <w:rPr>
          <w:rFonts w:ascii="Times New Roman" w:hAnsi="Times New Roman" w:cs="Times New Roman"/>
        </w:rPr>
        <w:t xml:space="preserve"> PFC-specific KEGG pathways.</w:t>
      </w:r>
    </w:p>
    <w:p w14:paraId="579674A9" w14:textId="77777777" w:rsidR="00865EEF" w:rsidRDefault="00865EEF" w:rsidP="00501361">
      <w:pPr>
        <w:adjustRightInd w:val="0"/>
        <w:snapToGrid w:val="0"/>
        <w:spacing w:line="360" w:lineRule="auto"/>
        <w:contextualSpacing/>
        <w:rPr>
          <w:rFonts w:ascii="Times New Roman" w:hAnsi="Times New Roman" w:cs="Times New Roman"/>
        </w:rPr>
      </w:pPr>
    </w:p>
    <w:p w14:paraId="42066491" w14:textId="77777777" w:rsidR="00865EEF" w:rsidRDefault="00865EEF" w:rsidP="00501361">
      <w:pPr>
        <w:adjustRightInd w:val="0"/>
        <w:snapToGrid w:val="0"/>
        <w:spacing w:line="36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29CFBE6" wp14:editId="61FB91BA">
            <wp:extent cx="2997200" cy="2959735"/>
            <wp:effectExtent l="0" t="0" r="3175" b="2540"/>
            <wp:docPr id="596006643" name="图片 2" descr="图表, 散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006643" name="图片 2" descr="图表, 散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5650" cy="29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CDB1B" w14:textId="77777777" w:rsidR="00865EEF" w:rsidRDefault="00865EEF" w:rsidP="00501361">
      <w:pPr>
        <w:adjustRightInd w:val="0"/>
        <w:snapToGrid w:val="0"/>
        <w:spacing w:line="36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Extended Data Fig. 4. Scatter plot of DNA methylation-age associations.</w:t>
      </w:r>
      <w:r>
        <w:rPr>
          <w:rFonts w:ascii="Times New Roman" w:hAnsi="Times New Roman" w:cs="Times New Roman"/>
        </w:rPr>
        <w:t xml:space="preserve"> The x-axis represents the regression coefficient for the linear relationship between methylation levels and age at each CpG site. The y-axis shows the coefficient of determination (R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) from the regression model. Dashed lines indicate thresholds: x = 0 and y = 0.7 (high variance explained). Red highlights denote the top 500 CpG sites with the smallest 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  <w:iCs/>
        </w:rPr>
        <w:t>-value</w:t>
      </w:r>
      <w:r>
        <w:rPr>
          <w:rFonts w:ascii="Times New Roman" w:hAnsi="Times New Roman" w:cs="Times New Roman"/>
        </w:rPr>
        <w:t xml:space="preserve">s, stratified by positive and negative coefficients. These selected sites were prioritized for downstream </w:t>
      </w:r>
      <w:r>
        <w:rPr>
          <w:rFonts w:ascii="Times New Roman" w:hAnsi="Times New Roman" w:cs="Times New Roman"/>
        </w:rPr>
        <w:lastRenderedPageBreak/>
        <w:t>analysis due to their strong age-related methylation signals.</w:t>
      </w:r>
    </w:p>
    <w:p w14:paraId="417E58C6" w14:textId="77777777" w:rsidR="00865EEF" w:rsidRDefault="00865EEF" w:rsidP="00501361">
      <w:pPr>
        <w:adjustRightInd w:val="0"/>
        <w:snapToGrid w:val="0"/>
        <w:spacing w:line="360" w:lineRule="auto"/>
        <w:contextualSpacing/>
        <w:rPr>
          <w:rFonts w:ascii="Times New Roman" w:hAnsi="Times New Roman" w:cs="Times New Roman"/>
          <w:b/>
          <w:bCs/>
        </w:rPr>
      </w:pPr>
    </w:p>
    <w:p w14:paraId="27208616" w14:textId="77777777" w:rsidR="00865EEF" w:rsidRDefault="00865EEF" w:rsidP="00501361">
      <w:pPr>
        <w:adjustRightInd w:val="0"/>
        <w:snapToGrid w:val="0"/>
        <w:spacing w:line="36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BE7B194" wp14:editId="0B127CBE">
            <wp:extent cx="3004185" cy="2713355"/>
            <wp:effectExtent l="0" t="0" r="5715" b="1270"/>
            <wp:docPr id="470542108" name="图片 1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542108" name="图片 1" descr="图示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7568" cy="274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4D1E3" w14:textId="77777777" w:rsidR="00865EEF" w:rsidRDefault="00865EEF" w:rsidP="00501361">
      <w:pPr>
        <w:adjustRightInd w:val="0"/>
        <w:snapToGrid w:val="0"/>
        <w:spacing w:line="360" w:lineRule="auto"/>
        <w:contextualSpacing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Extended Data Fig. 5. Associations between MethAge and estimated cell-type proportions in ROSMAP.</w:t>
      </w:r>
    </w:p>
    <w:p w14:paraId="0AB4A76B" w14:textId="77777777" w:rsidR="00865EEF" w:rsidRDefault="00865EEF" w:rsidP="00501361">
      <w:pPr>
        <w:adjustRightInd w:val="0"/>
        <w:snapToGrid w:val="0"/>
        <w:spacing w:line="360" w:lineRule="auto"/>
        <w:contextualSpacing/>
        <w:rPr>
          <w:rFonts w:ascii="Times New Roman" w:hAnsi="Times New Roman" w:cs="Times New Roman"/>
          <w:b/>
          <w:bCs/>
        </w:rPr>
      </w:pPr>
    </w:p>
    <w:p w14:paraId="4F875EF4" w14:textId="77777777" w:rsidR="00865EEF" w:rsidRDefault="00865EEF" w:rsidP="00501361">
      <w:pPr>
        <w:adjustRightInd w:val="0"/>
        <w:snapToGrid w:val="0"/>
        <w:spacing w:line="36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A48CBFE" wp14:editId="5F483547">
            <wp:extent cx="5274310" cy="5168900"/>
            <wp:effectExtent l="0" t="0" r="2540" b="0"/>
            <wp:docPr id="196379957" name="图片 1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79957" name="图片 1" descr="图示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6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2A17E" w14:textId="77777777" w:rsidR="00865EEF" w:rsidRDefault="00865EEF" w:rsidP="00501361">
      <w:pPr>
        <w:adjustRightInd w:val="0"/>
        <w:snapToGrid w:val="0"/>
        <w:spacing w:line="36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Extended Data Fig. 6. Bayesian network analysis of conditional dependencies between MethAge, ADNC, and neuropathological variables.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>a,</w:t>
      </w:r>
      <w:r>
        <w:rPr>
          <w:rFonts w:ascii="Times New Roman" w:hAnsi="Times New Roman" w:cs="Times New Roman"/>
        </w:rPr>
        <w:t xml:space="preserve"> The original Bayesian network (BN) structure with MethAge as the upstream variable and ADNC as the primary outcome. </w:t>
      </w:r>
      <w:r>
        <w:rPr>
          <w:rFonts w:ascii="Times New Roman" w:hAnsi="Times New Roman" w:cs="Times New Roman"/>
          <w:b/>
          <w:bCs/>
        </w:rPr>
        <w:t>b,</w:t>
      </w:r>
      <w:r>
        <w:rPr>
          <w:rFonts w:ascii="Times New Roman" w:hAnsi="Times New Roman" w:cs="Times New Roman"/>
        </w:rPr>
        <w:t xml:space="preserve"> The Bayesian network incorporating cerebral amyloid angiopathy (CVD_CAA) evidence. </w:t>
      </w:r>
      <w:r>
        <w:rPr>
          <w:rFonts w:ascii="Times New Roman" w:hAnsi="Times New Roman" w:cs="Times New Roman"/>
          <w:b/>
          <w:bCs/>
        </w:rPr>
        <w:t>c,</w:t>
      </w:r>
      <w:r>
        <w:rPr>
          <w:rFonts w:ascii="Times New Roman" w:hAnsi="Times New Roman" w:cs="Times New Roman"/>
        </w:rPr>
        <w:t xml:space="preserve"> The Bayesian network with limbic-predominant age-related TDP-43 encephalopathy (LATE) evidence. </w:t>
      </w:r>
      <w:r>
        <w:rPr>
          <w:rFonts w:ascii="Times New Roman" w:hAnsi="Times New Roman" w:cs="Times New Roman"/>
          <w:b/>
          <w:bCs/>
        </w:rPr>
        <w:t>d,</w:t>
      </w:r>
      <w:r>
        <w:rPr>
          <w:rFonts w:ascii="Times New Roman" w:hAnsi="Times New Roman" w:cs="Times New Roman"/>
        </w:rPr>
        <w:t xml:space="preserve"> Conditional probabilities of ADNC given CVD_CAA and LATE, showing the distribution of probabilities across different ADNC groups under varying CVD_CAA and LATE conditions. </w:t>
      </w:r>
      <w:r>
        <w:rPr>
          <w:rFonts w:ascii="Times New Roman" w:hAnsi="Times New Roman" w:cs="Times New Roman"/>
          <w:b/>
          <w:bCs/>
        </w:rPr>
        <w:t>e,</w:t>
      </w:r>
      <w:r>
        <w:rPr>
          <w:rFonts w:ascii="Times New Roman" w:hAnsi="Times New Roman" w:cs="Times New Roman"/>
        </w:rPr>
        <w:t xml:space="preserve"> Conditional probabilities of ADNC given MethAge and CVD_CAA, stratified by MethAge groups (&lt;51, [51.60], [61.70], [71.80], [81.90]). </w:t>
      </w:r>
      <w:r>
        <w:rPr>
          <w:rFonts w:ascii="Times New Roman" w:hAnsi="Times New Roman" w:cs="Times New Roman"/>
          <w:b/>
          <w:bCs/>
        </w:rPr>
        <w:t>f,</w:t>
      </w:r>
      <w:r>
        <w:rPr>
          <w:rFonts w:ascii="Times New Roman" w:hAnsi="Times New Roman" w:cs="Times New Roman"/>
        </w:rPr>
        <w:t xml:space="preserve"> Conditional probabilities of ADNC given MethAge and LATE, further stratified by MethAge groups.</w:t>
      </w:r>
    </w:p>
    <w:p w14:paraId="580A12FF" w14:textId="77777777" w:rsidR="00865EEF" w:rsidRDefault="00865EEF" w:rsidP="00501361">
      <w:pPr>
        <w:adjustRightInd w:val="0"/>
        <w:snapToGrid w:val="0"/>
        <w:spacing w:line="360" w:lineRule="auto"/>
        <w:contextualSpacing/>
        <w:rPr>
          <w:rFonts w:ascii="Times New Roman" w:hAnsi="Times New Roman" w:cs="Times New Roman"/>
        </w:rPr>
      </w:pPr>
    </w:p>
    <w:p w14:paraId="1587B1A2" w14:textId="77777777" w:rsidR="00865EEF" w:rsidRDefault="00865EEF" w:rsidP="00501361">
      <w:pPr>
        <w:adjustRightInd w:val="0"/>
        <w:snapToGrid w:val="0"/>
        <w:spacing w:line="36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A9B9C8B" wp14:editId="7030BDBB">
            <wp:extent cx="5274310" cy="5242560"/>
            <wp:effectExtent l="0" t="0" r="2540" b="0"/>
            <wp:docPr id="1307953892" name="图片 1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953892" name="图片 1" descr="图示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4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64409" w14:textId="77777777" w:rsidR="00865EEF" w:rsidRDefault="00865EEF" w:rsidP="00501361">
      <w:pPr>
        <w:adjustRightInd w:val="0"/>
        <w:snapToGrid w:val="0"/>
        <w:spacing w:line="36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Extended Data Fig. 7. Functional enrichment analysis (GO/KEGG) of genes linked to AD pathology-related CpGs. a, </w:t>
      </w:r>
      <w:r>
        <w:rPr>
          <w:rFonts w:ascii="Times New Roman" w:hAnsi="Times New Roman" w:cs="Times New Roman"/>
        </w:rPr>
        <w:t xml:space="preserve">ADNC-associated GO terms; </w:t>
      </w:r>
      <w:r>
        <w:rPr>
          <w:rFonts w:ascii="Times New Roman" w:hAnsi="Times New Roman" w:cs="Times New Roman"/>
          <w:b/>
          <w:bCs/>
        </w:rPr>
        <w:t>b,</w:t>
      </w:r>
      <w:r>
        <w:rPr>
          <w:rFonts w:ascii="Times New Roman" w:hAnsi="Times New Roman" w:cs="Times New Roman"/>
        </w:rPr>
        <w:t xml:space="preserve"> ADNC-associated KEGG pathways; </w:t>
      </w:r>
      <w:r>
        <w:rPr>
          <w:rFonts w:ascii="Times New Roman" w:hAnsi="Times New Roman" w:cs="Times New Roman"/>
          <w:b/>
          <w:bCs/>
        </w:rPr>
        <w:t>c,</w:t>
      </w:r>
      <w:r>
        <w:rPr>
          <w:rFonts w:ascii="Times New Roman" w:hAnsi="Times New Roman" w:cs="Times New Roman"/>
        </w:rPr>
        <w:t xml:space="preserve"> Braak-associated GO terms; </w:t>
      </w:r>
      <w:r>
        <w:rPr>
          <w:rFonts w:ascii="Times New Roman" w:hAnsi="Times New Roman" w:cs="Times New Roman"/>
          <w:b/>
          <w:bCs/>
        </w:rPr>
        <w:t>d,</w:t>
      </w:r>
      <w:r>
        <w:rPr>
          <w:rFonts w:ascii="Times New Roman" w:hAnsi="Times New Roman" w:cs="Times New Roman"/>
        </w:rPr>
        <w:t xml:space="preserve"> Braak-associated KEGG pathways; </w:t>
      </w:r>
      <w:r>
        <w:rPr>
          <w:rFonts w:ascii="Times New Roman" w:hAnsi="Times New Roman" w:cs="Times New Roman"/>
          <w:b/>
          <w:bCs/>
        </w:rPr>
        <w:t>e,</w:t>
      </w:r>
      <w:r>
        <w:rPr>
          <w:rFonts w:ascii="Times New Roman" w:hAnsi="Times New Roman" w:cs="Times New Roman"/>
        </w:rPr>
        <w:t xml:space="preserve"> Aβ-associated GO terms; </w:t>
      </w:r>
      <w:r>
        <w:rPr>
          <w:rFonts w:ascii="Times New Roman" w:hAnsi="Times New Roman" w:cs="Times New Roman"/>
          <w:b/>
          <w:bCs/>
        </w:rPr>
        <w:t>f,</w:t>
      </w:r>
      <w:r>
        <w:rPr>
          <w:rFonts w:ascii="Times New Roman" w:hAnsi="Times New Roman" w:cs="Times New Roman"/>
        </w:rPr>
        <w:t xml:space="preserve"> Aβ-associated KEGG pathways. Top 20 terms most significant shown per panel; darker bars indicate lower </w:t>
      </w:r>
      <w:r>
        <w:rPr>
          <w:rFonts w:ascii="Times New Roman" w:hAnsi="Times New Roman" w:cs="Times New Roman"/>
          <w:i/>
          <w:iCs/>
        </w:rPr>
        <w:t>P</w:t>
      </w:r>
      <w:r>
        <w:rPr>
          <w:rFonts w:ascii="Times New Roman" w:hAnsi="Times New Roman" w:cs="Times New Roman"/>
          <w:iCs/>
        </w:rPr>
        <w:t>-value</w:t>
      </w:r>
      <w:r>
        <w:rPr>
          <w:rFonts w:ascii="Times New Roman" w:hAnsi="Times New Roman" w:cs="Times New Roman"/>
        </w:rPr>
        <w:t>s.</w:t>
      </w:r>
    </w:p>
    <w:p w14:paraId="382D5EA3" w14:textId="77777777" w:rsidR="00865EEF" w:rsidRDefault="00865EEF" w:rsidP="00501361">
      <w:pPr>
        <w:adjustRightInd w:val="0"/>
        <w:snapToGrid w:val="0"/>
        <w:spacing w:line="36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1D0D7E9" wp14:editId="23F7F3B7">
            <wp:extent cx="4768215" cy="8846185"/>
            <wp:effectExtent l="0" t="0" r="0" b="0"/>
            <wp:docPr id="13314829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82971" name="图片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953" cy="886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47752" w14:textId="77777777" w:rsidR="00865EEF" w:rsidRDefault="00865EEF" w:rsidP="00501361">
      <w:pPr>
        <w:adjustRightInd w:val="0"/>
        <w:snapToGrid w:val="0"/>
        <w:spacing w:line="36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Extended Data Fig. 8. Functional enrichment analysis (GO/KEGG) of genes linked to CpG sites associated with age and Alzheimer’s disease neuropathology. a–e, </w:t>
      </w:r>
      <w:r>
        <w:rPr>
          <w:rFonts w:ascii="Times New Roman" w:hAnsi="Times New Roman" w:cs="Times New Roman"/>
        </w:rPr>
        <w:t xml:space="preserve">Bubble plots showing Gene Ontology (GO) and KEGG pathway enrichment results for CpG sites associated with Alzheimer’s disease–related neuropathological traits. In each panel, the x-axis distinguishes CpG sites associated with both age and neuropathology (left column) from those associated exclusively with neuropathological features (right column), including ADNC level, Braak NFT stage, or A score. </w:t>
      </w:r>
      <w:r>
        <w:rPr>
          <w:rFonts w:ascii="Times New Roman" w:hAnsi="Times New Roman" w:cs="Times New Roman"/>
          <w:b/>
          <w:bCs/>
        </w:rPr>
        <w:t>a,</w:t>
      </w:r>
      <w:r>
        <w:rPr>
          <w:rFonts w:ascii="Times New Roman" w:hAnsi="Times New Roman" w:cs="Times New Roman"/>
        </w:rPr>
        <w:t xml:space="preserve"> GO enrichment for CpG sites associated with ADNC. </w:t>
      </w:r>
      <w:r>
        <w:rPr>
          <w:rFonts w:ascii="Times New Roman" w:hAnsi="Times New Roman" w:cs="Times New Roman"/>
          <w:b/>
          <w:bCs/>
        </w:rPr>
        <w:t>b,</w:t>
      </w:r>
      <w:r>
        <w:rPr>
          <w:rFonts w:ascii="Times New Roman" w:hAnsi="Times New Roman" w:cs="Times New Roman"/>
        </w:rPr>
        <w:t xml:space="preserve"> KEGG enrichment for CpG sites associated with ADNC. </w:t>
      </w:r>
      <w:r>
        <w:rPr>
          <w:rFonts w:ascii="Times New Roman" w:hAnsi="Times New Roman" w:cs="Times New Roman"/>
          <w:b/>
          <w:bCs/>
        </w:rPr>
        <w:t>c,</w:t>
      </w:r>
      <w:r>
        <w:rPr>
          <w:rFonts w:ascii="Times New Roman" w:hAnsi="Times New Roman" w:cs="Times New Roman"/>
        </w:rPr>
        <w:t xml:space="preserve"> GO enrichment for CpG sites associated with A score. </w:t>
      </w:r>
      <w:r>
        <w:rPr>
          <w:rFonts w:ascii="Times New Roman" w:hAnsi="Times New Roman" w:cs="Times New Roman"/>
          <w:b/>
          <w:bCs/>
        </w:rPr>
        <w:t>d,</w:t>
      </w:r>
      <w:r>
        <w:rPr>
          <w:rFonts w:ascii="Times New Roman" w:hAnsi="Times New Roman" w:cs="Times New Roman"/>
        </w:rPr>
        <w:t xml:space="preserve"> KEGG enrichment for CpG sites associated with A score. </w:t>
      </w:r>
      <w:r>
        <w:rPr>
          <w:rFonts w:ascii="Times New Roman" w:hAnsi="Times New Roman" w:cs="Times New Roman"/>
          <w:b/>
          <w:bCs/>
        </w:rPr>
        <w:t>e,</w:t>
      </w:r>
      <w:r>
        <w:rPr>
          <w:rFonts w:ascii="Times New Roman" w:hAnsi="Times New Roman" w:cs="Times New Roman"/>
        </w:rPr>
        <w:t xml:space="preserve"> GO enrichment for CpG sites associated with Braak NFT stage.</w:t>
      </w:r>
    </w:p>
    <w:p w14:paraId="05D2F410" w14:textId="77777777" w:rsidR="008A0F1F" w:rsidRPr="00865EEF" w:rsidRDefault="008A0F1F" w:rsidP="00501361">
      <w:pPr>
        <w:rPr>
          <w:rFonts w:hint="eastAsia"/>
        </w:rPr>
      </w:pPr>
    </w:p>
    <w:sectPr w:rsidR="008A0F1F" w:rsidRPr="00865EEF" w:rsidSect="00865EEF">
      <w:footerReference w:type="default" r:id="rId14"/>
      <w:pgSz w:w="11906" w:h="16838"/>
      <w:pgMar w:top="1440" w:right="1800" w:bottom="1440" w:left="1800" w:header="851" w:footer="28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326DA1" w14:textId="77777777" w:rsidR="00AD3A9C" w:rsidRDefault="00AD3A9C" w:rsidP="00865EEF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216DA076" w14:textId="77777777" w:rsidR="00AD3A9C" w:rsidRDefault="00AD3A9C" w:rsidP="00865EEF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</w:rPr>
      <w:id w:val="-24488738"/>
    </w:sdtPr>
    <w:sdtContent>
      <w:p w14:paraId="7A4D86CC" w14:textId="77777777" w:rsidR="00865EEF" w:rsidRDefault="00865EEF">
        <w:pPr>
          <w:pStyle w:val="af0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lang w:val="zh-CN"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0B393FB7" w14:textId="77777777" w:rsidR="00865EEF" w:rsidRDefault="00865EEF">
    <w:pPr>
      <w:pStyle w:val="af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B3F479" w14:textId="77777777" w:rsidR="00AD3A9C" w:rsidRDefault="00AD3A9C" w:rsidP="00865EEF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204844D8" w14:textId="77777777" w:rsidR="00AD3A9C" w:rsidRDefault="00AD3A9C" w:rsidP="00865EEF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800"/>
    <w:rsid w:val="000841B4"/>
    <w:rsid w:val="001B43CC"/>
    <w:rsid w:val="001F0879"/>
    <w:rsid w:val="00501361"/>
    <w:rsid w:val="005C4FD9"/>
    <w:rsid w:val="00637E15"/>
    <w:rsid w:val="00691D27"/>
    <w:rsid w:val="007501BC"/>
    <w:rsid w:val="00865EEF"/>
    <w:rsid w:val="008A0F1F"/>
    <w:rsid w:val="00992190"/>
    <w:rsid w:val="00AB3DA9"/>
    <w:rsid w:val="00AD3A9C"/>
    <w:rsid w:val="00BE7167"/>
    <w:rsid w:val="00C650C7"/>
    <w:rsid w:val="00E90800"/>
    <w:rsid w:val="00EA37B8"/>
    <w:rsid w:val="00F41113"/>
    <w:rsid w:val="00F5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7CC200"/>
  <w15:chartTrackingRefBased/>
  <w15:docId w15:val="{27C26A25-FE0A-438A-B542-C2DD77FF9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1361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9080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08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080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0800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0800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0800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0800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0800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0800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9080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908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908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90800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90800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E90800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9080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9080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9080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90800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908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90800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9080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908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9080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9080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9080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908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9080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90800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865EEF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865EEF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qFormat/>
    <w:rsid w:val="00865EEF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qFormat/>
    <w:rsid w:val="00865EEF"/>
    <w:rPr>
      <w:sz w:val="18"/>
      <w:szCs w:val="18"/>
    </w:rPr>
  </w:style>
  <w:style w:type="character" w:styleId="af2">
    <w:name w:val="annotation reference"/>
    <w:basedOn w:val="a0"/>
    <w:uiPriority w:val="99"/>
    <w:semiHidden/>
    <w:unhideWhenUsed/>
    <w:rsid w:val="00F41113"/>
    <w:rPr>
      <w:sz w:val="21"/>
      <w:szCs w:val="21"/>
    </w:rPr>
  </w:style>
  <w:style w:type="paragraph" w:styleId="af3">
    <w:name w:val="annotation text"/>
    <w:basedOn w:val="a"/>
    <w:link w:val="af4"/>
    <w:uiPriority w:val="99"/>
    <w:semiHidden/>
    <w:unhideWhenUsed/>
    <w:rsid w:val="00F41113"/>
  </w:style>
  <w:style w:type="character" w:customStyle="1" w:styleId="af4">
    <w:name w:val="批注文字 字符"/>
    <w:basedOn w:val="a0"/>
    <w:link w:val="af3"/>
    <w:uiPriority w:val="99"/>
    <w:semiHidden/>
    <w:rsid w:val="00F41113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F41113"/>
    <w:rPr>
      <w:b/>
      <w:bCs/>
    </w:rPr>
  </w:style>
  <w:style w:type="character" w:customStyle="1" w:styleId="af6">
    <w:name w:val="批注主题 字符"/>
    <w:basedOn w:val="af4"/>
    <w:link w:val="af5"/>
    <w:uiPriority w:val="99"/>
    <w:semiHidden/>
    <w:rsid w:val="00F411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576</Words>
  <Characters>3288</Characters>
  <Application>Microsoft Office Word</Application>
  <DocSecurity>0</DocSecurity>
  <Lines>27</Lines>
  <Paragraphs>7</Paragraphs>
  <ScaleCrop>false</ScaleCrop>
  <Company/>
  <LinksUpToDate>false</LinksUpToDate>
  <CharactersWithSpaces>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Zhou</dc:creator>
  <cp:keywords/>
  <dc:description/>
  <cp:lastModifiedBy>Wenli Zhai</cp:lastModifiedBy>
  <cp:revision>7</cp:revision>
  <dcterms:created xsi:type="dcterms:W3CDTF">2025-08-05T12:34:00Z</dcterms:created>
  <dcterms:modified xsi:type="dcterms:W3CDTF">2025-08-13T05:45:00Z</dcterms:modified>
</cp:coreProperties>
</file>