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C26BC" w14:textId="77777777" w:rsidR="003056BC" w:rsidRDefault="003056BC" w:rsidP="003056BC">
      <w:pPr>
        <w:spacing w:line="480" w:lineRule="auto"/>
        <w:rPr>
          <w:rFonts w:ascii="Times New Roman" w:hAnsi="Times New Roman" w:cs="Times New Roman"/>
          <w:b/>
          <w:bCs/>
        </w:rPr>
      </w:pPr>
      <w:r w:rsidRPr="002E3CE6">
        <w:rPr>
          <w:rFonts w:ascii="Times New Roman" w:hAnsi="Times New Roman" w:cs="Times New Roman"/>
          <w:b/>
          <w:bCs/>
        </w:rPr>
        <w:t>Supplemental material</w:t>
      </w:r>
    </w:p>
    <w:p w14:paraId="2036CB85" w14:textId="77777777" w:rsidR="003056BC" w:rsidRPr="002E3CE6" w:rsidRDefault="003056BC" w:rsidP="003056BC">
      <w:pPr>
        <w:spacing w:line="480" w:lineRule="auto"/>
        <w:rPr>
          <w:rFonts w:ascii="Times New Roman" w:hAnsi="Times New Roman" w:cs="Times New Roman"/>
          <w:b/>
          <w:bCs/>
        </w:rPr>
      </w:pPr>
    </w:p>
    <w:p w14:paraId="712A8342" w14:textId="77777777" w:rsidR="003056BC" w:rsidRPr="00610EA3" w:rsidRDefault="003056BC" w:rsidP="003056BC">
      <w:pPr>
        <w:pStyle w:val="Caption"/>
        <w:keepNext/>
        <w:spacing w:line="480" w:lineRule="auto"/>
        <w:rPr>
          <w:rFonts w:ascii="Times New Roman" w:hAnsi="Times New Roman" w:cs="Times New Roman"/>
        </w:rPr>
      </w:pPr>
      <w:r w:rsidRPr="00610EA3">
        <w:rPr>
          <w:rFonts w:ascii="Times New Roman" w:hAnsi="Times New Roman" w:cs="Times New Roman"/>
          <w:b/>
          <w:bCs/>
        </w:rPr>
        <w:t xml:space="preserve">Supplemental Table </w:t>
      </w:r>
      <w:r w:rsidRPr="00610EA3">
        <w:rPr>
          <w:rFonts w:ascii="Times New Roman" w:hAnsi="Times New Roman" w:cs="Times New Roman"/>
          <w:b/>
          <w:bCs/>
        </w:rPr>
        <w:fldChar w:fldCharType="begin"/>
      </w:r>
      <w:r w:rsidRPr="00610EA3">
        <w:rPr>
          <w:rFonts w:ascii="Times New Roman" w:hAnsi="Times New Roman" w:cs="Times New Roman"/>
          <w:b/>
          <w:bCs/>
        </w:rPr>
        <w:instrText xml:space="preserve"> SEQ Supplemental_Table_ \* ARABIC </w:instrText>
      </w:r>
      <w:r w:rsidRPr="00610EA3">
        <w:rPr>
          <w:rFonts w:ascii="Times New Roman" w:hAnsi="Times New Roman" w:cs="Times New Roman"/>
          <w:b/>
          <w:bCs/>
        </w:rPr>
        <w:fldChar w:fldCharType="separate"/>
      </w:r>
      <w:r w:rsidRPr="00610EA3">
        <w:rPr>
          <w:rFonts w:ascii="Times New Roman" w:hAnsi="Times New Roman" w:cs="Times New Roman"/>
          <w:b/>
          <w:bCs/>
          <w:noProof/>
        </w:rPr>
        <w:t>1</w:t>
      </w:r>
      <w:r w:rsidRPr="00610EA3">
        <w:rPr>
          <w:rFonts w:ascii="Times New Roman" w:hAnsi="Times New Roman" w:cs="Times New Roman"/>
          <w:b/>
          <w:bCs/>
        </w:rPr>
        <w:fldChar w:fldCharType="end"/>
      </w:r>
      <w:r w:rsidRPr="00610EA3">
        <w:rPr>
          <w:rFonts w:ascii="Times New Roman" w:hAnsi="Times New Roman" w:cs="Times New Roman"/>
        </w:rPr>
        <w:t xml:space="preserve">  ICD-10 Codes Used for Comorbidity and Outcome Identification in the National Inpatient Sample (NIS) Database</w:t>
      </w:r>
    </w:p>
    <w:tbl>
      <w:tblPr>
        <w:tblStyle w:val="PlainTable2"/>
        <w:tblW w:w="0" w:type="auto"/>
        <w:tblBorders>
          <w:top w:val="single" w:sz="4" w:space="0" w:color="auto"/>
          <w:bottom w:val="single" w:sz="4" w:space="0" w:color="auto"/>
        </w:tblBorders>
        <w:tblLook w:val="04A0" w:firstRow="1" w:lastRow="0" w:firstColumn="1" w:lastColumn="0" w:noHBand="0" w:noVBand="1"/>
      </w:tblPr>
      <w:tblGrid>
        <w:gridCol w:w="2094"/>
        <w:gridCol w:w="2120"/>
        <w:gridCol w:w="4092"/>
      </w:tblGrid>
      <w:tr w:rsidR="003056BC" w:rsidRPr="00C83061" w14:paraId="5D4ED2F2" w14:textId="77777777" w:rsidTr="00D947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nil"/>
            </w:tcBorders>
            <w:hideMark/>
          </w:tcPr>
          <w:p w14:paraId="06FA61EF" w14:textId="77777777" w:rsidR="003056BC" w:rsidRPr="00C83061" w:rsidRDefault="003056BC" w:rsidP="00D94702">
            <w:pPr>
              <w:pStyle w:val="NoSpacing"/>
              <w:rPr>
                <w:rFonts w:ascii="Times New Roman" w:hAnsi="Times New Roman" w:cs="Times New Roman"/>
                <w:sz w:val="20"/>
                <w:szCs w:val="20"/>
              </w:rPr>
            </w:pPr>
            <w:r w:rsidRPr="00C83061">
              <w:rPr>
                <w:rFonts w:ascii="Times New Roman" w:hAnsi="Times New Roman" w:cs="Times New Roman"/>
                <w:sz w:val="20"/>
                <w:szCs w:val="20"/>
              </w:rPr>
              <w:t>Variable Category</w:t>
            </w:r>
          </w:p>
        </w:tc>
        <w:tc>
          <w:tcPr>
            <w:tcW w:w="0" w:type="auto"/>
            <w:tcBorders>
              <w:bottom w:val="nil"/>
            </w:tcBorders>
            <w:hideMark/>
          </w:tcPr>
          <w:p w14:paraId="4E8BB11D" w14:textId="77777777" w:rsidR="003056BC" w:rsidRPr="00C83061" w:rsidRDefault="003056BC" w:rsidP="00D94702">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Variable</w:t>
            </w:r>
          </w:p>
        </w:tc>
        <w:tc>
          <w:tcPr>
            <w:tcW w:w="0" w:type="auto"/>
            <w:tcBorders>
              <w:bottom w:val="nil"/>
            </w:tcBorders>
            <w:hideMark/>
          </w:tcPr>
          <w:p w14:paraId="60169494" w14:textId="77777777" w:rsidR="003056BC" w:rsidRPr="00C83061" w:rsidRDefault="003056BC" w:rsidP="00D94702">
            <w:pPr>
              <w:pStyle w:val="No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ICD-10 Codes</w:t>
            </w:r>
          </w:p>
        </w:tc>
      </w:tr>
      <w:tr w:rsidR="003056BC" w:rsidRPr="00C83061" w14:paraId="5406578D"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hideMark/>
          </w:tcPr>
          <w:p w14:paraId="33FF7E4F" w14:textId="77777777" w:rsidR="003056BC" w:rsidRPr="00C83061" w:rsidRDefault="003056BC" w:rsidP="00D94702">
            <w:pPr>
              <w:pStyle w:val="NoSpacing"/>
              <w:rPr>
                <w:rFonts w:ascii="Times New Roman" w:hAnsi="Times New Roman" w:cs="Times New Roman"/>
                <w:sz w:val="20"/>
                <w:szCs w:val="20"/>
              </w:rPr>
            </w:pPr>
            <w:r w:rsidRPr="00C83061">
              <w:rPr>
                <w:rFonts w:ascii="Times New Roman" w:hAnsi="Times New Roman" w:cs="Times New Roman"/>
                <w:sz w:val="20"/>
                <w:szCs w:val="20"/>
              </w:rPr>
              <w:t>Behavioral Risk Factors</w:t>
            </w:r>
          </w:p>
        </w:tc>
        <w:tc>
          <w:tcPr>
            <w:tcW w:w="0" w:type="auto"/>
            <w:tcBorders>
              <w:top w:val="nil"/>
              <w:bottom w:val="single" w:sz="4" w:space="0" w:color="auto"/>
            </w:tcBorders>
            <w:hideMark/>
          </w:tcPr>
          <w:p w14:paraId="6B9D61DB"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auto"/>
            <w:tcBorders>
              <w:top w:val="nil"/>
              <w:bottom w:val="single" w:sz="4" w:space="0" w:color="auto"/>
            </w:tcBorders>
            <w:hideMark/>
          </w:tcPr>
          <w:p w14:paraId="0FC00180"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3056BC" w:rsidRPr="00C83061" w14:paraId="07183FD5" w14:textId="77777777" w:rsidTr="00D94702">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hideMark/>
          </w:tcPr>
          <w:p w14:paraId="1259A414"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single" w:sz="4" w:space="0" w:color="auto"/>
            </w:tcBorders>
            <w:hideMark/>
          </w:tcPr>
          <w:p w14:paraId="13F83D4E"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Smoking</w:t>
            </w:r>
          </w:p>
        </w:tc>
        <w:tc>
          <w:tcPr>
            <w:tcW w:w="0" w:type="auto"/>
            <w:tcBorders>
              <w:top w:val="single" w:sz="4" w:space="0" w:color="auto"/>
            </w:tcBorders>
            <w:hideMark/>
          </w:tcPr>
          <w:p w14:paraId="355488FE"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F17.x, Z72.0, Z87.891</w:t>
            </w:r>
          </w:p>
        </w:tc>
      </w:tr>
      <w:tr w:rsidR="003056BC" w:rsidRPr="00C83061" w14:paraId="6D0BBD56"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485593C3"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16128153"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Dyslipidemia</w:t>
            </w:r>
          </w:p>
        </w:tc>
        <w:tc>
          <w:tcPr>
            <w:tcW w:w="0" w:type="auto"/>
            <w:tcBorders>
              <w:top w:val="none" w:sz="0" w:space="0" w:color="auto"/>
              <w:bottom w:val="none" w:sz="0" w:space="0" w:color="auto"/>
            </w:tcBorders>
            <w:hideMark/>
          </w:tcPr>
          <w:p w14:paraId="5EF80CB1"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E78.x</w:t>
            </w:r>
          </w:p>
        </w:tc>
      </w:tr>
      <w:tr w:rsidR="003056BC" w:rsidRPr="00C83061" w14:paraId="1CB88DA6"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766B80AE" w14:textId="77777777" w:rsidR="003056BC" w:rsidRPr="00C83061" w:rsidRDefault="003056BC" w:rsidP="00D94702">
            <w:pPr>
              <w:pStyle w:val="NoSpacing"/>
              <w:rPr>
                <w:rFonts w:ascii="Times New Roman" w:hAnsi="Times New Roman" w:cs="Times New Roman"/>
                <w:sz w:val="20"/>
                <w:szCs w:val="20"/>
              </w:rPr>
            </w:pPr>
            <w:r w:rsidRPr="00C83061">
              <w:rPr>
                <w:rFonts w:ascii="Times New Roman" w:hAnsi="Times New Roman" w:cs="Times New Roman"/>
                <w:sz w:val="20"/>
                <w:szCs w:val="20"/>
              </w:rPr>
              <w:t>Medical History</w:t>
            </w:r>
          </w:p>
        </w:tc>
        <w:tc>
          <w:tcPr>
            <w:tcW w:w="0" w:type="auto"/>
            <w:hideMark/>
          </w:tcPr>
          <w:p w14:paraId="1534778B"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auto"/>
            <w:hideMark/>
          </w:tcPr>
          <w:p w14:paraId="18DACB5E"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056BC" w:rsidRPr="00C83061" w14:paraId="720C970B"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6F1ECB21"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0B63A92D"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Prior stroke</w:t>
            </w:r>
          </w:p>
        </w:tc>
        <w:tc>
          <w:tcPr>
            <w:tcW w:w="0" w:type="auto"/>
            <w:tcBorders>
              <w:top w:val="none" w:sz="0" w:space="0" w:color="auto"/>
              <w:bottom w:val="none" w:sz="0" w:space="0" w:color="auto"/>
            </w:tcBorders>
            <w:hideMark/>
          </w:tcPr>
          <w:p w14:paraId="095DE450"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Z87.73</w:t>
            </w:r>
          </w:p>
        </w:tc>
      </w:tr>
      <w:tr w:rsidR="003056BC" w:rsidRPr="00C83061" w14:paraId="5F963F65"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680B73DC"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1A68AA4C"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xml:space="preserve">Prior </w:t>
            </w:r>
            <w:r>
              <w:rPr>
                <w:rFonts w:ascii="Times New Roman" w:hAnsi="Times New Roman" w:cs="Times New Roman" w:hint="eastAsia"/>
                <w:sz w:val="20"/>
                <w:szCs w:val="20"/>
              </w:rPr>
              <w:t>MI</w:t>
            </w:r>
          </w:p>
        </w:tc>
        <w:tc>
          <w:tcPr>
            <w:tcW w:w="0" w:type="auto"/>
            <w:hideMark/>
          </w:tcPr>
          <w:p w14:paraId="3C59E440"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I25.2</w:t>
            </w:r>
          </w:p>
        </w:tc>
      </w:tr>
      <w:tr w:rsidR="003056BC" w:rsidRPr="00C83061" w14:paraId="7E6F076E"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220ADEDC"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1614573F"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xml:space="preserve">Prior </w:t>
            </w:r>
            <w:r>
              <w:rPr>
                <w:rFonts w:ascii="Times New Roman" w:hAnsi="Times New Roman" w:cs="Times New Roman" w:hint="eastAsia"/>
                <w:sz w:val="20"/>
                <w:szCs w:val="20"/>
              </w:rPr>
              <w:t>PCI</w:t>
            </w:r>
          </w:p>
        </w:tc>
        <w:tc>
          <w:tcPr>
            <w:tcW w:w="0" w:type="auto"/>
            <w:tcBorders>
              <w:top w:val="none" w:sz="0" w:space="0" w:color="auto"/>
              <w:bottom w:val="none" w:sz="0" w:space="0" w:color="auto"/>
            </w:tcBorders>
            <w:hideMark/>
          </w:tcPr>
          <w:p w14:paraId="2563BDA4"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Z95.5</w:t>
            </w:r>
          </w:p>
        </w:tc>
      </w:tr>
      <w:tr w:rsidR="003056BC" w:rsidRPr="00C83061" w14:paraId="44CF3B09"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047CF269"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486C6BE7"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xml:space="preserve">Prior </w:t>
            </w:r>
            <w:r>
              <w:rPr>
                <w:rFonts w:ascii="Times New Roman" w:hAnsi="Times New Roman" w:cs="Times New Roman" w:hint="eastAsia"/>
                <w:sz w:val="20"/>
                <w:szCs w:val="20"/>
              </w:rPr>
              <w:t>CABG</w:t>
            </w:r>
          </w:p>
        </w:tc>
        <w:tc>
          <w:tcPr>
            <w:tcW w:w="0" w:type="auto"/>
            <w:hideMark/>
          </w:tcPr>
          <w:p w14:paraId="02745AE2"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Z95.1</w:t>
            </w:r>
          </w:p>
        </w:tc>
      </w:tr>
      <w:tr w:rsidR="003056BC" w:rsidRPr="00C83061" w14:paraId="190C1AE6"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5D18A52E" w14:textId="77777777" w:rsidR="003056BC" w:rsidRPr="00C83061" w:rsidRDefault="003056BC" w:rsidP="00D94702">
            <w:pPr>
              <w:pStyle w:val="NoSpacing"/>
              <w:rPr>
                <w:rFonts w:ascii="Times New Roman" w:hAnsi="Times New Roman" w:cs="Times New Roman"/>
                <w:sz w:val="20"/>
                <w:szCs w:val="20"/>
              </w:rPr>
            </w:pPr>
            <w:r w:rsidRPr="00C83061">
              <w:rPr>
                <w:rFonts w:ascii="Times New Roman" w:hAnsi="Times New Roman" w:cs="Times New Roman"/>
                <w:sz w:val="20"/>
                <w:szCs w:val="20"/>
              </w:rPr>
              <w:t>Comorbidities</w:t>
            </w:r>
          </w:p>
        </w:tc>
        <w:tc>
          <w:tcPr>
            <w:tcW w:w="0" w:type="auto"/>
            <w:tcBorders>
              <w:top w:val="none" w:sz="0" w:space="0" w:color="auto"/>
              <w:bottom w:val="none" w:sz="0" w:space="0" w:color="auto"/>
            </w:tcBorders>
            <w:hideMark/>
          </w:tcPr>
          <w:p w14:paraId="1585CF8C"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auto"/>
            <w:tcBorders>
              <w:top w:val="none" w:sz="0" w:space="0" w:color="auto"/>
              <w:bottom w:val="none" w:sz="0" w:space="0" w:color="auto"/>
            </w:tcBorders>
            <w:hideMark/>
          </w:tcPr>
          <w:p w14:paraId="4977EEAC"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3056BC" w:rsidRPr="00C83061" w14:paraId="40614A95"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007097F1"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7A81965E"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Pulmonary circulation disorders</w:t>
            </w:r>
          </w:p>
        </w:tc>
        <w:tc>
          <w:tcPr>
            <w:tcW w:w="0" w:type="auto"/>
            <w:hideMark/>
          </w:tcPr>
          <w:p w14:paraId="58729F97"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I26.x, I27.x, I28.0, I28.8, I28.9</w:t>
            </w:r>
          </w:p>
        </w:tc>
      </w:tr>
      <w:tr w:rsidR="003056BC" w:rsidRPr="00C83061" w14:paraId="02DDDE5C"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6F771117"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45D78CD3"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Peripheral vascular disorders</w:t>
            </w:r>
          </w:p>
        </w:tc>
        <w:tc>
          <w:tcPr>
            <w:tcW w:w="0" w:type="auto"/>
            <w:tcBorders>
              <w:top w:val="none" w:sz="0" w:space="0" w:color="auto"/>
              <w:bottom w:val="none" w:sz="0" w:space="0" w:color="auto"/>
            </w:tcBorders>
            <w:hideMark/>
          </w:tcPr>
          <w:p w14:paraId="79426306"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I70.x, I71.x, I73.1, I73.8, I73.9, I77.1, I79.0, I79.2, K55.1, K55.8, K55.9, Z95.8, Z95.9</w:t>
            </w:r>
          </w:p>
        </w:tc>
      </w:tr>
      <w:tr w:rsidR="003056BC" w:rsidRPr="00C83061" w14:paraId="2265E1CD"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14A82898"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122A1967"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Chronic pulmonary disease</w:t>
            </w:r>
          </w:p>
        </w:tc>
        <w:tc>
          <w:tcPr>
            <w:tcW w:w="0" w:type="auto"/>
            <w:hideMark/>
          </w:tcPr>
          <w:p w14:paraId="741D4826"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I27.8, I27.9, J40.x-J47.x, J60.x-J67.x, J68.4, J70.1, J70.3</w:t>
            </w:r>
          </w:p>
        </w:tc>
      </w:tr>
      <w:tr w:rsidR="003056BC" w:rsidRPr="00C83061" w14:paraId="5615E6E8"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39944306"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07DC16F3"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Hypothyroidism</w:t>
            </w:r>
          </w:p>
        </w:tc>
        <w:tc>
          <w:tcPr>
            <w:tcW w:w="0" w:type="auto"/>
            <w:tcBorders>
              <w:top w:val="none" w:sz="0" w:space="0" w:color="auto"/>
              <w:bottom w:val="none" w:sz="0" w:space="0" w:color="auto"/>
            </w:tcBorders>
            <w:hideMark/>
          </w:tcPr>
          <w:p w14:paraId="21690C9F"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E00.x-E03.x, E89.0</w:t>
            </w:r>
          </w:p>
        </w:tc>
      </w:tr>
      <w:tr w:rsidR="003056BC" w:rsidRPr="00C83061" w14:paraId="398997A8"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2148467F"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6CC54569"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Renal failure</w:t>
            </w:r>
          </w:p>
        </w:tc>
        <w:tc>
          <w:tcPr>
            <w:tcW w:w="0" w:type="auto"/>
            <w:hideMark/>
          </w:tcPr>
          <w:p w14:paraId="6704ADBA"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I12.0, I13.1, N18.x, N19.x, N25.0, Z49.0-Z49.2, Z94.0, Z99.2</w:t>
            </w:r>
          </w:p>
        </w:tc>
      </w:tr>
      <w:tr w:rsidR="003056BC" w:rsidRPr="00C83061" w14:paraId="1D2AD920"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6E8BCEC3"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0487FAAA"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Liver disease</w:t>
            </w:r>
          </w:p>
        </w:tc>
        <w:tc>
          <w:tcPr>
            <w:tcW w:w="0" w:type="auto"/>
            <w:tcBorders>
              <w:top w:val="none" w:sz="0" w:space="0" w:color="auto"/>
              <w:bottom w:val="none" w:sz="0" w:space="0" w:color="auto"/>
            </w:tcBorders>
            <w:hideMark/>
          </w:tcPr>
          <w:p w14:paraId="6FA80DEB"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B18.x, I85.x, I86.4, I98.2, K70.x, K71.1, K71.3-K71.5, K71.7, K72.x-K74.x, K76.0, K76.2-K76.9, Z94.4</w:t>
            </w:r>
          </w:p>
        </w:tc>
      </w:tr>
      <w:tr w:rsidR="003056BC" w:rsidRPr="00C83061" w14:paraId="46FF29B2"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0FD851B5"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78C33F41"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Rheumatoid arthritis/collagen vascular diseases</w:t>
            </w:r>
          </w:p>
        </w:tc>
        <w:tc>
          <w:tcPr>
            <w:tcW w:w="0" w:type="auto"/>
            <w:hideMark/>
          </w:tcPr>
          <w:p w14:paraId="755E8AC9"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L94.0, L94.1, L94.3, M05.x, M06.x, M08.x, M12.0, M12.3, M30.x, M31.0-M31.3, M32.x-M35.x, M45.x, M46.1, M46.8, M46.9</w:t>
            </w:r>
          </w:p>
        </w:tc>
      </w:tr>
      <w:tr w:rsidR="003056BC" w:rsidRPr="00C83061" w14:paraId="479AA392"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45EF6210"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0B91D5D5"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Coagulopathy</w:t>
            </w:r>
          </w:p>
        </w:tc>
        <w:tc>
          <w:tcPr>
            <w:tcW w:w="0" w:type="auto"/>
            <w:tcBorders>
              <w:top w:val="none" w:sz="0" w:space="0" w:color="auto"/>
              <w:bottom w:val="none" w:sz="0" w:space="0" w:color="auto"/>
            </w:tcBorders>
            <w:hideMark/>
          </w:tcPr>
          <w:p w14:paraId="74C513EF"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D65-D68.x, D69.1, D69.3-D69.6</w:t>
            </w:r>
          </w:p>
        </w:tc>
      </w:tr>
      <w:tr w:rsidR="003056BC" w:rsidRPr="00C83061" w14:paraId="77225214"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1281F9AC"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1F5408F6"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Obesity</w:t>
            </w:r>
          </w:p>
        </w:tc>
        <w:tc>
          <w:tcPr>
            <w:tcW w:w="0" w:type="auto"/>
            <w:hideMark/>
          </w:tcPr>
          <w:p w14:paraId="75E89829"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E66.x</w:t>
            </w:r>
          </w:p>
        </w:tc>
      </w:tr>
      <w:tr w:rsidR="003056BC" w:rsidRPr="00C83061" w14:paraId="5E64FDA0"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7AB3CCC3"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5EC34CA6"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Weight loss</w:t>
            </w:r>
          </w:p>
        </w:tc>
        <w:tc>
          <w:tcPr>
            <w:tcW w:w="0" w:type="auto"/>
            <w:tcBorders>
              <w:top w:val="none" w:sz="0" w:space="0" w:color="auto"/>
              <w:bottom w:val="none" w:sz="0" w:space="0" w:color="auto"/>
            </w:tcBorders>
            <w:hideMark/>
          </w:tcPr>
          <w:p w14:paraId="0560673B"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E40.x-E46.x, R63.4, R64</w:t>
            </w:r>
          </w:p>
        </w:tc>
      </w:tr>
      <w:tr w:rsidR="003056BC" w:rsidRPr="00C83061" w14:paraId="040877EE"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6362CFFE"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60D2408D"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Hypertension (uncomplicated)</w:t>
            </w:r>
          </w:p>
        </w:tc>
        <w:tc>
          <w:tcPr>
            <w:tcW w:w="0" w:type="auto"/>
            <w:hideMark/>
          </w:tcPr>
          <w:p w14:paraId="7D035608"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I10.x</w:t>
            </w:r>
          </w:p>
        </w:tc>
      </w:tr>
      <w:tr w:rsidR="003056BC" w:rsidRPr="00C83061" w14:paraId="0400198C"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53EDA539"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5EE86BA6"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Hypertension (complicated)</w:t>
            </w:r>
          </w:p>
        </w:tc>
        <w:tc>
          <w:tcPr>
            <w:tcW w:w="0" w:type="auto"/>
            <w:tcBorders>
              <w:top w:val="none" w:sz="0" w:space="0" w:color="auto"/>
              <w:bottom w:val="none" w:sz="0" w:space="0" w:color="auto"/>
            </w:tcBorders>
            <w:hideMark/>
          </w:tcPr>
          <w:p w14:paraId="1576A762"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I11.x-I13.x, I15.x</w:t>
            </w:r>
          </w:p>
        </w:tc>
      </w:tr>
      <w:tr w:rsidR="003056BC" w:rsidRPr="00C83061" w14:paraId="0CAA907C" w14:textId="77777777" w:rsidTr="00D94702">
        <w:tc>
          <w:tcPr>
            <w:cnfStyle w:val="001000000000" w:firstRow="0" w:lastRow="0" w:firstColumn="1" w:lastColumn="0" w:oddVBand="0" w:evenVBand="0" w:oddHBand="0" w:evenHBand="0" w:firstRowFirstColumn="0" w:firstRowLastColumn="0" w:lastRowFirstColumn="0" w:lastRowLastColumn="0"/>
            <w:tcW w:w="0" w:type="auto"/>
            <w:hideMark/>
          </w:tcPr>
          <w:p w14:paraId="12E0B327" w14:textId="77777777" w:rsidR="003056BC" w:rsidRPr="00C83061" w:rsidRDefault="003056BC" w:rsidP="00D94702">
            <w:pPr>
              <w:pStyle w:val="NoSpacing"/>
              <w:rPr>
                <w:rFonts w:ascii="Times New Roman" w:hAnsi="Times New Roman" w:cs="Times New Roman"/>
                <w:sz w:val="20"/>
                <w:szCs w:val="20"/>
              </w:rPr>
            </w:pPr>
          </w:p>
        </w:tc>
        <w:tc>
          <w:tcPr>
            <w:tcW w:w="0" w:type="auto"/>
            <w:hideMark/>
          </w:tcPr>
          <w:p w14:paraId="5145A7D9"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Diabetes (uncomplicated)</w:t>
            </w:r>
          </w:p>
        </w:tc>
        <w:tc>
          <w:tcPr>
            <w:tcW w:w="0" w:type="auto"/>
            <w:hideMark/>
          </w:tcPr>
          <w:p w14:paraId="78451103"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E10.0, E10.1, E10.9, E11.0, E11.1, E11.9, E12.0, E12.1, E12.9, E13.0, E13.1, E13.9, E14.0, E14.1, E14.9</w:t>
            </w:r>
          </w:p>
        </w:tc>
      </w:tr>
      <w:tr w:rsidR="003056BC" w:rsidRPr="00C83061" w14:paraId="5E6DD625"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hideMark/>
          </w:tcPr>
          <w:p w14:paraId="0675AA36"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hideMark/>
          </w:tcPr>
          <w:p w14:paraId="6B0F7FD4"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Diabetes (complicated)</w:t>
            </w:r>
          </w:p>
        </w:tc>
        <w:tc>
          <w:tcPr>
            <w:tcW w:w="0" w:type="auto"/>
            <w:tcBorders>
              <w:top w:val="none" w:sz="0" w:space="0" w:color="auto"/>
              <w:bottom w:val="none" w:sz="0" w:space="0" w:color="auto"/>
            </w:tcBorders>
            <w:hideMark/>
          </w:tcPr>
          <w:p w14:paraId="4CA7DA48"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E10.2-E10.8, E11.2-E11.8, E12.2-E12.8, E13.2-E13.8, E14.2-E14.8</w:t>
            </w:r>
          </w:p>
        </w:tc>
      </w:tr>
      <w:tr w:rsidR="003056BC" w:rsidRPr="00C83061" w14:paraId="1DBB4B9F" w14:textId="77777777" w:rsidTr="00D94702">
        <w:tc>
          <w:tcPr>
            <w:cnfStyle w:val="001000000000" w:firstRow="0" w:lastRow="0" w:firstColumn="1" w:lastColumn="0" w:oddVBand="0" w:evenVBand="0" w:oddHBand="0" w:evenHBand="0" w:firstRowFirstColumn="0" w:firstRowLastColumn="0" w:lastRowFirstColumn="0" w:lastRowLastColumn="0"/>
            <w:tcW w:w="0" w:type="auto"/>
          </w:tcPr>
          <w:p w14:paraId="36BD290D" w14:textId="77777777" w:rsidR="003056BC" w:rsidRPr="00C83061" w:rsidRDefault="003056BC" w:rsidP="00D94702">
            <w:pPr>
              <w:pStyle w:val="NoSpacing"/>
              <w:rPr>
                <w:rFonts w:ascii="Times New Roman" w:hAnsi="Times New Roman" w:cs="Times New Roman"/>
                <w:sz w:val="20"/>
                <w:szCs w:val="20"/>
              </w:rPr>
            </w:pPr>
            <w:r w:rsidRPr="00C83061">
              <w:rPr>
                <w:rFonts w:ascii="Times New Roman" w:hAnsi="Times New Roman" w:cs="Times New Roman"/>
                <w:sz w:val="20"/>
                <w:szCs w:val="20"/>
              </w:rPr>
              <w:t>Cardiac Arrhythmias and Conduction Disorders</w:t>
            </w:r>
          </w:p>
        </w:tc>
        <w:tc>
          <w:tcPr>
            <w:tcW w:w="0" w:type="auto"/>
          </w:tcPr>
          <w:p w14:paraId="11DCA8E0"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auto"/>
          </w:tcPr>
          <w:p w14:paraId="594741FC"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3056BC" w:rsidRPr="00C83061" w14:paraId="750E4D8A"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tcPr>
          <w:p w14:paraId="3550DBE5"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tcPr>
          <w:p w14:paraId="7A109E74"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hint="eastAsia"/>
                <w:sz w:val="20"/>
                <w:szCs w:val="20"/>
              </w:rPr>
              <w:t>AF</w:t>
            </w:r>
          </w:p>
        </w:tc>
        <w:tc>
          <w:tcPr>
            <w:tcW w:w="0" w:type="auto"/>
            <w:tcBorders>
              <w:top w:val="none" w:sz="0" w:space="0" w:color="auto"/>
              <w:bottom w:val="none" w:sz="0" w:space="0" w:color="auto"/>
            </w:tcBorders>
          </w:tcPr>
          <w:p w14:paraId="6A9BC62B"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I48.0, I48.1, I481.1, I481.9, I48.2, I482.1, I48.9, I489.1</w:t>
            </w:r>
          </w:p>
        </w:tc>
      </w:tr>
      <w:tr w:rsidR="003056BC" w:rsidRPr="00C83061" w14:paraId="30BDFCB5" w14:textId="77777777" w:rsidTr="00D94702">
        <w:tc>
          <w:tcPr>
            <w:cnfStyle w:val="001000000000" w:firstRow="0" w:lastRow="0" w:firstColumn="1" w:lastColumn="0" w:oddVBand="0" w:evenVBand="0" w:oddHBand="0" w:evenHBand="0" w:firstRowFirstColumn="0" w:firstRowLastColumn="0" w:lastRowFirstColumn="0" w:lastRowLastColumn="0"/>
            <w:tcW w:w="0" w:type="auto"/>
          </w:tcPr>
          <w:p w14:paraId="40C192E1" w14:textId="77777777" w:rsidR="003056BC" w:rsidRPr="00C83061" w:rsidRDefault="003056BC" w:rsidP="00D94702">
            <w:pPr>
              <w:pStyle w:val="NoSpacing"/>
              <w:rPr>
                <w:rFonts w:ascii="Times New Roman" w:hAnsi="Times New Roman" w:cs="Times New Roman"/>
                <w:sz w:val="20"/>
                <w:szCs w:val="20"/>
              </w:rPr>
            </w:pPr>
          </w:p>
        </w:tc>
        <w:tc>
          <w:tcPr>
            <w:tcW w:w="0" w:type="auto"/>
          </w:tcPr>
          <w:p w14:paraId="5D2CA35E"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Paroxysmal AF</w:t>
            </w:r>
          </w:p>
        </w:tc>
        <w:tc>
          <w:tcPr>
            <w:tcW w:w="0" w:type="auto"/>
          </w:tcPr>
          <w:p w14:paraId="148440FE"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I48.0</w:t>
            </w:r>
          </w:p>
        </w:tc>
      </w:tr>
      <w:tr w:rsidR="003056BC" w:rsidRPr="00C83061" w14:paraId="47E889E9"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tcPr>
          <w:p w14:paraId="03947A95"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tcPr>
          <w:p w14:paraId="722F5CE6"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Persistent AF</w:t>
            </w:r>
          </w:p>
        </w:tc>
        <w:tc>
          <w:tcPr>
            <w:tcW w:w="0" w:type="auto"/>
            <w:tcBorders>
              <w:top w:val="none" w:sz="0" w:space="0" w:color="auto"/>
              <w:bottom w:val="none" w:sz="0" w:space="0" w:color="auto"/>
            </w:tcBorders>
          </w:tcPr>
          <w:p w14:paraId="1E0BDB4B"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I48.1</w:t>
            </w:r>
          </w:p>
        </w:tc>
      </w:tr>
      <w:tr w:rsidR="003056BC" w:rsidRPr="00C83061" w14:paraId="119A6DEB" w14:textId="77777777" w:rsidTr="00D94702">
        <w:tc>
          <w:tcPr>
            <w:cnfStyle w:val="001000000000" w:firstRow="0" w:lastRow="0" w:firstColumn="1" w:lastColumn="0" w:oddVBand="0" w:evenVBand="0" w:oddHBand="0" w:evenHBand="0" w:firstRowFirstColumn="0" w:firstRowLastColumn="0" w:lastRowFirstColumn="0" w:lastRowLastColumn="0"/>
            <w:tcW w:w="0" w:type="auto"/>
          </w:tcPr>
          <w:p w14:paraId="3EFF9C4A" w14:textId="77777777" w:rsidR="003056BC" w:rsidRPr="00C83061" w:rsidRDefault="003056BC" w:rsidP="00D94702">
            <w:pPr>
              <w:pStyle w:val="NoSpacing"/>
              <w:rPr>
                <w:rFonts w:ascii="Times New Roman" w:hAnsi="Times New Roman" w:cs="Times New Roman"/>
                <w:sz w:val="20"/>
                <w:szCs w:val="20"/>
              </w:rPr>
            </w:pPr>
          </w:p>
        </w:tc>
        <w:tc>
          <w:tcPr>
            <w:tcW w:w="0" w:type="auto"/>
          </w:tcPr>
          <w:p w14:paraId="6F1BAB41"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Chronic AF</w:t>
            </w:r>
          </w:p>
        </w:tc>
        <w:tc>
          <w:tcPr>
            <w:tcW w:w="0" w:type="auto"/>
          </w:tcPr>
          <w:p w14:paraId="1385DDCB"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I48.2</w:t>
            </w:r>
          </w:p>
        </w:tc>
      </w:tr>
      <w:tr w:rsidR="003056BC" w:rsidRPr="00C83061" w14:paraId="12B52427"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tcPr>
          <w:p w14:paraId="6C779A8C"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tcPr>
          <w:p w14:paraId="4370E651"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 Unspecified AF</w:t>
            </w:r>
          </w:p>
        </w:tc>
        <w:tc>
          <w:tcPr>
            <w:tcW w:w="0" w:type="auto"/>
            <w:tcBorders>
              <w:top w:val="none" w:sz="0" w:space="0" w:color="auto"/>
              <w:bottom w:val="none" w:sz="0" w:space="0" w:color="auto"/>
            </w:tcBorders>
          </w:tcPr>
          <w:p w14:paraId="5D409C32"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I489.1</w:t>
            </w:r>
          </w:p>
        </w:tc>
      </w:tr>
      <w:tr w:rsidR="003056BC" w:rsidRPr="00C83061" w14:paraId="6EE1E3E3" w14:textId="77777777" w:rsidTr="00D94702">
        <w:tc>
          <w:tcPr>
            <w:cnfStyle w:val="001000000000" w:firstRow="0" w:lastRow="0" w:firstColumn="1" w:lastColumn="0" w:oddVBand="0" w:evenVBand="0" w:oddHBand="0" w:evenHBand="0" w:firstRowFirstColumn="0" w:firstRowLastColumn="0" w:lastRowFirstColumn="0" w:lastRowLastColumn="0"/>
            <w:tcW w:w="0" w:type="auto"/>
          </w:tcPr>
          <w:p w14:paraId="4A38948E" w14:textId="77777777" w:rsidR="003056BC" w:rsidRPr="00C83061" w:rsidRDefault="003056BC" w:rsidP="00D94702">
            <w:pPr>
              <w:pStyle w:val="NoSpacing"/>
              <w:rPr>
                <w:rFonts w:ascii="Times New Roman" w:hAnsi="Times New Roman" w:cs="Times New Roman"/>
                <w:sz w:val="20"/>
                <w:szCs w:val="20"/>
              </w:rPr>
            </w:pPr>
          </w:p>
        </w:tc>
        <w:tc>
          <w:tcPr>
            <w:tcW w:w="0" w:type="auto"/>
          </w:tcPr>
          <w:p w14:paraId="77A7E1C0"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Third-degree heart block</w:t>
            </w:r>
          </w:p>
        </w:tc>
        <w:tc>
          <w:tcPr>
            <w:tcW w:w="0" w:type="auto"/>
          </w:tcPr>
          <w:p w14:paraId="7E8C7E9A"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I44.2</w:t>
            </w:r>
          </w:p>
        </w:tc>
      </w:tr>
      <w:tr w:rsidR="003056BC" w:rsidRPr="00C83061" w14:paraId="3C7FA9A8"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tcPr>
          <w:p w14:paraId="6AF064BD"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tcPr>
          <w:p w14:paraId="23558872"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Right bundle branch block</w:t>
            </w:r>
          </w:p>
        </w:tc>
        <w:tc>
          <w:tcPr>
            <w:tcW w:w="0" w:type="auto"/>
            <w:tcBorders>
              <w:top w:val="none" w:sz="0" w:space="0" w:color="auto"/>
              <w:bottom w:val="none" w:sz="0" w:space="0" w:color="auto"/>
            </w:tcBorders>
          </w:tcPr>
          <w:p w14:paraId="2360328A"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I45.1, I45.10, I45.19, I45.0</w:t>
            </w:r>
          </w:p>
        </w:tc>
      </w:tr>
      <w:tr w:rsidR="003056BC" w:rsidRPr="00C83061" w14:paraId="1912681A" w14:textId="77777777" w:rsidTr="00D94702">
        <w:tc>
          <w:tcPr>
            <w:cnfStyle w:val="001000000000" w:firstRow="0" w:lastRow="0" w:firstColumn="1" w:lastColumn="0" w:oddVBand="0" w:evenVBand="0" w:oddHBand="0" w:evenHBand="0" w:firstRowFirstColumn="0" w:firstRowLastColumn="0" w:lastRowFirstColumn="0" w:lastRowLastColumn="0"/>
            <w:tcW w:w="0" w:type="auto"/>
          </w:tcPr>
          <w:p w14:paraId="089C5D7D" w14:textId="77777777" w:rsidR="003056BC" w:rsidRPr="00C83061" w:rsidRDefault="003056BC" w:rsidP="00D94702">
            <w:pPr>
              <w:pStyle w:val="NoSpacing"/>
              <w:rPr>
                <w:rFonts w:ascii="Times New Roman" w:hAnsi="Times New Roman" w:cs="Times New Roman"/>
                <w:sz w:val="20"/>
                <w:szCs w:val="20"/>
              </w:rPr>
            </w:pPr>
          </w:p>
        </w:tc>
        <w:tc>
          <w:tcPr>
            <w:tcW w:w="0" w:type="auto"/>
          </w:tcPr>
          <w:p w14:paraId="71BB3483"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Left bundle branch block</w:t>
            </w:r>
          </w:p>
        </w:tc>
        <w:tc>
          <w:tcPr>
            <w:tcW w:w="0" w:type="auto"/>
          </w:tcPr>
          <w:p w14:paraId="35DA76F5"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I44.7, I44.4, I44.5</w:t>
            </w:r>
          </w:p>
        </w:tc>
      </w:tr>
      <w:tr w:rsidR="003056BC" w:rsidRPr="00C83061" w14:paraId="3570DDB4"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tcPr>
          <w:p w14:paraId="723071C7" w14:textId="77777777" w:rsidR="003056BC" w:rsidRPr="00C83061" w:rsidRDefault="003056BC" w:rsidP="00D94702">
            <w:pPr>
              <w:pStyle w:val="NoSpacing"/>
              <w:rPr>
                <w:rFonts w:ascii="Times New Roman" w:hAnsi="Times New Roman" w:cs="Times New Roman"/>
                <w:sz w:val="20"/>
                <w:szCs w:val="20"/>
              </w:rPr>
            </w:pPr>
            <w:r w:rsidRPr="00C83061">
              <w:rPr>
                <w:rFonts w:ascii="Times New Roman" w:hAnsi="Times New Roman" w:cs="Times New Roman"/>
                <w:sz w:val="20"/>
                <w:szCs w:val="20"/>
              </w:rPr>
              <w:t>Transcatheter Procedures</w:t>
            </w:r>
          </w:p>
        </w:tc>
        <w:tc>
          <w:tcPr>
            <w:tcW w:w="0" w:type="auto"/>
            <w:tcBorders>
              <w:top w:val="none" w:sz="0" w:space="0" w:color="auto"/>
              <w:bottom w:val="none" w:sz="0" w:space="0" w:color="auto"/>
            </w:tcBorders>
          </w:tcPr>
          <w:p w14:paraId="4789D24F"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auto"/>
            <w:tcBorders>
              <w:top w:val="none" w:sz="0" w:space="0" w:color="auto"/>
              <w:bottom w:val="none" w:sz="0" w:space="0" w:color="auto"/>
            </w:tcBorders>
          </w:tcPr>
          <w:p w14:paraId="0D55F3A6"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3056BC" w:rsidRPr="00C83061" w14:paraId="3B059183" w14:textId="77777777" w:rsidTr="00D94702">
        <w:tc>
          <w:tcPr>
            <w:cnfStyle w:val="001000000000" w:firstRow="0" w:lastRow="0" w:firstColumn="1" w:lastColumn="0" w:oddVBand="0" w:evenVBand="0" w:oddHBand="0" w:evenHBand="0" w:firstRowFirstColumn="0" w:firstRowLastColumn="0" w:lastRowFirstColumn="0" w:lastRowLastColumn="0"/>
            <w:tcW w:w="0" w:type="auto"/>
          </w:tcPr>
          <w:p w14:paraId="45F61749" w14:textId="77777777" w:rsidR="003056BC" w:rsidRPr="00C83061" w:rsidRDefault="003056BC" w:rsidP="00D94702">
            <w:pPr>
              <w:pStyle w:val="NoSpacing"/>
              <w:rPr>
                <w:rFonts w:ascii="Times New Roman" w:hAnsi="Times New Roman" w:cs="Times New Roman"/>
                <w:sz w:val="20"/>
                <w:szCs w:val="20"/>
              </w:rPr>
            </w:pPr>
          </w:p>
        </w:tc>
        <w:tc>
          <w:tcPr>
            <w:tcW w:w="0" w:type="auto"/>
          </w:tcPr>
          <w:p w14:paraId="0CE81DA5"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TMVR</w:t>
            </w:r>
          </w:p>
        </w:tc>
        <w:tc>
          <w:tcPr>
            <w:tcW w:w="0" w:type="auto"/>
          </w:tcPr>
          <w:p w14:paraId="3FC5F96A"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Transapical approach: 02RG37H, 02RG38H, 02RG3JH, 02RG3KH</w:t>
            </w:r>
          </w:p>
          <w:p w14:paraId="28FE335F" w14:textId="77777777" w:rsidR="003056BC" w:rsidRPr="00C83061" w:rsidRDefault="003056BC" w:rsidP="00D94702">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Other percutaneous: 02RG37Z, 02RG38Z, 02RG3JZ, 02RG3KZ</w:t>
            </w:r>
          </w:p>
        </w:tc>
      </w:tr>
      <w:tr w:rsidR="003056BC" w:rsidRPr="00C83061" w14:paraId="3F312DD9" w14:textId="77777777" w:rsidTr="00D94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tcPr>
          <w:p w14:paraId="5FAC2BCD" w14:textId="77777777" w:rsidR="003056BC" w:rsidRPr="00C83061" w:rsidRDefault="003056BC" w:rsidP="00D94702">
            <w:pPr>
              <w:pStyle w:val="NoSpacing"/>
              <w:rPr>
                <w:rFonts w:ascii="Times New Roman" w:hAnsi="Times New Roman" w:cs="Times New Roman"/>
                <w:sz w:val="20"/>
                <w:szCs w:val="20"/>
              </w:rPr>
            </w:pPr>
          </w:p>
        </w:tc>
        <w:tc>
          <w:tcPr>
            <w:tcW w:w="0" w:type="auto"/>
            <w:tcBorders>
              <w:top w:val="none" w:sz="0" w:space="0" w:color="auto"/>
              <w:bottom w:val="none" w:sz="0" w:space="0" w:color="auto"/>
            </w:tcBorders>
          </w:tcPr>
          <w:p w14:paraId="6B192FD0"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C83061">
              <w:rPr>
                <w:rFonts w:ascii="Times New Roman" w:hAnsi="Times New Roman" w:cs="Times New Roman"/>
                <w:sz w:val="20"/>
                <w:szCs w:val="20"/>
              </w:rPr>
              <w:t>TMVr</w:t>
            </w:r>
            <w:proofErr w:type="spellEnd"/>
          </w:p>
        </w:tc>
        <w:tc>
          <w:tcPr>
            <w:tcW w:w="0" w:type="auto"/>
            <w:tcBorders>
              <w:top w:val="none" w:sz="0" w:space="0" w:color="auto"/>
              <w:bottom w:val="none" w:sz="0" w:space="0" w:color="auto"/>
            </w:tcBorders>
          </w:tcPr>
          <w:p w14:paraId="404C1E52" w14:textId="77777777" w:rsidR="003056BC" w:rsidRPr="00C83061" w:rsidRDefault="003056BC" w:rsidP="00D94702">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Transapical approach: 02UG3JH</w:t>
            </w:r>
          </w:p>
          <w:p w14:paraId="43340F06" w14:textId="77777777" w:rsidR="003056BC" w:rsidRPr="00C83061" w:rsidRDefault="003056BC" w:rsidP="00D94702">
            <w:pPr>
              <w:pStyle w:val="NoSpacing"/>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3061">
              <w:rPr>
                <w:rFonts w:ascii="Times New Roman" w:hAnsi="Times New Roman" w:cs="Times New Roman"/>
                <w:sz w:val="20"/>
                <w:szCs w:val="20"/>
              </w:rPr>
              <w:t>Other percutaneous: 02UG3JZ, 02QG3ZE, 02QG3ZZ</w:t>
            </w:r>
          </w:p>
        </w:tc>
      </w:tr>
    </w:tbl>
    <w:p w14:paraId="5CB8C169" w14:textId="77777777" w:rsidR="003056BC" w:rsidRDefault="003056BC" w:rsidP="003056BC">
      <w:pPr>
        <w:spacing w:line="480" w:lineRule="auto"/>
        <w:rPr>
          <w:rFonts w:ascii="Times New Roman" w:hAnsi="Times New Roman" w:cs="Times New Roman"/>
          <w:sz w:val="20"/>
          <w:szCs w:val="20"/>
        </w:rPr>
      </w:pPr>
      <w:r w:rsidRPr="004B1AD0">
        <w:rPr>
          <w:rFonts w:ascii="Times New Roman" w:hAnsi="Times New Roman" w:cs="Times New Roman"/>
          <w:b/>
          <w:bCs/>
          <w:sz w:val="20"/>
          <w:szCs w:val="20"/>
        </w:rPr>
        <w:t>Abbreviations:</w:t>
      </w:r>
      <w:r w:rsidRPr="004B1AD0">
        <w:rPr>
          <w:rFonts w:ascii="Times New Roman" w:hAnsi="Times New Roman" w:cs="Times New Roman"/>
          <w:sz w:val="20"/>
          <w:szCs w:val="20"/>
        </w:rPr>
        <w:t xml:space="preserve"> AF = atrial fibrillation; CABG = coronary artery bypass graft; ICD-10 = International Classification of Diseases, 10th Revision; MI = myocardial infarction; NIS = National Inpatient Sample; PCI = percutaneous coronary intervention; TMVR = transcatheter mitral valve replacement; </w:t>
      </w:r>
      <w:proofErr w:type="spellStart"/>
      <w:r w:rsidRPr="004B1AD0">
        <w:rPr>
          <w:rFonts w:ascii="Times New Roman" w:hAnsi="Times New Roman" w:cs="Times New Roman"/>
          <w:sz w:val="20"/>
          <w:szCs w:val="20"/>
        </w:rPr>
        <w:t>TMVr</w:t>
      </w:r>
      <w:proofErr w:type="spellEnd"/>
      <w:r w:rsidRPr="004B1AD0">
        <w:rPr>
          <w:rFonts w:ascii="Times New Roman" w:hAnsi="Times New Roman" w:cs="Times New Roman"/>
          <w:sz w:val="20"/>
          <w:szCs w:val="20"/>
        </w:rPr>
        <w:t xml:space="preserve"> = transcatheter mitral valve repa</w:t>
      </w:r>
      <w:r>
        <w:rPr>
          <w:rFonts w:ascii="Times New Roman" w:hAnsi="Times New Roman" w:cs="Times New Roman" w:hint="eastAsia"/>
          <w:sz w:val="20"/>
          <w:szCs w:val="20"/>
        </w:rPr>
        <w:t>ir</w:t>
      </w:r>
    </w:p>
    <w:p w14:paraId="36E0C258" w14:textId="77777777" w:rsidR="003056BC" w:rsidRDefault="003056BC" w:rsidP="003056BC">
      <w:pPr>
        <w:spacing w:line="480" w:lineRule="auto"/>
        <w:rPr>
          <w:noProof/>
        </w:rPr>
      </w:pPr>
    </w:p>
    <w:p w14:paraId="678C84B4" w14:textId="77777777" w:rsidR="003056BC" w:rsidRDefault="003056BC" w:rsidP="003056BC">
      <w:pPr>
        <w:keepNext/>
      </w:pPr>
      <w:r>
        <w:rPr>
          <w:rFonts w:ascii="Times New Roman" w:hAnsi="Times New Roman" w:cs="Times New Roman" w:hint="eastAsia"/>
          <w:noProof/>
          <w:sz w:val="20"/>
          <w:szCs w:val="20"/>
        </w:rPr>
        <w:drawing>
          <wp:inline distT="0" distB="0" distL="0" distR="0" wp14:anchorId="6E35D416" wp14:editId="3DFE3FB3">
            <wp:extent cx="4805547" cy="2520000"/>
            <wp:effectExtent l="0" t="0" r="0" b="0"/>
            <wp:docPr id="637571961" name="图片 1" descr="A graph showing the number of patients with the number of patients with the number of patients with the number of patients with the number of patients with the number of patients with the number of patients with th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571961" name="图片 1" descr="A graph showing the number of patients with the number of patients with the number of patients with the number of patients with the number of patients with the number of patients with the number of patients with th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05547" cy="2520000"/>
                    </a:xfrm>
                    <a:prstGeom prst="rect">
                      <a:avLst/>
                    </a:prstGeom>
                  </pic:spPr>
                </pic:pic>
              </a:graphicData>
            </a:graphic>
          </wp:inline>
        </w:drawing>
      </w:r>
    </w:p>
    <w:p w14:paraId="14CBEC52" w14:textId="77777777" w:rsidR="003056BC" w:rsidRPr="00610EA3" w:rsidRDefault="003056BC" w:rsidP="003056BC">
      <w:pPr>
        <w:pStyle w:val="Caption"/>
        <w:spacing w:line="480" w:lineRule="auto"/>
        <w:rPr>
          <w:rFonts w:ascii="Times New Roman" w:hAnsi="Times New Roman" w:cs="Times New Roman"/>
        </w:rPr>
      </w:pPr>
      <w:bookmarkStart w:id="0" w:name="_Ref206171990"/>
      <w:bookmarkStart w:id="1" w:name="_Ref206171985"/>
      <w:r w:rsidRPr="00610EA3">
        <w:rPr>
          <w:rFonts w:ascii="Times New Roman" w:eastAsia="Arial Unicode MS" w:hAnsi="Times New Roman" w:cs="Times New Roman"/>
          <w:b/>
          <w:bCs/>
        </w:rPr>
        <w:t xml:space="preserve">Supplemental Fig. </w:t>
      </w:r>
      <w:r w:rsidRPr="00610EA3">
        <w:rPr>
          <w:rFonts w:ascii="Times New Roman" w:eastAsia="Arial Unicode MS" w:hAnsi="Times New Roman" w:cs="Times New Roman"/>
          <w:b/>
          <w:bCs/>
        </w:rPr>
        <w:fldChar w:fldCharType="begin"/>
      </w:r>
      <w:r w:rsidRPr="00610EA3">
        <w:rPr>
          <w:rFonts w:ascii="Times New Roman" w:eastAsia="Arial Unicode MS" w:hAnsi="Times New Roman" w:cs="Times New Roman"/>
          <w:b/>
          <w:bCs/>
        </w:rPr>
        <w:instrText xml:space="preserve"> SEQ Supplemental_Fig. \* ARABIC </w:instrText>
      </w:r>
      <w:r w:rsidRPr="00610EA3">
        <w:rPr>
          <w:rFonts w:ascii="Times New Roman" w:eastAsia="Arial Unicode MS" w:hAnsi="Times New Roman" w:cs="Times New Roman"/>
          <w:b/>
          <w:bCs/>
        </w:rPr>
        <w:fldChar w:fldCharType="separate"/>
      </w:r>
      <w:r w:rsidRPr="00610EA3">
        <w:rPr>
          <w:rFonts w:ascii="Times New Roman" w:eastAsia="Arial Unicode MS" w:hAnsi="Times New Roman" w:cs="Times New Roman"/>
          <w:b/>
          <w:bCs/>
          <w:noProof/>
        </w:rPr>
        <w:t>1</w:t>
      </w:r>
      <w:r w:rsidRPr="00610EA3">
        <w:rPr>
          <w:rFonts w:ascii="Times New Roman" w:eastAsia="Arial Unicode MS" w:hAnsi="Times New Roman" w:cs="Times New Roman"/>
          <w:b/>
          <w:bCs/>
        </w:rPr>
        <w:fldChar w:fldCharType="end"/>
      </w:r>
      <w:bookmarkEnd w:id="0"/>
      <w:r w:rsidRPr="00610EA3">
        <w:rPr>
          <w:rFonts w:ascii="Times New Roman" w:hAnsi="Times New Roman" w:cs="Times New Roman"/>
          <w:b/>
          <w:bCs/>
        </w:rPr>
        <w:t xml:space="preserve"> </w:t>
      </w:r>
      <w:r w:rsidRPr="00610EA3">
        <w:rPr>
          <w:rFonts w:ascii="Times New Roman" w:eastAsia="Arial Unicode MS" w:hAnsi="Times New Roman" w:cs="Times New Roman"/>
        </w:rPr>
        <w:t>Trend of TMVR patients with/without AF from 2016 to 2022</w:t>
      </w:r>
      <w:bookmarkEnd w:id="1"/>
    </w:p>
    <w:p w14:paraId="47985399" w14:textId="77777777" w:rsidR="00A91650" w:rsidRDefault="00A91650"/>
    <w:sectPr w:rsidR="00A91650" w:rsidSect="003056BC">
      <w:footerReference w:type="default" r:id="rId5"/>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Arial Unicode MS">
    <w:altName w:val="Microsoft YaHei"/>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289498"/>
      <w:docPartObj>
        <w:docPartGallery w:val="Page Numbers (Bottom of Page)"/>
        <w:docPartUnique/>
      </w:docPartObj>
    </w:sdtPr>
    <w:sdtContent>
      <w:p w14:paraId="4BFE4C1F" w14:textId="77777777" w:rsidR="003056BC" w:rsidRDefault="003056BC">
        <w:pPr>
          <w:pStyle w:val="Footer"/>
          <w:jc w:val="center"/>
        </w:pPr>
        <w:r>
          <w:fldChar w:fldCharType="begin"/>
        </w:r>
        <w:r>
          <w:instrText>PAGE   \* MERGEFORMAT</w:instrText>
        </w:r>
        <w:r>
          <w:fldChar w:fldCharType="separate"/>
        </w:r>
        <w:r>
          <w:rPr>
            <w:lang w:val="zh-CN"/>
          </w:rPr>
          <w:t>2</w:t>
        </w:r>
        <w:r>
          <w:fldChar w:fldCharType="end"/>
        </w:r>
      </w:p>
    </w:sdtContent>
  </w:sdt>
  <w:p w14:paraId="75BB2284" w14:textId="77777777" w:rsidR="003056BC" w:rsidRDefault="003056B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6BC"/>
    <w:rsid w:val="000E2EDD"/>
    <w:rsid w:val="003056BC"/>
    <w:rsid w:val="007C6296"/>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929C2"/>
  <w15:chartTrackingRefBased/>
  <w15:docId w15:val="{F81D5ECE-77E1-4DE8-91B6-6E48CEA90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6BC"/>
    <w:pPr>
      <w:widowControl w:val="0"/>
      <w:spacing w:after="0" w:line="240" w:lineRule="auto"/>
      <w:jc w:val="both"/>
    </w:pPr>
    <w:rPr>
      <w:rFonts w:eastAsiaTheme="minorEastAsia"/>
      <w:sz w:val="21"/>
      <w:szCs w:val="22"/>
      <w:lang w:val="en-US" w:eastAsia="zh-CN"/>
    </w:rPr>
  </w:style>
  <w:style w:type="paragraph" w:styleId="Heading1">
    <w:name w:val="heading 1"/>
    <w:basedOn w:val="Normal"/>
    <w:next w:val="Normal"/>
    <w:link w:val="Heading1Char"/>
    <w:uiPriority w:val="9"/>
    <w:qFormat/>
    <w:rsid w:val="003056BC"/>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3056BC"/>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3056BC"/>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3056BC"/>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rPr>
  </w:style>
  <w:style w:type="paragraph" w:styleId="Heading5">
    <w:name w:val="heading 5"/>
    <w:basedOn w:val="Normal"/>
    <w:next w:val="Normal"/>
    <w:link w:val="Heading5Char"/>
    <w:uiPriority w:val="9"/>
    <w:semiHidden/>
    <w:unhideWhenUsed/>
    <w:qFormat/>
    <w:rsid w:val="003056BC"/>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rPr>
  </w:style>
  <w:style w:type="paragraph" w:styleId="Heading6">
    <w:name w:val="heading 6"/>
    <w:basedOn w:val="Normal"/>
    <w:next w:val="Normal"/>
    <w:link w:val="Heading6Char"/>
    <w:uiPriority w:val="9"/>
    <w:semiHidden/>
    <w:unhideWhenUsed/>
    <w:qFormat/>
    <w:rsid w:val="003056BC"/>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rPr>
  </w:style>
  <w:style w:type="paragraph" w:styleId="Heading7">
    <w:name w:val="heading 7"/>
    <w:basedOn w:val="Normal"/>
    <w:next w:val="Normal"/>
    <w:link w:val="Heading7Char"/>
    <w:uiPriority w:val="9"/>
    <w:semiHidden/>
    <w:unhideWhenUsed/>
    <w:qFormat/>
    <w:rsid w:val="003056BC"/>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rPr>
  </w:style>
  <w:style w:type="paragraph" w:styleId="Heading8">
    <w:name w:val="heading 8"/>
    <w:basedOn w:val="Normal"/>
    <w:next w:val="Normal"/>
    <w:link w:val="Heading8Char"/>
    <w:uiPriority w:val="9"/>
    <w:semiHidden/>
    <w:unhideWhenUsed/>
    <w:qFormat/>
    <w:rsid w:val="003056BC"/>
    <w:pPr>
      <w:keepNext/>
      <w:keepLines/>
      <w:widowControl/>
      <w:spacing w:line="278" w:lineRule="auto"/>
      <w:jc w:val="left"/>
      <w:outlineLvl w:val="7"/>
    </w:pPr>
    <w:rPr>
      <w:rFonts w:eastAsiaTheme="majorEastAsia" w:cstheme="majorBidi"/>
      <w:i/>
      <w:iCs/>
      <w:color w:val="272727" w:themeColor="text1" w:themeTint="D8"/>
      <w:sz w:val="24"/>
      <w:szCs w:val="24"/>
      <w:lang w:val="en-IN" w:eastAsia="en-US"/>
    </w:rPr>
  </w:style>
  <w:style w:type="paragraph" w:styleId="Heading9">
    <w:name w:val="heading 9"/>
    <w:basedOn w:val="Normal"/>
    <w:next w:val="Normal"/>
    <w:link w:val="Heading9Char"/>
    <w:uiPriority w:val="9"/>
    <w:semiHidden/>
    <w:unhideWhenUsed/>
    <w:qFormat/>
    <w:rsid w:val="003056BC"/>
    <w:pPr>
      <w:keepNext/>
      <w:keepLines/>
      <w:widowControl/>
      <w:spacing w:line="278" w:lineRule="auto"/>
      <w:jc w:val="left"/>
      <w:outlineLvl w:val="8"/>
    </w:pPr>
    <w:rPr>
      <w:rFonts w:eastAsiaTheme="majorEastAsia" w:cstheme="majorBidi"/>
      <w:color w:val="272727" w:themeColor="text1" w:themeTint="D8"/>
      <w:sz w:val="24"/>
      <w:szCs w:val="24"/>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6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56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56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56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6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6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6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6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6BC"/>
    <w:rPr>
      <w:rFonts w:eastAsiaTheme="majorEastAsia" w:cstheme="majorBidi"/>
      <w:color w:val="272727" w:themeColor="text1" w:themeTint="D8"/>
    </w:rPr>
  </w:style>
  <w:style w:type="paragraph" w:styleId="Title">
    <w:name w:val="Title"/>
    <w:basedOn w:val="Normal"/>
    <w:next w:val="Normal"/>
    <w:link w:val="TitleChar"/>
    <w:uiPriority w:val="10"/>
    <w:qFormat/>
    <w:rsid w:val="003056BC"/>
    <w:pPr>
      <w:widowControl/>
      <w:spacing w:after="80"/>
      <w:contextualSpacing/>
      <w:jc w:val="left"/>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3056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6BC"/>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3056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6BC"/>
    <w:pPr>
      <w:widowControl/>
      <w:spacing w:before="160" w:after="160" w:line="278" w:lineRule="auto"/>
      <w:jc w:val="center"/>
    </w:pPr>
    <w:rPr>
      <w:rFonts w:eastAsiaTheme="minorHAnsi"/>
      <w:i/>
      <w:iCs/>
      <w:color w:val="404040" w:themeColor="text1" w:themeTint="BF"/>
      <w:sz w:val="24"/>
      <w:szCs w:val="24"/>
      <w:lang w:val="en-IN" w:eastAsia="en-US"/>
    </w:rPr>
  </w:style>
  <w:style w:type="character" w:customStyle="1" w:styleId="QuoteChar">
    <w:name w:val="Quote Char"/>
    <w:basedOn w:val="DefaultParagraphFont"/>
    <w:link w:val="Quote"/>
    <w:uiPriority w:val="29"/>
    <w:rsid w:val="003056BC"/>
    <w:rPr>
      <w:i/>
      <w:iCs/>
      <w:color w:val="404040" w:themeColor="text1" w:themeTint="BF"/>
    </w:rPr>
  </w:style>
  <w:style w:type="paragraph" w:styleId="ListParagraph">
    <w:name w:val="List Paragraph"/>
    <w:basedOn w:val="Normal"/>
    <w:uiPriority w:val="34"/>
    <w:qFormat/>
    <w:rsid w:val="003056BC"/>
    <w:pPr>
      <w:widowControl/>
      <w:spacing w:after="160" w:line="278" w:lineRule="auto"/>
      <w:ind w:left="720"/>
      <w:contextualSpacing/>
      <w:jc w:val="left"/>
    </w:pPr>
    <w:rPr>
      <w:rFonts w:eastAsiaTheme="minorHAnsi"/>
      <w:sz w:val="24"/>
      <w:szCs w:val="24"/>
      <w:lang w:val="en-IN" w:eastAsia="en-US"/>
    </w:rPr>
  </w:style>
  <w:style w:type="character" w:styleId="IntenseEmphasis">
    <w:name w:val="Intense Emphasis"/>
    <w:basedOn w:val="DefaultParagraphFont"/>
    <w:uiPriority w:val="21"/>
    <w:qFormat/>
    <w:rsid w:val="003056BC"/>
    <w:rPr>
      <w:i/>
      <w:iCs/>
      <w:color w:val="0F4761" w:themeColor="accent1" w:themeShade="BF"/>
    </w:rPr>
  </w:style>
  <w:style w:type="paragraph" w:styleId="IntenseQuote">
    <w:name w:val="Intense Quote"/>
    <w:basedOn w:val="Normal"/>
    <w:next w:val="Normal"/>
    <w:link w:val="IntenseQuoteChar"/>
    <w:uiPriority w:val="30"/>
    <w:qFormat/>
    <w:rsid w:val="003056BC"/>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rPr>
  </w:style>
  <w:style w:type="character" w:customStyle="1" w:styleId="IntenseQuoteChar">
    <w:name w:val="Intense Quote Char"/>
    <w:basedOn w:val="DefaultParagraphFont"/>
    <w:link w:val="IntenseQuote"/>
    <w:uiPriority w:val="30"/>
    <w:rsid w:val="003056BC"/>
    <w:rPr>
      <w:i/>
      <w:iCs/>
      <w:color w:val="0F4761" w:themeColor="accent1" w:themeShade="BF"/>
    </w:rPr>
  </w:style>
  <w:style w:type="character" w:styleId="IntenseReference">
    <w:name w:val="Intense Reference"/>
    <w:basedOn w:val="DefaultParagraphFont"/>
    <w:uiPriority w:val="32"/>
    <w:qFormat/>
    <w:rsid w:val="003056BC"/>
    <w:rPr>
      <w:b/>
      <w:bCs/>
      <w:smallCaps/>
      <w:color w:val="0F4761" w:themeColor="accent1" w:themeShade="BF"/>
      <w:spacing w:val="5"/>
    </w:rPr>
  </w:style>
  <w:style w:type="paragraph" w:styleId="Footer">
    <w:name w:val="footer"/>
    <w:basedOn w:val="Normal"/>
    <w:link w:val="FooterChar"/>
    <w:uiPriority w:val="99"/>
    <w:unhideWhenUsed/>
    <w:rsid w:val="003056B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056BC"/>
    <w:rPr>
      <w:rFonts w:eastAsiaTheme="minorEastAsia"/>
      <w:sz w:val="18"/>
      <w:szCs w:val="18"/>
      <w:lang w:val="en-US" w:eastAsia="zh-CN"/>
    </w:rPr>
  </w:style>
  <w:style w:type="paragraph" w:styleId="Caption">
    <w:name w:val="caption"/>
    <w:basedOn w:val="Normal"/>
    <w:next w:val="Normal"/>
    <w:uiPriority w:val="35"/>
    <w:unhideWhenUsed/>
    <w:qFormat/>
    <w:rsid w:val="003056BC"/>
    <w:rPr>
      <w:rFonts w:asciiTheme="majorHAnsi" w:eastAsia="SimHei" w:hAnsiTheme="majorHAnsi" w:cstheme="majorBidi"/>
      <w:sz w:val="20"/>
      <w:szCs w:val="20"/>
      <w14:ligatures w14:val="none"/>
    </w:rPr>
  </w:style>
  <w:style w:type="paragraph" w:styleId="NoSpacing">
    <w:name w:val="No Spacing"/>
    <w:link w:val="NoSpacingChar"/>
    <w:uiPriority w:val="1"/>
    <w:qFormat/>
    <w:rsid w:val="003056BC"/>
    <w:pPr>
      <w:widowControl w:val="0"/>
      <w:spacing w:after="0" w:line="240" w:lineRule="auto"/>
    </w:pPr>
    <w:rPr>
      <w:rFonts w:eastAsiaTheme="minorEastAsia"/>
      <w:sz w:val="22"/>
      <w:lang w:val="en-US" w:eastAsia="zh-CN"/>
    </w:rPr>
  </w:style>
  <w:style w:type="character" w:customStyle="1" w:styleId="NoSpacingChar">
    <w:name w:val="No Spacing Char"/>
    <w:basedOn w:val="DefaultParagraphFont"/>
    <w:link w:val="NoSpacing"/>
    <w:uiPriority w:val="1"/>
    <w:rsid w:val="003056BC"/>
    <w:rPr>
      <w:rFonts w:eastAsiaTheme="minorEastAsia"/>
      <w:sz w:val="22"/>
      <w:lang w:val="en-US" w:eastAsia="zh-CN"/>
    </w:rPr>
  </w:style>
  <w:style w:type="table" w:styleId="PlainTable2">
    <w:name w:val="Plain Table 2"/>
    <w:basedOn w:val="TableNormal"/>
    <w:uiPriority w:val="42"/>
    <w:rsid w:val="003056BC"/>
    <w:pPr>
      <w:spacing w:after="0" w:line="240" w:lineRule="auto"/>
    </w:pPr>
    <w:rPr>
      <w:rFonts w:eastAsiaTheme="minorEastAsia"/>
      <w:sz w:val="22"/>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305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377</Words>
  <Characters>2152</Characters>
  <Application>Microsoft Office Word</Application>
  <DocSecurity>0</DocSecurity>
  <Lines>17</Lines>
  <Paragraphs>5</Paragraphs>
  <ScaleCrop>false</ScaleCrop>
  <Company/>
  <LinksUpToDate>false</LinksUpToDate>
  <CharactersWithSpaces>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2025-09-29T18:04:00Z</dcterms:created>
  <dcterms:modified xsi:type="dcterms:W3CDTF">2025-09-29T18:05:00Z</dcterms:modified>
</cp:coreProperties>
</file>