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751D" w14:textId="77777777" w:rsidR="00F66719" w:rsidRDefault="00F66719" w:rsidP="00F66719">
      <w:pPr>
        <w:pStyle w:val="Heading2"/>
      </w:pPr>
      <w:r>
        <w:t>Appendix</w:t>
      </w:r>
    </w:p>
    <w:p w14:paraId="1D8B9A20" w14:textId="77777777" w:rsidR="00F66719" w:rsidRDefault="00F66719" w:rsidP="00F66719"/>
    <w:p w14:paraId="0FA48722" w14:textId="77777777" w:rsidR="00F66719" w:rsidRPr="002D6C03" w:rsidRDefault="00F66719" w:rsidP="00F66719">
      <w:pPr>
        <w:rPr>
          <w:b/>
          <w:bCs/>
        </w:rPr>
      </w:pPr>
      <w:r>
        <w:rPr>
          <w:b/>
          <w:bCs/>
        </w:rPr>
        <w:t xml:space="preserve"> </w:t>
      </w:r>
      <w:r w:rsidRPr="002D6C03">
        <w:rPr>
          <w:b/>
          <w:bCs/>
        </w:rPr>
        <w:t>Survey response rate</w:t>
      </w:r>
    </w:p>
    <w:tbl>
      <w:tblPr>
        <w:tblW w:w="9160" w:type="dxa"/>
        <w:tblLook w:val="04A0" w:firstRow="1" w:lastRow="0" w:firstColumn="1" w:lastColumn="0" w:noHBand="0" w:noVBand="1"/>
      </w:tblPr>
      <w:tblGrid>
        <w:gridCol w:w="3048"/>
        <w:gridCol w:w="1850"/>
        <w:gridCol w:w="2140"/>
        <w:gridCol w:w="2122"/>
      </w:tblGrid>
      <w:tr w:rsidR="00F66719" w:rsidRPr="00344B8B" w14:paraId="6B58F0BA" w14:textId="77777777" w:rsidTr="0031668C">
        <w:trPr>
          <w:trHeight w:val="275"/>
        </w:trPr>
        <w:tc>
          <w:tcPr>
            <w:tcW w:w="3048" w:type="dxa"/>
            <w:tcBorders>
              <w:top w:val="single" w:sz="4" w:space="0" w:color="auto"/>
              <w:left w:val="nil"/>
              <w:bottom w:val="nil"/>
              <w:right w:val="nil"/>
            </w:tcBorders>
            <w:shd w:val="clear" w:color="000000" w:fill="D9D9D9"/>
            <w:noWrap/>
            <w:hideMark/>
          </w:tcPr>
          <w:p w14:paraId="35E0E999" w14:textId="77777777" w:rsidR="00F66719" w:rsidRPr="00344B8B" w:rsidRDefault="00F66719" w:rsidP="0031668C">
            <w:pPr>
              <w:spacing w:after="0" w:line="240" w:lineRule="auto"/>
              <w:rPr>
                <w:rFonts w:ascii="Aptos Narrow" w:eastAsia="Times New Roman" w:hAnsi="Aptos Narrow" w:cs="Arial"/>
                <w:color w:val="000000"/>
                <w:kern w:val="0"/>
                <w:sz w:val="22"/>
                <w:szCs w:val="22"/>
                <w:lang w:eastAsia="en-AU"/>
                <w14:ligatures w14:val="none"/>
              </w:rPr>
            </w:pPr>
            <w:r w:rsidRPr="00344B8B">
              <w:rPr>
                <w:rFonts w:ascii="Aptos Narrow" w:eastAsia="Times New Roman" w:hAnsi="Aptos Narrow" w:cs="Arial"/>
                <w:color w:val="000000"/>
                <w:kern w:val="0"/>
                <w:sz w:val="22"/>
                <w:szCs w:val="22"/>
                <w:lang w:eastAsia="en-AU"/>
                <w14:ligatures w14:val="none"/>
              </w:rPr>
              <w:t> </w:t>
            </w:r>
          </w:p>
        </w:tc>
        <w:tc>
          <w:tcPr>
            <w:tcW w:w="1850" w:type="dxa"/>
            <w:tcBorders>
              <w:top w:val="single" w:sz="4" w:space="0" w:color="auto"/>
              <w:left w:val="nil"/>
              <w:bottom w:val="nil"/>
              <w:right w:val="nil"/>
            </w:tcBorders>
            <w:shd w:val="clear" w:color="000000" w:fill="D9D9D9"/>
            <w:noWrap/>
            <w:hideMark/>
          </w:tcPr>
          <w:p w14:paraId="106E644B"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xml:space="preserve">Surveys distributed (N) </w:t>
            </w:r>
          </w:p>
        </w:tc>
        <w:tc>
          <w:tcPr>
            <w:tcW w:w="2140" w:type="dxa"/>
            <w:tcBorders>
              <w:top w:val="single" w:sz="4" w:space="0" w:color="auto"/>
              <w:left w:val="nil"/>
              <w:bottom w:val="nil"/>
              <w:right w:val="nil"/>
            </w:tcBorders>
            <w:shd w:val="clear" w:color="000000" w:fill="D9D9D9"/>
            <w:noWrap/>
            <w:hideMark/>
          </w:tcPr>
          <w:p w14:paraId="760A5AF9"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Surveys retuned (N)</w:t>
            </w:r>
          </w:p>
        </w:tc>
        <w:tc>
          <w:tcPr>
            <w:tcW w:w="2122" w:type="dxa"/>
            <w:tcBorders>
              <w:top w:val="single" w:sz="4" w:space="0" w:color="auto"/>
              <w:left w:val="nil"/>
              <w:bottom w:val="nil"/>
              <w:right w:val="nil"/>
            </w:tcBorders>
            <w:shd w:val="clear" w:color="000000" w:fill="D9D9D9"/>
            <w:noWrap/>
            <w:hideMark/>
          </w:tcPr>
          <w:p w14:paraId="0650F879"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Response Rate (%)</w:t>
            </w:r>
          </w:p>
        </w:tc>
      </w:tr>
      <w:tr w:rsidR="00F66719" w:rsidRPr="00344B8B" w14:paraId="15AB690F" w14:textId="77777777" w:rsidTr="0031668C">
        <w:trPr>
          <w:trHeight w:val="275"/>
        </w:trPr>
        <w:tc>
          <w:tcPr>
            <w:tcW w:w="3048" w:type="dxa"/>
            <w:tcBorders>
              <w:top w:val="single" w:sz="4" w:space="0" w:color="auto"/>
              <w:left w:val="nil"/>
              <w:bottom w:val="single" w:sz="4" w:space="0" w:color="auto"/>
              <w:right w:val="nil"/>
            </w:tcBorders>
            <w:shd w:val="clear" w:color="000000" w:fill="BFBFBF"/>
            <w:noWrap/>
            <w:hideMark/>
          </w:tcPr>
          <w:p w14:paraId="4E18074E"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Phase 1- surveys</w:t>
            </w:r>
          </w:p>
        </w:tc>
        <w:tc>
          <w:tcPr>
            <w:tcW w:w="1850" w:type="dxa"/>
            <w:tcBorders>
              <w:top w:val="single" w:sz="4" w:space="0" w:color="auto"/>
              <w:left w:val="nil"/>
              <w:bottom w:val="single" w:sz="4" w:space="0" w:color="auto"/>
              <w:right w:val="nil"/>
            </w:tcBorders>
            <w:shd w:val="clear" w:color="000000" w:fill="BFBFBF"/>
            <w:noWrap/>
            <w:hideMark/>
          </w:tcPr>
          <w:p w14:paraId="0ADD1F5E"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c>
          <w:tcPr>
            <w:tcW w:w="2140" w:type="dxa"/>
            <w:tcBorders>
              <w:top w:val="single" w:sz="4" w:space="0" w:color="auto"/>
              <w:left w:val="nil"/>
              <w:bottom w:val="single" w:sz="4" w:space="0" w:color="auto"/>
              <w:right w:val="nil"/>
            </w:tcBorders>
            <w:shd w:val="clear" w:color="000000" w:fill="BFBFBF"/>
            <w:noWrap/>
            <w:hideMark/>
          </w:tcPr>
          <w:p w14:paraId="60091F6E"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c>
          <w:tcPr>
            <w:tcW w:w="2122" w:type="dxa"/>
            <w:tcBorders>
              <w:top w:val="single" w:sz="4" w:space="0" w:color="auto"/>
              <w:left w:val="nil"/>
              <w:bottom w:val="single" w:sz="4" w:space="0" w:color="auto"/>
              <w:right w:val="nil"/>
            </w:tcBorders>
            <w:shd w:val="clear" w:color="000000" w:fill="BFBFBF"/>
            <w:noWrap/>
            <w:hideMark/>
          </w:tcPr>
          <w:p w14:paraId="5907A756"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r>
      <w:tr w:rsidR="00F66719" w:rsidRPr="00344B8B" w14:paraId="6A7EF602" w14:textId="77777777" w:rsidTr="0031668C">
        <w:trPr>
          <w:trHeight w:val="265"/>
        </w:trPr>
        <w:tc>
          <w:tcPr>
            <w:tcW w:w="3048" w:type="dxa"/>
            <w:tcBorders>
              <w:top w:val="nil"/>
              <w:left w:val="nil"/>
              <w:bottom w:val="nil"/>
              <w:right w:val="nil"/>
            </w:tcBorders>
            <w:hideMark/>
          </w:tcPr>
          <w:p w14:paraId="6BEA1D9E"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Medical students</w:t>
            </w:r>
          </w:p>
        </w:tc>
        <w:tc>
          <w:tcPr>
            <w:tcW w:w="1850" w:type="dxa"/>
            <w:tcBorders>
              <w:top w:val="nil"/>
              <w:left w:val="nil"/>
              <w:bottom w:val="nil"/>
              <w:right w:val="nil"/>
            </w:tcBorders>
            <w:hideMark/>
          </w:tcPr>
          <w:p w14:paraId="0F7F26F2"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6</w:t>
            </w:r>
          </w:p>
        </w:tc>
        <w:tc>
          <w:tcPr>
            <w:tcW w:w="2140" w:type="dxa"/>
            <w:tcBorders>
              <w:top w:val="nil"/>
              <w:left w:val="nil"/>
              <w:bottom w:val="nil"/>
              <w:right w:val="nil"/>
            </w:tcBorders>
            <w:hideMark/>
          </w:tcPr>
          <w:p w14:paraId="1C05BECC"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6</w:t>
            </w:r>
          </w:p>
        </w:tc>
        <w:tc>
          <w:tcPr>
            <w:tcW w:w="2122" w:type="dxa"/>
            <w:tcBorders>
              <w:top w:val="nil"/>
              <w:left w:val="nil"/>
              <w:bottom w:val="nil"/>
              <w:right w:val="nil"/>
            </w:tcBorders>
            <w:hideMark/>
          </w:tcPr>
          <w:p w14:paraId="23756A62"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100.00</w:t>
            </w:r>
          </w:p>
        </w:tc>
      </w:tr>
      <w:tr w:rsidR="00F66719" w:rsidRPr="00344B8B" w14:paraId="56EFC960" w14:textId="77777777" w:rsidTr="0031668C">
        <w:trPr>
          <w:trHeight w:val="265"/>
        </w:trPr>
        <w:tc>
          <w:tcPr>
            <w:tcW w:w="3048" w:type="dxa"/>
            <w:tcBorders>
              <w:top w:val="nil"/>
              <w:left w:val="nil"/>
              <w:bottom w:val="nil"/>
              <w:right w:val="nil"/>
            </w:tcBorders>
            <w:hideMark/>
          </w:tcPr>
          <w:p w14:paraId="23B0A4B6"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GP Supervisors</w:t>
            </w:r>
          </w:p>
        </w:tc>
        <w:tc>
          <w:tcPr>
            <w:tcW w:w="1850" w:type="dxa"/>
            <w:tcBorders>
              <w:top w:val="nil"/>
              <w:left w:val="nil"/>
              <w:bottom w:val="nil"/>
              <w:right w:val="nil"/>
            </w:tcBorders>
            <w:hideMark/>
          </w:tcPr>
          <w:p w14:paraId="4AABA8DE"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6</w:t>
            </w:r>
          </w:p>
        </w:tc>
        <w:tc>
          <w:tcPr>
            <w:tcW w:w="2140" w:type="dxa"/>
            <w:tcBorders>
              <w:top w:val="nil"/>
              <w:left w:val="nil"/>
              <w:bottom w:val="nil"/>
              <w:right w:val="nil"/>
            </w:tcBorders>
            <w:hideMark/>
          </w:tcPr>
          <w:p w14:paraId="367A22D1"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5</w:t>
            </w:r>
          </w:p>
        </w:tc>
        <w:tc>
          <w:tcPr>
            <w:tcW w:w="2122" w:type="dxa"/>
            <w:tcBorders>
              <w:top w:val="nil"/>
              <w:left w:val="nil"/>
              <w:bottom w:val="nil"/>
              <w:right w:val="nil"/>
            </w:tcBorders>
            <w:hideMark/>
          </w:tcPr>
          <w:p w14:paraId="0696816C"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83.33</w:t>
            </w:r>
          </w:p>
        </w:tc>
      </w:tr>
      <w:tr w:rsidR="00F66719" w:rsidRPr="00344B8B" w14:paraId="6955CF6D" w14:textId="77777777" w:rsidTr="0031668C">
        <w:trPr>
          <w:trHeight w:val="265"/>
        </w:trPr>
        <w:tc>
          <w:tcPr>
            <w:tcW w:w="3048" w:type="dxa"/>
            <w:tcBorders>
              <w:top w:val="nil"/>
              <w:left w:val="nil"/>
              <w:bottom w:val="nil"/>
              <w:right w:val="nil"/>
            </w:tcBorders>
            <w:hideMark/>
          </w:tcPr>
          <w:p w14:paraId="480D4A1B"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p>
        </w:tc>
        <w:tc>
          <w:tcPr>
            <w:tcW w:w="1850" w:type="dxa"/>
            <w:tcBorders>
              <w:top w:val="nil"/>
              <w:left w:val="nil"/>
              <w:bottom w:val="nil"/>
              <w:right w:val="nil"/>
            </w:tcBorders>
            <w:hideMark/>
          </w:tcPr>
          <w:p w14:paraId="40E0CCAB" w14:textId="77777777" w:rsidR="00F66719" w:rsidRPr="00344B8B" w:rsidRDefault="00F66719" w:rsidP="0031668C">
            <w:pPr>
              <w:spacing w:after="0" w:line="240" w:lineRule="auto"/>
              <w:rPr>
                <w:rFonts w:ascii="Times New Roman" w:eastAsia="Times New Roman" w:hAnsi="Times New Roman" w:cs="Times New Roman"/>
                <w:kern w:val="0"/>
                <w:sz w:val="20"/>
                <w:szCs w:val="20"/>
                <w:lang w:eastAsia="en-AU"/>
                <w14:ligatures w14:val="none"/>
              </w:rPr>
            </w:pPr>
          </w:p>
        </w:tc>
        <w:tc>
          <w:tcPr>
            <w:tcW w:w="2140" w:type="dxa"/>
            <w:tcBorders>
              <w:top w:val="nil"/>
              <w:left w:val="nil"/>
              <w:bottom w:val="nil"/>
              <w:right w:val="nil"/>
            </w:tcBorders>
            <w:hideMark/>
          </w:tcPr>
          <w:p w14:paraId="0B189451" w14:textId="77777777" w:rsidR="00F66719" w:rsidRPr="00344B8B" w:rsidRDefault="00F66719" w:rsidP="0031668C">
            <w:pPr>
              <w:spacing w:after="0" w:line="240" w:lineRule="auto"/>
              <w:rPr>
                <w:rFonts w:ascii="Times New Roman" w:eastAsia="Times New Roman" w:hAnsi="Times New Roman" w:cs="Times New Roman"/>
                <w:kern w:val="0"/>
                <w:sz w:val="20"/>
                <w:szCs w:val="20"/>
                <w:lang w:eastAsia="en-AU"/>
                <w14:ligatures w14:val="none"/>
              </w:rPr>
            </w:pPr>
          </w:p>
        </w:tc>
        <w:tc>
          <w:tcPr>
            <w:tcW w:w="2122" w:type="dxa"/>
            <w:tcBorders>
              <w:top w:val="nil"/>
              <w:left w:val="nil"/>
              <w:bottom w:val="nil"/>
              <w:right w:val="nil"/>
            </w:tcBorders>
            <w:hideMark/>
          </w:tcPr>
          <w:p w14:paraId="48FE92E2" w14:textId="77777777" w:rsidR="00F66719" w:rsidRPr="00344B8B" w:rsidRDefault="00F66719" w:rsidP="0031668C">
            <w:pPr>
              <w:spacing w:after="0" w:line="240" w:lineRule="auto"/>
              <w:rPr>
                <w:rFonts w:ascii="Times New Roman" w:eastAsia="Times New Roman" w:hAnsi="Times New Roman" w:cs="Times New Roman"/>
                <w:kern w:val="0"/>
                <w:sz w:val="20"/>
                <w:szCs w:val="20"/>
                <w:lang w:eastAsia="en-AU"/>
                <w14:ligatures w14:val="none"/>
              </w:rPr>
            </w:pPr>
          </w:p>
        </w:tc>
      </w:tr>
      <w:tr w:rsidR="00F66719" w:rsidRPr="00344B8B" w14:paraId="46E28847" w14:textId="77777777" w:rsidTr="0031668C">
        <w:trPr>
          <w:trHeight w:val="275"/>
        </w:trPr>
        <w:tc>
          <w:tcPr>
            <w:tcW w:w="3048" w:type="dxa"/>
            <w:tcBorders>
              <w:top w:val="single" w:sz="4" w:space="0" w:color="auto"/>
              <w:left w:val="nil"/>
              <w:bottom w:val="single" w:sz="4" w:space="0" w:color="auto"/>
              <w:right w:val="nil"/>
            </w:tcBorders>
            <w:shd w:val="clear" w:color="000000" w:fill="BFBFBF"/>
            <w:noWrap/>
            <w:hideMark/>
          </w:tcPr>
          <w:p w14:paraId="1C0374F2"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Phase 2- surveys</w:t>
            </w:r>
          </w:p>
        </w:tc>
        <w:tc>
          <w:tcPr>
            <w:tcW w:w="1850" w:type="dxa"/>
            <w:tcBorders>
              <w:top w:val="single" w:sz="4" w:space="0" w:color="auto"/>
              <w:left w:val="nil"/>
              <w:bottom w:val="single" w:sz="4" w:space="0" w:color="auto"/>
              <w:right w:val="nil"/>
            </w:tcBorders>
            <w:shd w:val="clear" w:color="000000" w:fill="BFBFBF"/>
            <w:noWrap/>
            <w:hideMark/>
          </w:tcPr>
          <w:p w14:paraId="4BAA346A"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c>
          <w:tcPr>
            <w:tcW w:w="2140" w:type="dxa"/>
            <w:tcBorders>
              <w:top w:val="single" w:sz="4" w:space="0" w:color="auto"/>
              <w:left w:val="nil"/>
              <w:bottom w:val="single" w:sz="4" w:space="0" w:color="auto"/>
              <w:right w:val="nil"/>
            </w:tcBorders>
            <w:shd w:val="clear" w:color="000000" w:fill="BFBFBF"/>
            <w:noWrap/>
            <w:hideMark/>
          </w:tcPr>
          <w:p w14:paraId="5BA9B1CE"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c>
          <w:tcPr>
            <w:tcW w:w="2122" w:type="dxa"/>
            <w:tcBorders>
              <w:top w:val="single" w:sz="4" w:space="0" w:color="auto"/>
              <w:left w:val="nil"/>
              <w:bottom w:val="single" w:sz="4" w:space="0" w:color="auto"/>
              <w:right w:val="nil"/>
            </w:tcBorders>
            <w:shd w:val="clear" w:color="000000" w:fill="BFBFBF"/>
            <w:noWrap/>
            <w:hideMark/>
          </w:tcPr>
          <w:p w14:paraId="181709E0" w14:textId="77777777" w:rsidR="00F66719" w:rsidRPr="00344B8B" w:rsidRDefault="00F66719" w:rsidP="0031668C">
            <w:pPr>
              <w:spacing w:after="0" w:line="240" w:lineRule="auto"/>
              <w:rPr>
                <w:rFonts w:ascii="Aptos Narrow" w:eastAsia="Times New Roman" w:hAnsi="Aptos Narrow" w:cs="Arial"/>
                <w:b/>
                <w:bCs/>
                <w:color w:val="000000"/>
                <w:kern w:val="0"/>
                <w:sz w:val="22"/>
                <w:szCs w:val="22"/>
                <w:lang w:eastAsia="en-AU"/>
                <w14:ligatures w14:val="none"/>
              </w:rPr>
            </w:pPr>
            <w:r w:rsidRPr="00344B8B">
              <w:rPr>
                <w:rFonts w:ascii="Aptos Narrow" w:eastAsia="Times New Roman" w:hAnsi="Aptos Narrow" w:cs="Arial"/>
                <w:b/>
                <w:bCs/>
                <w:color w:val="000000"/>
                <w:kern w:val="0"/>
                <w:sz w:val="22"/>
                <w:szCs w:val="22"/>
                <w:lang w:eastAsia="en-AU"/>
                <w14:ligatures w14:val="none"/>
              </w:rPr>
              <w:t> </w:t>
            </w:r>
          </w:p>
        </w:tc>
      </w:tr>
      <w:tr w:rsidR="00F66719" w:rsidRPr="00344B8B" w14:paraId="761A2EC9" w14:textId="77777777" w:rsidTr="0031668C">
        <w:trPr>
          <w:trHeight w:val="265"/>
        </w:trPr>
        <w:tc>
          <w:tcPr>
            <w:tcW w:w="3048" w:type="dxa"/>
            <w:tcBorders>
              <w:top w:val="nil"/>
              <w:left w:val="nil"/>
              <w:bottom w:val="nil"/>
              <w:right w:val="nil"/>
            </w:tcBorders>
            <w:hideMark/>
          </w:tcPr>
          <w:p w14:paraId="7B92E494"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GP Registrars</w:t>
            </w:r>
            <w:r>
              <w:rPr>
                <w:rFonts w:ascii="Arial" w:eastAsia="Times New Roman" w:hAnsi="Arial" w:cs="Arial"/>
                <w:color w:val="000000"/>
                <w:kern w:val="0"/>
                <w:sz w:val="22"/>
                <w:szCs w:val="22"/>
                <w:lang w:eastAsia="en-AU"/>
                <w14:ligatures w14:val="none"/>
              </w:rPr>
              <w:t xml:space="preserve">- </w:t>
            </w:r>
            <w:r w:rsidRPr="00344B8B">
              <w:rPr>
                <w:rFonts w:ascii="Arial" w:eastAsia="Times New Roman" w:hAnsi="Arial" w:cs="Arial"/>
                <w:color w:val="000000"/>
                <w:kern w:val="0"/>
                <w:sz w:val="22"/>
                <w:szCs w:val="22"/>
                <w:lang w:eastAsia="en-AU"/>
                <w14:ligatures w14:val="none"/>
              </w:rPr>
              <w:t>Pre intervention</w:t>
            </w:r>
          </w:p>
        </w:tc>
        <w:tc>
          <w:tcPr>
            <w:tcW w:w="1850" w:type="dxa"/>
            <w:tcBorders>
              <w:top w:val="nil"/>
              <w:left w:val="nil"/>
              <w:bottom w:val="nil"/>
              <w:right w:val="nil"/>
            </w:tcBorders>
            <w:hideMark/>
          </w:tcPr>
          <w:p w14:paraId="4D580B55"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18</w:t>
            </w:r>
          </w:p>
        </w:tc>
        <w:tc>
          <w:tcPr>
            <w:tcW w:w="2140" w:type="dxa"/>
            <w:tcBorders>
              <w:top w:val="nil"/>
              <w:left w:val="nil"/>
              <w:bottom w:val="nil"/>
              <w:right w:val="nil"/>
            </w:tcBorders>
            <w:hideMark/>
          </w:tcPr>
          <w:p w14:paraId="45B7A89A"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18</w:t>
            </w:r>
          </w:p>
        </w:tc>
        <w:tc>
          <w:tcPr>
            <w:tcW w:w="2122" w:type="dxa"/>
            <w:tcBorders>
              <w:top w:val="nil"/>
              <w:left w:val="nil"/>
              <w:bottom w:val="nil"/>
              <w:right w:val="nil"/>
            </w:tcBorders>
            <w:hideMark/>
          </w:tcPr>
          <w:p w14:paraId="31CBE4ED"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100.00</w:t>
            </w:r>
          </w:p>
        </w:tc>
      </w:tr>
      <w:tr w:rsidR="00F66719" w:rsidRPr="00344B8B" w14:paraId="70A17632" w14:textId="77777777" w:rsidTr="0031668C">
        <w:trPr>
          <w:trHeight w:val="265"/>
        </w:trPr>
        <w:tc>
          <w:tcPr>
            <w:tcW w:w="3048" w:type="dxa"/>
            <w:tcBorders>
              <w:top w:val="nil"/>
              <w:left w:val="nil"/>
              <w:bottom w:val="nil"/>
              <w:right w:val="nil"/>
            </w:tcBorders>
            <w:hideMark/>
          </w:tcPr>
          <w:p w14:paraId="6581DB4A"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GP Registrars- Post intervention</w:t>
            </w:r>
          </w:p>
        </w:tc>
        <w:tc>
          <w:tcPr>
            <w:tcW w:w="1850" w:type="dxa"/>
            <w:tcBorders>
              <w:top w:val="nil"/>
              <w:left w:val="nil"/>
              <w:bottom w:val="nil"/>
              <w:right w:val="nil"/>
            </w:tcBorders>
            <w:hideMark/>
          </w:tcPr>
          <w:p w14:paraId="41C692E7"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18</w:t>
            </w:r>
          </w:p>
        </w:tc>
        <w:tc>
          <w:tcPr>
            <w:tcW w:w="2140" w:type="dxa"/>
            <w:tcBorders>
              <w:top w:val="nil"/>
              <w:left w:val="nil"/>
              <w:bottom w:val="nil"/>
              <w:right w:val="nil"/>
            </w:tcBorders>
            <w:hideMark/>
          </w:tcPr>
          <w:p w14:paraId="79FE8CC5"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17</w:t>
            </w:r>
          </w:p>
        </w:tc>
        <w:tc>
          <w:tcPr>
            <w:tcW w:w="2122" w:type="dxa"/>
            <w:tcBorders>
              <w:top w:val="nil"/>
              <w:left w:val="nil"/>
              <w:bottom w:val="nil"/>
              <w:right w:val="nil"/>
            </w:tcBorders>
            <w:hideMark/>
          </w:tcPr>
          <w:p w14:paraId="356B4E23"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94.44</w:t>
            </w:r>
          </w:p>
        </w:tc>
      </w:tr>
      <w:tr w:rsidR="00F66719" w:rsidRPr="00344B8B" w14:paraId="2988A8D1" w14:textId="77777777" w:rsidTr="0031668C">
        <w:trPr>
          <w:trHeight w:val="265"/>
        </w:trPr>
        <w:tc>
          <w:tcPr>
            <w:tcW w:w="3048" w:type="dxa"/>
            <w:tcBorders>
              <w:top w:val="nil"/>
              <w:left w:val="nil"/>
              <w:bottom w:val="nil"/>
              <w:right w:val="nil"/>
            </w:tcBorders>
            <w:hideMark/>
          </w:tcPr>
          <w:p w14:paraId="7D404210"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Medical students</w:t>
            </w:r>
          </w:p>
        </w:tc>
        <w:tc>
          <w:tcPr>
            <w:tcW w:w="1850" w:type="dxa"/>
            <w:tcBorders>
              <w:top w:val="nil"/>
              <w:left w:val="nil"/>
              <w:bottom w:val="nil"/>
              <w:right w:val="nil"/>
            </w:tcBorders>
            <w:hideMark/>
          </w:tcPr>
          <w:p w14:paraId="25336137"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18</w:t>
            </w:r>
          </w:p>
        </w:tc>
        <w:tc>
          <w:tcPr>
            <w:tcW w:w="2140" w:type="dxa"/>
            <w:tcBorders>
              <w:top w:val="nil"/>
              <w:left w:val="nil"/>
              <w:bottom w:val="nil"/>
              <w:right w:val="nil"/>
            </w:tcBorders>
            <w:hideMark/>
          </w:tcPr>
          <w:p w14:paraId="3F254922"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11</w:t>
            </w:r>
          </w:p>
        </w:tc>
        <w:tc>
          <w:tcPr>
            <w:tcW w:w="2122" w:type="dxa"/>
            <w:tcBorders>
              <w:top w:val="nil"/>
              <w:left w:val="nil"/>
              <w:bottom w:val="nil"/>
              <w:right w:val="nil"/>
            </w:tcBorders>
            <w:hideMark/>
          </w:tcPr>
          <w:p w14:paraId="14736224"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61.11</w:t>
            </w:r>
          </w:p>
        </w:tc>
      </w:tr>
      <w:tr w:rsidR="00F66719" w:rsidRPr="00344B8B" w14:paraId="48E5FA85" w14:textId="77777777" w:rsidTr="0031668C">
        <w:trPr>
          <w:trHeight w:val="265"/>
        </w:trPr>
        <w:tc>
          <w:tcPr>
            <w:tcW w:w="3048" w:type="dxa"/>
            <w:tcBorders>
              <w:top w:val="nil"/>
              <w:left w:val="nil"/>
              <w:bottom w:val="single" w:sz="4" w:space="0" w:color="auto"/>
              <w:right w:val="nil"/>
            </w:tcBorders>
            <w:hideMark/>
          </w:tcPr>
          <w:p w14:paraId="7AC11411" w14:textId="77777777" w:rsidR="00F66719" w:rsidRPr="00344B8B" w:rsidRDefault="00F66719" w:rsidP="0031668C">
            <w:pPr>
              <w:spacing w:after="0" w:line="240" w:lineRule="auto"/>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GP Supervisors</w:t>
            </w:r>
          </w:p>
        </w:tc>
        <w:tc>
          <w:tcPr>
            <w:tcW w:w="1850" w:type="dxa"/>
            <w:tcBorders>
              <w:top w:val="nil"/>
              <w:left w:val="nil"/>
              <w:bottom w:val="single" w:sz="4" w:space="0" w:color="auto"/>
              <w:right w:val="nil"/>
            </w:tcBorders>
            <w:hideMark/>
          </w:tcPr>
          <w:p w14:paraId="5C2BCE94"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18</w:t>
            </w:r>
          </w:p>
        </w:tc>
        <w:tc>
          <w:tcPr>
            <w:tcW w:w="2140" w:type="dxa"/>
            <w:tcBorders>
              <w:top w:val="nil"/>
              <w:left w:val="nil"/>
              <w:bottom w:val="single" w:sz="4" w:space="0" w:color="auto"/>
              <w:right w:val="nil"/>
            </w:tcBorders>
            <w:hideMark/>
          </w:tcPr>
          <w:p w14:paraId="17A0EE17"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8</w:t>
            </w:r>
          </w:p>
        </w:tc>
        <w:tc>
          <w:tcPr>
            <w:tcW w:w="2122" w:type="dxa"/>
            <w:tcBorders>
              <w:top w:val="nil"/>
              <w:left w:val="nil"/>
              <w:bottom w:val="single" w:sz="4" w:space="0" w:color="auto"/>
              <w:right w:val="nil"/>
            </w:tcBorders>
            <w:hideMark/>
          </w:tcPr>
          <w:p w14:paraId="13DAB888" w14:textId="77777777" w:rsidR="00F66719" w:rsidRPr="00344B8B" w:rsidRDefault="00F66719" w:rsidP="0031668C">
            <w:pPr>
              <w:spacing w:after="0" w:line="240" w:lineRule="auto"/>
              <w:jc w:val="right"/>
              <w:rPr>
                <w:rFonts w:ascii="Arial" w:eastAsia="Times New Roman" w:hAnsi="Arial" w:cs="Arial"/>
                <w:color w:val="000000"/>
                <w:kern w:val="0"/>
                <w:sz w:val="22"/>
                <w:szCs w:val="22"/>
                <w:lang w:eastAsia="en-AU"/>
                <w14:ligatures w14:val="none"/>
              </w:rPr>
            </w:pPr>
            <w:r w:rsidRPr="00344B8B">
              <w:rPr>
                <w:rFonts w:ascii="Arial" w:eastAsia="Times New Roman" w:hAnsi="Arial" w:cs="Arial"/>
                <w:color w:val="000000"/>
                <w:kern w:val="0"/>
                <w:sz w:val="22"/>
                <w:szCs w:val="22"/>
                <w:lang w:eastAsia="en-AU"/>
                <w14:ligatures w14:val="none"/>
              </w:rPr>
              <w:t>44.44</w:t>
            </w:r>
          </w:p>
        </w:tc>
      </w:tr>
    </w:tbl>
    <w:p w14:paraId="39C8943D" w14:textId="77777777" w:rsidR="00F66719" w:rsidRDefault="00F66719" w:rsidP="00F66719">
      <w:pPr>
        <w:rPr>
          <w:b/>
          <w:bCs/>
        </w:rPr>
      </w:pPr>
    </w:p>
    <w:p w14:paraId="5EEBAC6B" w14:textId="77777777" w:rsidR="00F66719" w:rsidRDefault="00F66719" w:rsidP="00F66719">
      <w:pPr>
        <w:rPr>
          <w:b/>
          <w:bCs/>
        </w:rPr>
      </w:pPr>
      <w:r>
        <w:rPr>
          <w:b/>
          <w:bCs/>
        </w:rPr>
        <w:br w:type="page"/>
      </w:r>
    </w:p>
    <w:p w14:paraId="124270EC" w14:textId="77777777" w:rsidR="00F66719" w:rsidRPr="00A9734C" w:rsidRDefault="00F66719" w:rsidP="00F66719">
      <w:pPr>
        <w:pStyle w:val="Heading2"/>
      </w:pPr>
      <w:r w:rsidRPr="00A9734C">
        <w:lastRenderedPageBreak/>
        <w:t>Glossary</w:t>
      </w:r>
    </w:p>
    <w:p w14:paraId="19F2BE5E" w14:textId="77777777" w:rsidR="00F66719" w:rsidRDefault="00F66719" w:rsidP="00F66719">
      <w:pPr>
        <w:rPr>
          <w:b/>
          <w:bCs/>
        </w:rPr>
      </w:pPr>
      <w:r>
        <w:rPr>
          <w:b/>
          <w:bCs/>
        </w:rPr>
        <w:t>AGPT (</w:t>
      </w:r>
      <w:r w:rsidRPr="00EA1F37">
        <w:rPr>
          <w:b/>
          <w:bCs/>
        </w:rPr>
        <w:t>Australian General Practice Training</w:t>
      </w:r>
      <w:r>
        <w:rPr>
          <w:b/>
          <w:bCs/>
        </w:rPr>
        <w:t>)</w:t>
      </w:r>
      <w:r w:rsidRPr="00EA1F37">
        <w:rPr>
          <w:b/>
          <w:bCs/>
        </w:rPr>
        <w:t xml:space="preserve"> Program </w:t>
      </w:r>
    </w:p>
    <w:p w14:paraId="107DCB35" w14:textId="77777777" w:rsidR="00F66719" w:rsidRPr="000F0BC1" w:rsidRDefault="00F66719" w:rsidP="00F66719">
      <w:r w:rsidRPr="00CF617D">
        <w:t>The AGPT program is the primary training pathway for doctors aiming to become general practitioners (GPs) in Australia. Funded by the Australian Government, it offers a three-year, full-time training program (or part-time equivalent).</w:t>
      </w:r>
    </w:p>
    <w:p w14:paraId="44E9666D" w14:textId="77777777" w:rsidR="00F66719" w:rsidRPr="00FC1E62" w:rsidRDefault="00F66719" w:rsidP="00F66719">
      <w:pPr>
        <w:rPr>
          <w:b/>
          <w:bCs/>
        </w:rPr>
      </w:pPr>
      <w:r w:rsidRPr="00FC1E62">
        <w:rPr>
          <w:b/>
          <w:bCs/>
        </w:rPr>
        <w:t>GP registrar</w:t>
      </w:r>
    </w:p>
    <w:p w14:paraId="490B49F3" w14:textId="77777777" w:rsidR="00F66719" w:rsidRPr="00FC1E62" w:rsidRDefault="00F66719" w:rsidP="00F66719">
      <w:r>
        <w:t>A term used to describe a training general practitioner in Australia, UK and NZ. The term is synonymous with terms such as ‘GP trainee’ or a ‘general practice resident’.</w:t>
      </w:r>
    </w:p>
    <w:p w14:paraId="5120CDC3" w14:textId="77777777" w:rsidR="00F66719" w:rsidRDefault="00F66719" w:rsidP="00F66719">
      <w:pPr>
        <w:rPr>
          <w:b/>
          <w:bCs/>
        </w:rPr>
      </w:pPr>
      <w:r w:rsidRPr="0047250A">
        <w:rPr>
          <w:b/>
          <w:bCs/>
        </w:rPr>
        <w:t>GPT1, GPT2, GPT3</w:t>
      </w:r>
      <w:r>
        <w:rPr>
          <w:b/>
          <w:bCs/>
        </w:rPr>
        <w:t>, GPT4/Extended skills: (</w:t>
      </w:r>
      <w:bookmarkStart w:id="0" w:name="_Hlk191371074"/>
      <w:r>
        <w:rPr>
          <w:b/>
          <w:bCs/>
        </w:rPr>
        <w:t>General Practic</w:t>
      </w:r>
      <w:r w:rsidRPr="00415B2C">
        <w:rPr>
          <w:b/>
          <w:bCs/>
        </w:rPr>
        <w:t>e Terms</w:t>
      </w:r>
      <w:bookmarkEnd w:id="0"/>
      <w:r>
        <w:rPr>
          <w:b/>
          <w:bCs/>
        </w:rPr>
        <w:t>)</w:t>
      </w:r>
    </w:p>
    <w:p w14:paraId="72828D8D" w14:textId="77777777" w:rsidR="00F66719" w:rsidRPr="006349A3" w:rsidRDefault="00F66719" w:rsidP="00F66719">
      <w:r w:rsidRPr="006349A3">
        <w:t xml:space="preserve">General Practice Terms are generally 6 months at FTE </w:t>
      </w:r>
      <w:r>
        <w:t xml:space="preserve">(Full time equivalent) </w:t>
      </w:r>
      <w:r w:rsidRPr="006349A3">
        <w:t>each</w:t>
      </w:r>
      <w:r>
        <w:t>.</w:t>
      </w:r>
    </w:p>
    <w:p w14:paraId="157D40A7" w14:textId="77777777" w:rsidR="00F66719" w:rsidRPr="00A9734C" w:rsidRDefault="00F66719" w:rsidP="00F66719">
      <w:pPr>
        <w:rPr>
          <w:b/>
          <w:bCs/>
        </w:rPr>
      </w:pPr>
      <w:r w:rsidRPr="00A9734C">
        <w:rPr>
          <w:b/>
          <w:bCs/>
        </w:rPr>
        <w:t>PIP (Practice Incentive Payment)</w:t>
      </w:r>
    </w:p>
    <w:p w14:paraId="012605D6" w14:textId="77777777" w:rsidR="00F66719" w:rsidRPr="00A9734C" w:rsidRDefault="00F66719" w:rsidP="00F66719">
      <w:r w:rsidRPr="00A9734C">
        <w:t>A government-funded program that provides financial incentives to medical practices for undertaking specific activities, such as teaching or improving quality care.</w:t>
      </w:r>
    </w:p>
    <w:p w14:paraId="2ABA9AF1" w14:textId="77777777" w:rsidR="00F66719" w:rsidRDefault="00F66719" w:rsidP="00F66719">
      <w:pPr>
        <w:rPr>
          <w:b/>
          <w:bCs/>
        </w:rPr>
      </w:pPr>
      <w:r>
        <w:rPr>
          <w:b/>
          <w:bCs/>
        </w:rPr>
        <w:br w:type="page"/>
      </w:r>
    </w:p>
    <w:p w14:paraId="53D6CBDE" w14:textId="77777777" w:rsidR="00F66719" w:rsidRPr="00DA5C81" w:rsidRDefault="00F66719" w:rsidP="00F66719">
      <w:pPr>
        <w:rPr>
          <w:b/>
          <w:bCs/>
        </w:rPr>
      </w:pPr>
      <w:r w:rsidRPr="00DA5C81">
        <w:rPr>
          <w:b/>
          <w:bCs/>
        </w:rPr>
        <w:lastRenderedPageBreak/>
        <w:t>Author Information</w:t>
      </w:r>
    </w:p>
    <w:p w14:paraId="7257F174" w14:textId="77777777" w:rsidR="00F66719" w:rsidRPr="00DA5C81" w:rsidRDefault="00F66719" w:rsidP="00F66719">
      <w:pPr>
        <w:rPr>
          <w:b/>
          <w:bCs/>
        </w:rPr>
      </w:pPr>
      <w:r w:rsidRPr="00DA5C81">
        <w:rPr>
          <w:b/>
          <w:bCs/>
        </w:rPr>
        <w:t>Dr. Hok Lim</w:t>
      </w:r>
    </w:p>
    <w:p w14:paraId="32D6E395" w14:textId="77777777" w:rsidR="00F66719" w:rsidRPr="00DA5C81" w:rsidRDefault="00F66719" w:rsidP="00F66719">
      <w:pPr>
        <w:numPr>
          <w:ilvl w:val="0"/>
          <w:numId w:val="1"/>
        </w:numPr>
      </w:pPr>
      <w:r w:rsidRPr="00DA5C81">
        <w:rPr>
          <w:b/>
          <w:bCs/>
        </w:rPr>
        <w:t>Email:</w:t>
      </w:r>
      <w:r w:rsidRPr="00DA5C81">
        <w:t xml:space="preserve"> hokl@unimelb.edu.au</w:t>
      </w:r>
    </w:p>
    <w:p w14:paraId="78E58917" w14:textId="77777777" w:rsidR="00F66719" w:rsidRPr="00DA5C81" w:rsidRDefault="00F66719" w:rsidP="00F66719">
      <w:pPr>
        <w:numPr>
          <w:ilvl w:val="0"/>
          <w:numId w:val="1"/>
        </w:numPr>
      </w:pPr>
      <w:r w:rsidRPr="00DA5C81">
        <w:rPr>
          <w:b/>
          <w:bCs/>
        </w:rPr>
        <w:t>Affiliation:</w:t>
      </w:r>
      <w:r w:rsidRPr="00DA5C81">
        <w:t xml:space="preserve"> General Practitioner and Practice Owner, Melbourne, Victoria</w:t>
      </w:r>
    </w:p>
    <w:p w14:paraId="18C93FE1" w14:textId="77777777" w:rsidR="00F66719" w:rsidRPr="00DA5C81" w:rsidRDefault="00F66719" w:rsidP="00F66719">
      <w:pPr>
        <w:numPr>
          <w:ilvl w:val="0"/>
          <w:numId w:val="1"/>
        </w:numPr>
      </w:pPr>
      <w:r w:rsidRPr="00DA5C81">
        <w:rPr>
          <w:b/>
          <w:bCs/>
        </w:rPr>
        <w:t>Biographical Note:</w:t>
      </w:r>
      <w:r w:rsidRPr="00DA5C81">
        <w:br/>
        <w:t>Dr. Hok Lim is a general practitioner and practice owner based in Melbourne, Victoria. He holds a degree in Pharmacy and a Doctor of Medicine. He has a strong commitment to education and community healthcare. Dr. Lim serves as a lecturer and researcher at the University of Melbourne. His professional interests include medical education, primary care innovation, and improving health outcomes.</w:t>
      </w:r>
    </w:p>
    <w:p w14:paraId="7BA44C6A" w14:textId="77777777" w:rsidR="00F66719" w:rsidRPr="00DA5C81" w:rsidRDefault="00F66719" w:rsidP="00F66719">
      <w:pPr>
        <w:numPr>
          <w:ilvl w:val="0"/>
          <w:numId w:val="1"/>
        </w:numPr>
      </w:pPr>
      <w:r w:rsidRPr="00DA5C81">
        <w:rPr>
          <w:b/>
          <w:bCs/>
        </w:rPr>
        <w:t>ORCiD:</w:t>
      </w:r>
      <w:r w:rsidRPr="00DA5C81">
        <w:t xml:space="preserve"> </w:t>
      </w:r>
      <w:hyperlink r:id="rId5" w:tgtFrame="_new" w:history="1">
        <w:r w:rsidRPr="00DA5C81">
          <w:rPr>
            <w:rStyle w:val="Hyperlink"/>
          </w:rPr>
          <w:t>0000-0003-2851-9915</w:t>
        </w:r>
      </w:hyperlink>
    </w:p>
    <w:p w14:paraId="691468C1" w14:textId="77777777" w:rsidR="00F66719" w:rsidRPr="00DA5C81" w:rsidRDefault="00F66719" w:rsidP="00F66719">
      <w:r>
        <w:rPr>
          <w:noProof/>
        </w:rPr>
        <w:pict w14:anchorId="54970ACB">
          <v:rect id="_x0000_i1025" style="width:0;height:1.5pt" o:hralign="center" o:hrstd="t" o:hr="t" fillcolor="#a0a0a0" stroked="f"/>
        </w:pict>
      </w:r>
    </w:p>
    <w:p w14:paraId="4F03A3D5" w14:textId="77777777" w:rsidR="00F66719" w:rsidRPr="00DA5C81" w:rsidRDefault="00F66719" w:rsidP="00F66719">
      <w:pPr>
        <w:rPr>
          <w:b/>
          <w:bCs/>
        </w:rPr>
      </w:pPr>
      <w:r w:rsidRPr="00DA5C81">
        <w:rPr>
          <w:b/>
          <w:bCs/>
        </w:rPr>
        <w:t>Dr. Daniela Ramirez Duran</w:t>
      </w:r>
    </w:p>
    <w:p w14:paraId="59B0F58C" w14:textId="77777777" w:rsidR="00F66719" w:rsidRPr="00DA5C81" w:rsidRDefault="00F66719" w:rsidP="00F66719">
      <w:pPr>
        <w:numPr>
          <w:ilvl w:val="0"/>
          <w:numId w:val="2"/>
        </w:numPr>
      </w:pPr>
      <w:r w:rsidRPr="00DA5C81">
        <w:rPr>
          <w:b/>
          <w:bCs/>
        </w:rPr>
        <w:t>Email:</w:t>
      </w:r>
      <w:r w:rsidRPr="00DA5C81">
        <w:t xml:space="preserve"> daniela.ramirezduran@unimelb.edu.au</w:t>
      </w:r>
    </w:p>
    <w:p w14:paraId="74C8ED86" w14:textId="77777777" w:rsidR="00F66719" w:rsidRPr="00DA5C81" w:rsidRDefault="00F66719" w:rsidP="00F66719">
      <w:pPr>
        <w:numPr>
          <w:ilvl w:val="0"/>
          <w:numId w:val="2"/>
        </w:numPr>
      </w:pPr>
      <w:r w:rsidRPr="00DA5C81">
        <w:rPr>
          <w:b/>
          <w:bCs/>
        </w:rPr>
        <w:t>Affiliation:</w:t>
      </w:r>
      <w:r w:rsidRPr="00DA5C81">
        <w:t xml:space="preserve"> Research Fellow, Department of General Practice and Primary Care, University of Melbourne</w:t>
      </w:r>
    </w:p>
    <w:p w14:paraId="5B4D1C92" w14:textId="77777777" w:rsidR="00F66719" w:rsidRPr="00DA5C81" w:rsidRDefault="00F66719" w:rsidP="00F66719">
      <w:pPr>
        <w:numPr>
          <w:ilvl w:val="0"/>
          <w:numId w:val="2"/>
        </w:numPr>
      </w:pPr>
      <w:r w:rsidRPr="00DA5C81">
        <w:rPr>
          <w:b/>
          <w:bCs/>
        </w:rPr>
        <w:t>Biographical Note:</w:t>
      </w:r>
      <w:r w:rsidRPr="00DA5C81">
        <w:br/>
        <w:t>Dr. Daniela Ramirez Duran is a Research Fellow at the Department of General Practice and Primary Care, where she works on the implementation of a mental health model of care in general practices. She holds a Master of Applied Positive Psychology and completed her PhD at the Centre for Wellbeing Science in the Faculty of Education, University of Melbourne. She is a psychologist with over 15 years of expertise in mental health and wellbeing in educational and clinical contexts. Daniela has worked on research projects focusing on health professions educators and wellbeing. Additionally, she has teaching experience in wellbeing-related subjects at the undergraduate and postgraduate levels at the Faculty of Education.</w:t>
      </w:r>
    </w:p>
    <w:p w14:paraId="384E06A6" w14:textId="77777777" w:rsidR="00F66719" w:rsidRPr="00DA5C81" w:rsidRDefault="00F66719" w:rsidP="00F66719">
      <w:pPr>
        <w:numPr>
          <w:ilvl w:val="0"/>
          <w:numId w:val="2"/>
        </w:numPr>
      </w:pPr>
      <w:r w:rsidRPr="00DA5C81">
        <w:rPr>
          <w:b/>
          <w:bCs/>
        </w:rPr>
        <w:t>ORCiD:</w:t>
      </w:r>
      <w:r w:rsidRPr="00DA5C81">
        <w:t xml:space="preserve"> </w:t>
      </w:r>
      <w:hyperlink r:id="rId6" w:tgtFrame="_new" w:history="1">
        <w:r w:rsidRPr="00DA5C81">
          <w:rPr>
            <w:rStyle w:val="Hyperlink"/>
          </w:rPr>
          <w:t>0000-0002-9967-7550</w:t>
        </w:r>
      </w:hyperlink>
    </w:p>
    <w:p w14:paraId="2461E094" w14:textId="77777777" w:rsidR="00F66719" w:rsidRDefault="00F66719" w:rsidP="00F66719">
      <w:pPr>
        <w:numPr>
          <w:ilvl w:val="0"/>
          <w:numId w:val="2"/>
        </w:numPr>
      </w:pPr>
      <w:r w:rsidRPr="00DA5C81">
        <w:rPr>
          <w:b/>
          <w:bCs/>
        </w:rPr>
        <w:t>LinkedIn:</w:t>
      </w:r>
      <w:r w:rsidRPr="00DA5C81">
        <w:t xml:space="preserve"> </w:t>
      </w:r>
      <w:hyperlink r:id="rId7" w:tgtFrame="_new" w:history="1">
        <w:r w:rsidRPr="00DA5C81">
          <w:rPr>
            <w:rStyle w:val="Hyperlink"/>
          </w:rPr>
          <w:t>linkedin.com/in/daniela-ramirez-duran</w:t>
        </w:r>
      </w:hyperlink>
    </w:p>
    <w:p w14:paraId="59F1522D" w14:textId="77777777" w:rsidR="00F66719" w:rsidRDefault="00F66719" w:rsidP="00F66719">
      <w:r>
        <w:rPr>
          <w:noProof/>
        </w:rPr>
        <w:pict w14:anchorId="4185E82F">
          <v:rect id="_x0000_i1026" style="width:0;height:1.5pt" o:hralign="center" o:hrstd="t" o:hr="t" fillcolor="#a0a0a0" stroked="f"/>
        </w:pict>
      </w:r>
    </w:p>
    <w:p w14:paraId="19EA5BF8" w14:textId="77777777" w:rsidR="00F66719" w:rsidRPr="00DA5C81" w:rsidRDefault="00F66719" w:rsidP="00F66719">
      <w:pPr>
        <w:rPr>
          <w:b/>
          <w:bCs/>
        </w:rPr>
      </w:pPr>
      <w:r w:rsidRPr="00DA5C81">
        <w:rPr>
          <w:b/>
          <w:bCs/>
        </w:rPr>
        <w:t>Dr. Anneliese Willems</w:t>
      </w:r>
    </w:p>
    <w:p w14:paraId="4ED707D8" w14:textId="77777777" w:rsidR="00F66719" w:rsidRPr="00DA5C81" w:rsidRDefault="00F66719" w:rsidP="00F66719">
      <w:pPr>
        <w:numPr>
          <w:ilvl w:val="0"/>
          <w:numId w:val="5"/>
        </w:numPr>
      </w:pPr>
      <w:r w:rsidRPr="00DA5C81">
        <w:rPr>
          <w:b/>
          <w:bCs/>
        </w:rPr>
        <w:t>Email:</w:t>
      </w:r>
      <w:r w:rsidRPr="00DA5C81">
        <w:t xml:space="preserve"> anneliese.willems@unimelb.edu.au</w:t>
      </w:r>
    </w:p>
    <w:p w14:paraId="2A54BFA3" w14:textId="77777777" w:rsidR="00F66719" w:rsidRPr="00DA5C81" w:rsidRDefault="00F66719" w:rsidP="00F66719">
      <w:pPr>
        <w:numPr>
          <w:ilvl w:val="0"/>
          <w:numId w:val="5"/>
        </w:numPr>
      </w:pPr>
      <w:r w:rsidRPr="00DA5C81">
        <w:rPr>
          <w:b/>
          <w:bCs/>
        </w:rPr>
        <w:lastRenderedPageBreak/>
        <w:t>Affiliation:</w:t>
      </w:r>
      <w:r w:rsidRPr="00DA5C81">
        <w:t xml:space="preserve"> General Practitioner and Clinical Educator, University of Melbourne</w:t>
      </w:r>
    </w:p>
    <w:p w14:paraId="1048A5B6" w14:textId="77777777" w:rsidR="00F66719" w:rsidRPr="00DA5C81" w:rsidRDefault="00F66719" w:rsidP="00F66719">
      <w:pPr>
        <w:numPr>
          <w:ilvl w:val="0"/>
          <w:numId w:val="5"/>
        </w:numPr>
      </w:pPr>
      <w:r w:rsidRPr="00DA5C81">
        <w:rPr>
          <w:b/>
          <w:bCs/>
        </w:rPr>
        <w:t>Biographical Note:</w:t>
      </w:r>
      <w:r w:rsidRPr="00DA5C81">
        <w:br/>
        <w:t>Dr. Anneliese Willems is a General Practitioner and clinical educator with extensive experience in medical education research and teaching. She holds a Graduate Diploma in Clinical Education and is currently completing a Master’s in Clinical Education. Anneliese has published over 30 peer-reviewed research articles, presented at national conferences, and contributed to curriculum development in medical education. In addition to her research, she is actively involved in teaching medical students.</w:t>
      </w:r>
    </w:p>
    <w:p w14:paraId="4E09F442" w14:textId="77777777" w:rsidR="00F66719" w:rsidRPr="00DA5C81" w:rsidRDefault="00F66719" w:rsidP="00F66719">
      <w:pPr>
        <w:numPr>
          <w:ilvl w:val="0"/>
          <w:numId w:val="5"/>
        </w:numPr>
      </w:pPr>
      <w:r w:rsidRPr="00DA5C81">
        <w:rPr>
          <w:b/>
          <w:bCs/>
        </w:rPr>
        <w:t>ORCiD:</w:t>
      </w:r>
      <w:r w:rsidRPr="00DA5C81">
        <w:t xml:space="preserve"> 0000-0002-3546-648X</w:t>
      </w:r>
    </w:p>
    <w:p w14:paraId="6EEC6A34" w14:textId="77777777" w:rsidR="00F66719" w:rsidRPr="00DA5C81" w:rsidRDefault="00F66719" w:rsidP="00F66719"/>
    <w:p w14:paraId="7EB3521C" w14:textId="77777777" w:rsidR="00F66719" w:rsidRPr="00DA5C81" w:rsidRDefault="00F66719" w:rsidP="00F66719">
      <w:r>
        <w:rPr>
          <w:noProof/>
        </w:rPr>
        <w:pict w14:anchorId="49293621">
          <v:rect id="_x0000_i1027" style="width:0;height:1.5pt" o:hralign="center" o:hrstd="t" o:hr="t" fillcolor="#a0a0a0" stroked="f"/>
        </w:pict>
      </w:r>
    </w:p>
    <w:p w14:paraId="4061FAE0" w14:textId="77777777" w:rsidR="00F66719" w:rsidRPr="00DA5C81" w:rsidRDefault="00F66719" w:rsidP="00F66719">
      <w:pPr>
        <w:rPr>
          <w:b/>
          <w:bCs/>
        </w:rPr>
      </w:pPr>
      <w:r w:rsidRPr="00DA5C81">
        <w:rPr>
          <w:b/>
          <w:bCs/>
        </w:rPr>
        <w:t>Dr. Rebecca Starkie</w:t>
      </w:r>
    </w:p>
    <w:p w14:paraId="09E24336" w14:textId="77777777" w:rsidR="00F66719" w:rsidRPr="00DA5C81" w:rsidRDefault="00F66719" w:rsidP="00F66719">
      <w:pPr>
        <w:numPr>
          <w:ilvl w:val="0"/>
          <w:numId w:val="3"/>
        </w:numPr>
      </w:pPr>
      <w:r w:rsidRPr="00DA5C81">
        <w:rPr>
          <w:b/>
          <w:bCs/>
        </w:rPr>
        <w:t>Email:</w:t>
      </w:r>
      <w:r w:rsidRPr="00DA5C81">
        <w:t xml:space="preserve"> rebecca.starkie@unimelb.edu.au</w:t>
      </w:r>
    </w:p>
    <w:p w14:paraId="48392E4E" w14:textId="77777777" w:rsidR="00F66719" w:rsidRPr="00DA5C81" w:rsidRDefault="00F66719" w:rsidP="00F66719">
      <w:pPr>
        <w:numPr>
          <w:ilvl w:val="0"/>
          <w:numId w:val="3"/>
        </w:numPr>
      </w:pPr>
      <w:r w:rsidRPr="00DA5C81">
        <w:rPr>
          <w:b/>
          <w:bCs/>
        </w:rPr>
        <w:t>Affiliation:</w:t>
      </w:r>
      <w:r w:rsidRPr="00DA5C81">
        <w:t xml:space="preserve"> Senior Lecturer, Department of General Practice, University of Melbourne</w:t>
      </w:r>
    </w:p>
    <w:p w14:paraId="54B24F4F" w14:textId="77777777" w:rsidR="00F66719" w:rsidRPr="00DA5C81" w:rsidRDefault="00F66719" w:rsidP="00F66719">
      <w:pPr>
        <w:numPr>
          <w:ilvl w:val="0"/>
          <w:numId w:val="3"/>
        </w:numPr>
      </w:pPr>
      <w:r w:rsidRPr="00DA5C81">
        <w:rPr>
          <w:b/>
          <w:bCs/>
        </w:rPr>
        <w:t>Biographical Note:</w:t>
      </w:r>
      <w:r w:rsidRPr="00DA5C81">
        <w:br/>
        <w:t>Dr. Rebecca Starkie is a Senior Lecturer in the Department of General Practice at the University of Melbourne. As the Academic Coordinator, she provides academic oversight of the General Practice curriculum across all four years of the MD. Dr. Starkie develops curriculum, implements and delivers teaching activities, and oversees the department’s assessment processes. She also contributes to the preparation of teaching staff and GP supervisors, student teaching, and curriculum revisions. Dr. Starkie is a practicing General Practitioner, a supervisor of medical students and GP registrars, a practice principal, and has completed a PhD.</w:t>
      </w:r>
      <w:r>
        <w:t xml:space="preserve"> </w:t>
      </w:r>
      <w:r w:rsidRPr="00BD3EA2">
        <w:t>Her academic profile is available here: https://fi ndanexpert.unimelb.edu.au/profile/587</w:t>
      </w:r>
    </w:p>
    <w:p w14:paraId="579975E5" w14:textId="77777777" w:rsidR="00F66719" w:rsidRPr="00DA5C81" w:rsidRDefault="00F66719" w:rsidP="00F66719">
      <w:pPr>
        <w:numPr>
          <w:ilvl w:val="0"/>
          <w:numId w:val="3"/>
        </w:numPr>
      </w:pPr>
      <w:r w:rsidRPr="00DA5C81">
        <w:rPr>
          <w:b/>
          <w:bCs/>
        </w:rPr>
        <w:t>ORCiD:</w:t>
      </w:r>
      <w:r w:rsidRPr="00DA5C81">
        <w:t xml:space="preserve"> 0000-0003-1700-2777</w:t>
      </w:r>
    </w:p>
    <w:p w14:paraId="354CB71F" w14:textId="77777777" w:rsidR="00F66719" w:rsidRPr="00DA5C81" w:rsidRDefault="00F66719" w:rsidP="00F66719">
      <w:r>
        <w:rPr>
          <w:noProof/>
        </w:rPr>
        <w:pict w14:anchorId="4D0E6EC6">
          <v:rect id="_x0000_i1028" style="width:0;height:1.5pt" o:hralign="center" o:hrstd="t" o:hr="t" fillcolor="#a0a0a0" stroked="f"/>
        </w:pict>
      </w:r>
    </w:p>
    <w:p w14:paraId="5B19ED70" w14:textId="77777777" w:rsidR="00F66719" w:rsidRPr="00DA5C81" w:rsidRDefault="00F66719" w:rsidP="00F66719">
      <w:pPr>
        <w:rPr>
          <w:b/>
          <w:bCs/>
        </w:rPr>
      </w:pPr>
      <w:r w:rsidRPr="00DA5C81">
        <w:rPr>
          <w:b/>
          <w:bCs/>
        </w:rPr>
        <w:t>Associate Professor Caroline Johnson</w:t>
      </w:r>
    </w:p>
    <w:p w14:paraId="0CB6BEFA" w14:textId="77777777" w:rsidR="00F66719" w:rsidRPr="00DA5C81" w:rsidRDefault="00F66719" w:rsidP="00F66719">
      <w:pPr>
        <w:numPr>
          <w:ilvl w:val="0"/>
          <w:numId w:val="4"/>
        </w:numPr>
      </w:pPr>
      <w:r w:rsidRPr="00DA5C81">
        <w:rPr>
          <w:b/>
          <w:bCs/>
        </w:rPr>
        <w:t>Email:</w:t>
      </w:r>
      <w:r w:rsidRPr="00DA5C81">
        <w:t xml:space="preserve"> c.johnson@unimelb.edu.au</w:t>
      </w:r>
    </w:p>
    <w:p w14:paraId="59C935C4" w14:textId="77777777" w:rsidR="00F66719" w:rsidRPr="00DA5C81" w:rsidRDefault="00F66719" w:rsidP="00F66719">
      <w:pPr>
        <w:numPr>
          <w:ilvl w:val="0"/>
          <w:numId w:val="4"/>
        </w:numPr>
      </w:pPr>
      <w:r w:rsidRPr="00DA5C81">
        <w:rPr>
          <w:b/>
          <w:bCs/>
        </w:rPr>
        <w:t>Affiliation:</w:t>
      </w:r>
      <w:r w:rsidRPr="00DA5C81">
        <w:t xml:space="preserve"> Associate Professor, Department of General Practice and Primary Care, University of Melbourne</w:t>
      </w:r>
    </w:p>
    <w:p w14:paraId="17207BD8" w14:textId="77777777" w:rsidR="00F66719" w:rsidRPr="00DA5C81" w:rsidRDefault="00F66719" w:rsidP="00F66719">
      <w:pPr>
        <w:numPr>
          <w:ilvl w:val="0"/>
          <w:numId w:val="4"/>
        </w:numPr>
      </w:pPr>
      <w:r w:rsidRPr="00DA5C81">
        <w:rPr>
          <w:b/>
          <w:bCs/>
        </w:rPr>
        <w:lastRenderedPageBreak/>
        <w:t>Biographical Note:</w:t>
      </w:r>
      <w:r w:rsidRPr="00DA5C81">
        <w:br/>
        <w:t>Associate Professor Caroline Johnson is a General Practitioner with over 25 years of experience as a clinician and medical educator. She is an Associate Professor in the Department of General Practice and Primary Care at the University of Melbourne, where she serves as the Director of Teaching and Learning. She is a member of the Primary Care Mental Health research team and an Associate Investigator with the Alive National Centre for Mental Health Research Translation. Caroline is also co-director of Clinician-Educator Pathways for the Melbourne Medical School and actively contributes to mental health advocacy via the RACGP. She serves as a Board Director at Eastern Melbourne PHN.</w:t>
      </w:r>
    </w:p>
    <w:p w14:paraId="543BC690" w14:textId="77777777" w:rsidR="00F66719" w:rsidRPr="00DA5C81" w:rsidRDefault="00F66719" w:rsidP="00F66719">
      <w:pPr>
        <w:numPr>
          <w:ilvl w:val="0"/>
          <w:numId w:val="4"/>
        </w:numPr>
      </w:pPr>
      <w:r w:rsidRPr="00DA5C81">
        <w:rPr>
          <w:b/>
          <w:bCs/>
        </w:rPr>
        <w:t>ORCiD:</w:t>
      </w:r>
      <w:r w:rsidRPr="00DA5C81">
        <w:t xml:space="preserve"> </w:t>
      </w:r>
      <w:hyperlink r:id="rId8" w:tgtFrame="_new" w:history="1">
        <w:r w:rsidRPr="00DA5C81">
          <w:rPr>
            <w:rStyle w:val="Hyperlink"/>
          </w:rPr>
          <w:t>0000-0002-4755-7514</w:t>
        </w:r>
      </w:hyperlink>
    </w:p>
    <w:p w14:paraId="143D6BE4" w14:textId="77777777" w:rsidR="00F66719" w:rsidRPr="00DA5C81" w:rsidRDefault="00F66719" w:rsidP="00F66719">
      <w:pPr>
        <w:numPr>
          <w:ilvl w:val="0"/>
          <w:numId w:val="4"/>
        </w:numPr>
      </w:pPr>
      <w:r w:rsidRPr="00DA5C81">
        <w:rPr>
          <w:b/>
          <w:bCs/>
        </w:rPr>
        <w:t>LinkedIn:</w:t>
      </w:r>
      <w:r w:rsidRPr="00DA5C81">
        <w:t xml:space="preserve"> </w:t>
      </w:r>
      <w:hyperlink r:id="rId9" w:tgtFrame="_new" w:history="1">
        <w:r w:rsidRPr="00DA5C81">
          <w:rPr>
            <w:rStyle w:val="Hyperlink"/>
          </w:rPr>
          <w:t>linkedin.com/in/caroline-johnson-5a662830</w:t>
        </w:r>
      </w:hyperlink>
    </w:p>
    <w:p w14:paraId="1360BAAF" w14:textId="77777777" w:rsidR="00F66719" w:rsidRPr="00DA5C81" w:rsidRDefault="00F66719" w:rsidP="00F66719">
      <w:r>
        <w:rPr>
          <w:noProof/>
        </w:rPr>
        <w:pict w14:anchorId="3DBC7327">
          <v:rect id="_x0000_i1029" style="width:0;height:1.5pt" o:hralign="center" o:hrstd="t" o:hr="t" fillcolor="#a0a0a0" stroked="f"/>
        </w:pict>
      </w:r>
    </w:p>
    <w:p w14:paraId="00E68F8A" w14:textId="77777777" w:rsidR="00F66719" w:rsidRDefault="00F66719" w:rsidP="00F66719"/>
    <w:p w14:paraId="281D4AF2" w14:textId="77777777" w:rsidR="00F66719" w:rsidRDefault="00F66719" w:rsidP="00F66719">
      <w:pPr>
        <w:rPr>
          <w:b/>
          <w:bCs/>
        </w:rPr>
      </w:pPr>
    </w:p>
    <w:p w14:paraId="719DE924" w14:textId="77777777" w:rsidR="00DE6AE2" w:rsidRDefault="00DE6AE2"/>
    <w:sectPr w:rsidR="00DE6AE2" w:rsidSect="00F66719">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222728"/>
      <w:docPartObj>
        <w:docPartGallery w:val="Page Numbers (Bottom of Page)"/>
        <w:docPartUnique/>
      </w:docPartObj>
    </w:sdtPr>
    <w:sdtEndPr>
      <w:rPr>
        <w:noProof/>
      </w:rPr>
    </w:sdtEndPr>
    <w:sdtContent>
      <w:p w14:paraId="49055214" w14:textId="77777777" w:rsidR="00F66719" w:rsidRDefault="00F66719">
        <w:pPr>
          <w:pStyle w:val="Footer"/>
        </w:pPr>
        <w:r>
          <w:fldChar w:fldCharType="begin"/>
        </w:r>
        <w:r>
          <w:instrText xml:space="preserve"> PAGE   \* MERGEFORMAT </w:instrText>
        </w:r>
        <w:r>
          <w:fldChar w:fldCharType="separate"/>
        </w:r>
        <w:r>
          <w:rPr>
            <w:noProof/>
          </w:rPr>
          <w:t>2</w:t>
        </w:r>
        <w:r>
          <w:rPr>
            <w:noProof/>
          </w:rPr>
          <w:fldChar w:fldCharType="end"/>
        </w:r>
      </w:p>
    </w:sdtContent>
  </w:sdt>
  <w:p w14:paraId="6C2A9850" w14:textId="77777777" w:rsidR="00F66719" w:rsidRDefault="00F6671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D6F8" w14:textId="77777777" w:rsidR="00F66719" w:rsidRDefault="00F66719">
    <w:pPr>
      <w:pStyle w:val="Header"/>
    </w:pPr>
    <w:r>
      <w:rPr>
        <w:noProof/>
      </w:rPr>
      <w:pict w14:anchorId="06D0E7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844"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39A8" w14:textId="77777777" w:rsidR="00F66719" w:rsidRDefault="00F66719">
    <w:pPr>
      <w:pStyle w:val="Header"/>
    </w:pPr>
    <w:r>
      <w:rPr>
        <w:noProof/>
      </w:rPr>
      <w:pict w14:anchorId="76FD1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845" o:spid="_x0000_s1026"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BMC Medical Education submission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25AC" w14:textId="77777777" w:rsidR="00F66719" w:rsidRDefault="00F66719">
    <w:pPr>
      <w:pStyle w:val="Header"/>
    </w:pPr>
    <w:r>
      <w:rPr>
        <w:noProof/>
      </w:rPr>
      <w:pict w14:anchorId="6E42FB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843" o:spid="_x0000_s1027"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E1F34"/>
    <w:multiLevelType w:val="multilevel"/>
    <w:tmpl w:val="9542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11034"/>
    <w:multiLevelType w:val="multilevel"/>
    <w:tmpl w:val="8D60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D6C73"/>
    <w:multiLevelType w:val="multilevel"/>
    <w:tmpl w:val="990E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F0B23"/>
    <w:multiLevelType w:val="multilevel"/>
    <w:tmpl w:val="CDE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744BB"/>
    <w:multiLevelType w:val="multilevel"/>
    <w:tmpl w:val="DB8E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727677">
    <w:abstractNumId w:val="0"/>
  </w:num>
  <w:num w:numId="2" w16cid:durableId="885525019">
    <w:abstractNumId w:val="2"/>
  </w:num>
  <w:num w:numId="3" w16cid:durableId="1701589880">
    <w:abstractNumId w:val="4"/>
  </w:num>
  <w:num w:numId="4" w16cid:durableId="534316924">
    <w:abstractNumId w:val="1"/>
  </w:num>
  <w:num w:numId="5" w16cid:durableId="1327050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19"/>
    <w:rsid w:val="001542E9"/>
    <w:rsid w:val="00195413"/>
    <w:rsid w:val="003D0186"/>
    <w:rsid w:val="007278E4"/>
    <w:rsid w:val="00A3738C"/>
    <w:rsid w:val="00BC6C35"/>
    <w:rsid w:val="00CB270D"/>
    <w:rsid w:val="00CF7583"/>
    <w:rsid w:val="00DE6AE2"/>
    <w:rsid w:val="00F6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F022F"/>
  <w15:chartTrackingRefBased/>
  <w15:docId w15:val="{156561CE-CCC5-450C-B99C-8AB9F1DD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719"/>
    <w:rPr>
      <w:lang w:val="en-AU"/>
    </w:rPr>
  </w:style>
  <w:style w:type="paragraph" w:styleId="Heading1">
    <w:name w:val="heading 1"/>
    <w:basedOn w:val="Normal"/>
    <w:next w:val="Normal"/>
    <w:link w:val="Heading1Char"/>
    <w:uiPriority w:val="9"/>
    <w:qFormat/>
    <w:rsid w:val="00F66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6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6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719"/>
    <w:rPr>
      <w:rFonts w:eastAsiaTheme="majorEastAsia" w:cstheme="majorBidi"/>
      <w:color w:val="272727" w:themeColor="text1" w:themeTint="D8"/>
    </w:rPr>
  </w:style>
  <w:style w:type="paragraph" w:styleId="Title">
    <w:name w:val="Title"/>
    <w:basedOn w:val="Normal"/>
    <w:next w:val="Normal"/>
    <w:link w:val="TitleChar"/>
    <w:uiPriority w:val="10"/>
    <w:qFormat/>
    <w:rsid w:val="00F66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719"/>
    <w:pPr>
      <w:spacing w:before="160"/>
      <w:jc w:val="center"/>
    </w:pPr>
    <w:rPr>
      <w:i/>
      <w:iCs/>
      <w:color w:val="404040" w:themeColor="text1" w:themeTint="BF"/>
    </w:rPr>
  </w:style>
  <w:style w:type="character" w:customStyle="1" w:styleId="QuoteChar">
    <w:name w:val="Quote Char"/>
    <w:basedOn w:val="DefaultParagraphFont"/>
    <w:link w:val="Quote"/>
    <w:uiPriority w:val="29"/>
    <w:rsid w:val="00F66719"/>
    <w:rPr>
      <w:i/>
      <w:iCs/>
      <w:color w:val="404040" w:themeColor="text1" w:themeTint="BF"/>
    </w:rPr>
  </w:style>
  <w:style w:type="paragraph" w:styleId="ListParagraph">
    <w:name w:val="List Paragraph"/>
    <w:basedOn w:val="Normal"/>
    <w:uiPriority w:val="34"/>
    <w:qFormat/>
    <w:rsid w:val="00F66719"/>
    <w:pPr>
      <w:ind w:left="720"/>
      <w:contextualSpacing/>
    </w:pPr>
  </w:style>
  <w:style w:type="character" w:styleId="IntenseEmphasis">
    <w:name w:val="Intense Emphasis"/>
    <w:basedOn w:val="DefaultParagraphFont"/>
    <w:uiPriority w:val="21"/>
    <w:qFormat/>
    <w:rsid w:val="00F66719"/>
    <w:rPr>
      <w:i/>
      <w:iCs/>
      <w:color w:val="0F4761" w:themeColor="accent1" w:themeShade="BF"/>
    </w:rPr>
  </w:style>
  <w:style w:type="paragraph" w:styleId="IntenseQuote">
    <w:name w:val="Intense Quote"/>
    <w:basedOn w:val="Normal"/>
    <w:next w:val="Normal"/>
    <w:link w:val="IntenseQuoteChar"/>
    <w:uiPriority w:val="30"/>
    <w:qFormat/>
    <w:rsid w:val="00F66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719"/>
    <w:rPr>
      <w:i/>
      <w:iCs/>
      <w:color w:val="0F4761" w:themeColor="accent1" w:themeShade="BF"/>
    </w:rPr>
  </w:style>
  <w:style w:type="character" w:styleId="IntenseReference">
    <w:name w:val="Intense Reference"/>
    <w:basedOn w:val="DefaultParagraphFont"/>
    <w:uiPriority w:val="32"/>
    <w:qFormat/>
    <w:rsid w:val="00F66719"/>
    <w:rPr>
      <w:b/>
      <w:bCs/>
      <w:smallCaps/>
      <w:color w:val="0F4761" w:themeColor="accent1" w:themeShade="BF"/>
      <w:spacing w:val="5"/>
    </w:rPr>
  </w:style>
  <w:style w:type="paragraph" w:styleId="Header">
    <w:name w:val="header"/>
    <w:basedOn w:val="Normal"/>
    <w:link w:val="HeaderChar"/>
    <w:uiPriority w:val="99"/>
    <w:unhideWhenUsed/>
    <w:rsid w:val="00F66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719"/>
    <w:rPr>
      <w:lang w:val="en-AU"/>
    </w:rPr>
  </w:style>
  <w:style w:type="paragraph" w:styleId="Footer">
    <w:name w:val="footer"/>
    <w:basedOn w:val="Normal"/>
    <w:link w:val="FooterChar"/>
    <w:uiPriority w:val="99"/>
    <w:unhideWhenUsed/>
    <w:rsid w:val="00F66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719"/>
    <w:rPr>
      <w:lang w:val="en-AU"/>
    </w:rPr>
  </w:style>
  <w:style w:type="character" w:styleId="Hyperlink">
    <w:name w:val="Hyperlink"/>
    <w:basedOn w:val="DefaultParagraphFont"/>
    <w:uiPriority w:val="99"/>
    <w:unhideWhenUsed/>
    <w:rsid w:val="00F667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755-75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inkedin.com/in/daniela-ramirez-dura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9967-7550" TargetMode="External"/><Relationship Id="rId11" Type="http://schemas.openxmlformats.org/officeDocument/2006/relationships/header" Target="header2.xml"/><Relationship Id="rId5" Type="http://schemas.openxmlformats.org/officeDocument/2006/relationships/hyperlink" Target="https://orcid.org/0000-0003-2851-9915" TargetMode="Externa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kedin.com/in/caroline-johnson-5a6628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834</Words>
  <Characters>4840</Characters>
  <Application>Microsoft Office Word</Application>
  <DocSecurity>0</DocSecurity>
  <Lines>151</Lines>
  <Paragraphs>93</Paragraphs>
  <ScaleCrop>false</ScaleCrop>
  <Company>Springer Nature</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2025-11-06T10:55:00Z</dcterms:created>
  <dcterms:modified xsi:type="dcterms:W3CDTF">2025-11-06T10:55:00Z</dcterms:modified>
</cp:coreProperties>
</file>