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442FFC" w14:textId="10AC1699" w:rsidR="00DC1BDB" w:rsidRDefault="006A1E8D">
      <w:pPr>
        <w:rPr>
          <w:b/>
          <w:bCs/>
        </w:rPr>
      </w:pPr>
      <w:r w:rsidRPr="006A1E8D">
        <w:rPr>
          <w:b/>
          <w:bCs/>
        </w:rPr>
        <w:t>Appendix 2</w:t>
      </w:r>
      <w:r w:rsidR="00CC30F4">
        <w:rPr>
          <w:b/>
          <w:bCs/>
        </w:rPr>
        <w:t>:</w:t>
      </w:r>
      <w:r w:rsidR="001503F4">
        <w:rPr>
          <w:b/>
          <w:bCs/>
        </w:rPr>
        <w:t xml:space="preserve"> </w:t>
      </w:r>
      <w:r w:rsidR="001503F4" w:rsidRPr="00913F31">
        <w:rPr>
          <w:rFonts w:ascii="Arial" w:hAnsi="Arial" w:cs="Arial"/>
          <w:b/>
          <w:bCs/>
          <w:sz w:val="22"/>
          <w:szCs w:val="22"/>
        </w:rPr>
        <w:t xml:space="preserve">Effects of </w:t>
      </w:r>
      <w:r w:rsidR="00C92D54">
        <w:rPr>
          <w:rFonts w:ascii="Arial" w:hAnsi="Arial" w:cs="Arial"/>
          <w:b/>
          <w:bCs/>
          <w:sz w:val="22"/>
          <w:szCs w:val="22"/>
        </w:rPr>
        <w:t>M</w:t>
      </w:r>
      <w:r w:rsidR="001503F4" w:rsidRPr="00913F31">
        <w:rPr>
          <w:rFonts w:ascii="Arial" w:hAnsi="Arial" w:cs="Arial"/>
          <w:b/>
          <w:bCs/>
          <w:sz w:val="22"/>
          <w:szCs w:val="22"/>
        </w:rPr>
        <w:t xml:space="preserve">oxonidine on POTS </w:t>
      </w:r>
      <w:r w:rsidR="00C92D54">
        <w:rPr>
          <w:rFonts w:ascii="Arial" w:hAnsi="Arial" w:cs="Arial"/>
          <w:b/>
          <w:bCs/>
          <w:sz w:val="22"/>
          <w:szCs w:val="22"/>
        </w:rPr>
        <w:t>D</w:t>
      </w:r>
      <w:r w:rsidR="001503F4" w:rsidRPr="00913F31">
        <w:rPr>
          <w:rFonts w:ascii="Arial" w:hAnsi="Arial" w:cs="Arial"/>
          <w:b/>
          <w:bCs/>
          <w:sz w:val="22"/>
          <w:szCs w:val="22"/>
        </w:rPr>
        <w:t xml:space="preserve">uring Valsalva </w:t>
      </w:r>
      <w:r w:rsidR="00C92D54">
        <w:rPr>
          <w:rFonts w:ascii="Arial" w:hAnsi="Arial" w:cs="Arial"/>
          <w:b/>
          <w:bCs/>
          <w:sz w:val="22"/>
          <w:szCs w:val="22"/>
        </w:rPr>
        <w:t>M</w:t>
      </w:r>
      <w:r w:rsidR="001503F4" w:rsidRPr="00913F31">
        <w:rPr>
          <w:rFonts w:ascii="Arial" w:hAnsi="Arial" w:cs="Arial"/>
          <w:b/>
          <w:bCs/>
          <w:sz w:val="22"/>
          <w:szCs w:val="22"/>
        </w:rPr>
        <w:t>aneuver</w:t>
      </w:r>
    </w:p>
    <w:p w14:paraId="04D805F0" w14:textId="3C757368" w:rsidR="00907585" w:rsidRDefault="00907585" w:rsidP="00907585">
      <w:pPr>
        <w:rPr>
          <w:rFonts w:ascii="Arial" w:hAnsi="Arial" w:cs="Arial"/>
          <w:sz w:val="22"/>
          <w:szCs w:val="22"/>
        </w:rPr>
      </w:pPr>
      <w:r>
        <w:tab/>
        <w:t xml:space="preserve">This appendix explains an additional study of the </w:t>
      </w:r>
      <w:r w:rsidRPr="00907585">
        <w:t>randomized treatment trial</w:t>
      </w:r>
      <w:r>
        <w:t xml:space="preserve"> by moxonidine in postural tachycardia syndrome (POTS) patients. </w:t>
      </w:r>
      <w:r>
        <w:rPr>
          <w:rFonts w:ascii="Arial" w:hAnsi="Arial" w:cs="Arial"/>
          <w:sz w:val="22"/>
          <w:szCs w:val="22"/>
        </w:rPr>
        <w:t xml:space="preserve">Moxonidine is </w:t>
      </w:r>
      <w:r w:rsidRPr="00913F31">
        <w:rPr>
          <w:rFonts w:ascii="Arial" w:hAnsi="Arial" w:cs="Arial"/>
          <w:sz w:val="22"/>
          <w:szCs w:val="22"/>
        </w:rPr>
        <w:t xml:space="preserve">a specific imidazoline I1 receptor and α2 adrenergic receptor agonist </w:t>
      </w:r>
      <w:r>
        <w:rPr>
          <w:rFonts w:ascii="Arial" w:hAnsi="Arial" w:cs="Arial"/>
          <w:sz w:val="22"/>
          <w:szCs w:val="22"/>
        </w:rPr>
        <w:t xml:space="preserve">that </w:t>
      </w:r>
      <w:r w:rsidRPr="00913F31">
        <w:rPr>
          <w:rFonts w:ascii="Arial" w:hAnsi="Arial" w:cs="Arial"/>
          <w:sz w:val="22"/>
          <w:szCs w:val="22"/>
        </w:rPr>
        <w:t>inhibit</w:t>
      </w:r>
      <w:r>
        <w:rPr>
          <w:rFonts w:ascii="Arial" w:hAnsi="Arial" w:cs="Arial"/>
          <w:sz w:val="22"/>
          <w:szCs w:val="22"/>
        </w:rPr>
        <w:t>s</w:t>
      </w:r>
      <w:r w:rsidRPr="00913F31">
        <w:rPr>
          <w:rFonts w:ascii="Arial" w:hAnsi="Arial" w:cs="Arial"/>
          <w:sz w:val="22"/>
          <w:szCs w:val="22"/>
        </w:rPr>
        <w:t xml:space="preserve"> sympathetic outflow from </w:t>
      </w:r>
      <w:r>
        <w:rPr>
          <w:rFonts w:ascii="Arial" w:hAnsi="Arial" w:cs="Arial"/>
          <w:sz w:val="22"/>
          <w:szCs w:val="22"/>
        </w:rPr>
        <w:t xml:space="preserve">the </w:t>
      </w:r>
      <w:r w:rsidRPr="00913F31">
        <w:rPr>
          <w:rFonts w:ascii="Arial" w:hAnsi="Arial" w:cs="Arial"/>
          <w:sz w:val="22"/>
          <w:szCs w:val="22"/>
        </w:rPr>
        <w:t>rostral ventrolateral medulla (RVLM)</w:t>
      </w:r>
      <w:r w:rsidRPr="00913F31">
        <w:rPr>
          <w:rFonts w:ascii="Arial" w:hAnsi="Arial" w:cs="Arial"/>
          <w:sz w:val="22"/>
          <w:szCs w:val="22"/>
        </w:rPr>
        <w:fldChar w:fldCharType="begin"/>
      </w:r>
      <w:r>
        <w:rPr>
          <w:rFonts w:ascii="Arial" w:hAnsi="Arial" w:cs="Arial"/>
          <w:sz w:val="22"/>
          <w:szCs w:val="22"/>
        </w:rPr>
        <w:instrText xml:space="preserve"> ADDIN ZOTERO_ITEM CSL_CITATION {"citationID":"N5SBhHE6","properties":{"formattedCitation":"\\super [1,2]\\nosupersub{}","plainCitation":"[1,2]","noteIndex":0},"citationItems":[{"id":1566,"uris":["http://zotero.org/groups/5150409/items/B99QRQDH"],"itemData":{"id":1566,"type":"article-journal","container-title":"Journal of Human Hypertension","DOI":"10.1038/sj.jhh.1000518","ISSN":"0950-9240, 1476-5527","issue":"10","journalAbbreviation":"J Hum Hypertens","language":"en","license":"https://www.springer.com/tdm","page":"629-635","source":"DOI.org (Crossref)","title":"Moxonidine: a review","title-short":"Moxonidine","volume":"11","author":[{"family":"Morris","given":"Stw"},{"family":"Reid","given":"Jl"}],"issued":{"date-parts":[["1997",10,1]]}}},{"id":1565,"uris":["http://zotero.org/groups/5150409/items/ZAET3KUP"],"itemData":{"id":1565,"type":"article-journal","abstract":"Abstract\n              —Moxonidine is an I\n              1\n              -imidazoline receptor agonist that reduces blood pressure in hypertensives. Experimental data suggest that moxonidine inhibits central sympathetic activity. However, whether such a mechanism is involved in vivo in humans is still unclear. We investigated the effects of 0.4 mg moxonidine orally on muscle sympathetic nerve activity and heart rate in an open study in 8 healthy volunteers. Furthermore, we studied the effects of 0.4 mg moxonidine on muscle sympathetic nerve activity, heart rate, blood pressure, 24-hour blood pressure profile, and hormone plasma levels in 25 untreated hypertensives in a double-blind, placebo-controlled study. Moxonidine decreased muscle sympathetic nerve activity in both healthy volunteers (\n              P\n              &lt;0.05 versus baseline) and hypertensives (\n              P\n              &lt;0.02 versus placebo). Plasma norepinephrine also decreased (\n              P\n              &lt;0.01), whereas plasma epinephrine and renin levels did not change (\n              P\n              =NS). Furthermore, moxonidine decreased systolic (\n              P\n              &lt;0.0001) and diastolic (\n              P\n              &lt;0.001) blood pressure. Heart rate decreased after moxonidine in healthy subjects (\n              P\n              &lt;0.05); in hypertensives, heart rate decreased during the night hours (\n              P\n              &lt;0.05) but not during daytime (\n              P\n              =NS). Plasma levels of LDL, HDL, and total cholesterol were not influenced by the drug (\n              P\n              =NS). Moxonidine decreases systolic and diastolic blood pressure by inhibiting central nervous sympathetic activity. This makes this new drug suitable for the treatment of human hypertension and possibly for other cardiovascular diseases with increased sympathetic nerve activity, ie, ischemic heart disease and heart failure.","container-title":"Hypertension","DOI":"10.1161/01.HYP.32.6.1022","ISSN":"0194-911X, 1524-4563","issue":"6","journalAbbreviation":"Hypertension","language":"en","page":"1022-1027","source":"DOI.org (Crossref)","title":"I&lt;sub&gt;1&lt;/sub&gt; -Imidazoline Agonist Moxonidine Decreases Sympathetic Nerve Activity and Blood Pressure in Hypertensives","volume":"32","author":[{"family":"Wenzel","given":"René Roland"},{"family":"Spieker","given":"Lukas"},{"family":"Qui","given":"Su"},{"family":"Shaw","given":"Sidney"},{"family":"Lüscher","given":"Thomas Felix"},{"family":"Noll","given":"Georg"}],"issued":{"date-parts":[["1998",12]]}}}],"schema":"https://github.com/citation-style-language/schema/raw/master/csl-citation.json"} </w:instrText>
      </w:r>
      <w:r w:rsidRPr="00913F31">
        <w:rPr>
          <w:rFonts w:ascii="Arial" w:hAnsi="Arial" w:cs="Arial"/>
          <w:sz w:val="22"/>
          <w:szCs w:val="22"/>
        </w:rPr>
        <w:fldChar w:fldCharType="separate"/>
      </w:r>
      <w:r w:rsidRPr="00907585">
        <w:rPr>
          <w:rFonts w:ascii="Arial" w:hAnsi="Arial" w:cs="Arial"/>
          <w:kern w:val="0"/>
          <w:sz w:val="22"/>
          <w:szCs w:val="24"/>
          <w:vertAlign w:val="superscript"/>
        </w:rPr>
        <w:t>[1,2]</w:t>
      </w:r>
      <w:r w:rsidRPr="00913F31">
        <w:rPr>
          <w:rFonts w:ascii="Arial" w:hAnsi="Arial" w:cs="Arial"/>
          <w:sz w:val="22"/>
          <w:szCs w:val="22"/>
        </w:rPr>
        <w:fldChar w:fldCharType="end"/>
      </w:r>
      <w:r>
        <w:rPr>
          <w:rFonts w:ascii="Arial" w:hAnsi="Arial" w:cs="Arial"/>
          <w:sz w:val="22"/>
          <w:szCs w:val="22"/>
        </w:rPr>
        <w:t xml:space="preserve">. It </w:t>
      </w:r>
      <w:r w:rsidRPr="00913F31">
        <w:rPr>
          <w:rFonts w:ascii="Arial" w:hAnsi="Arial" w:cs="Arial"/>
          <w:sz w:val="22"/>
          <w:szCs w:val="22"/>
        </w:rPr>
        <w:t>is</w:t>
      </w:r>
      <w:r>
        <w:rPr>
          <w:rFonts w:ascii="Arial" w:hAnsi="Arial" w:cs="Arial"/>
          <w:sz w:val="22"/>
          <w:szCs w:val="22"/>
        </w:rPr>
        <w:t xml:space="preserve"> used as</w:t>
      </w:r>
      <w:r w:rsidRPr="00913F31">
        <w:rPr>
          <w:rFonts w:ascii="Arial" w:hAnsi="Arial" w:cs="Arial"/>
          <w:sz w:val="22"/>
          <w:szCs w:val="22"/>
        </w:rPr>
        <w:t xml:space="preserve"> a centrally acting antihypertensive drug that can reduce blood pressure, plasma norepinephrine, and </w:t>
      </w:r>
      <w:r>
        <w:rPr>
          <w:rFonts w:ascii="Arial" w:hAnsi="Arial" w:cs="Arial"/>
          <w:sz w:val="22"/>
          <w:szCs w:val="22"/>
        </w:rPr>
        <w:t>MSNA</w:t>
      </w:r>
      <w:r w:rsidRPr="00913F31">
        <w:rPr>
          <w:rFonts w:ascii="Arial" w:hAnsi="Arial" w:cs="Arial"/>
          <w:sz w:val="22"/>
          <w:szCs w:val="22"/>
        </w:rPr>
        <w:t>.</w:t>
      </w:r>
      <w:r>
        <w:rPr>
          <w:rFonts w:ascii="Arial" w:hAnsi="Arial" w:cs="Arial"/>
          <w:sz w:val="22"/>
          <w:szCs w:val="22"/>
        </w:rPr>
        <w:t xml:space="preserve"> W</w:t>
      </w:r>
      <w:r w:rsidRPr="00907585">
        <w:rPr>
          <w:rFonts w:ascii="Arial" w:hAnsi="Arial" w:cs="Arial"/>
          <w:sz w:val="22"/>
          <w:szCs w:val="22"/>
        </w:rPr>
        <w:t>e</w:t>
      </w:r>
      <w:r>
        <w:rPr>
          <w:rFonts w:ascii="Arial" w:hAnsi="Arial" w:cs="Arial"/>
          <w:sz w:val="22"/>
          <w:szCs w:val="22"/>
        </w:rPr>
        <w:t xml:space="preserve"> would like to</w:t>
      </w:r>
      <w:r w:rsidRPr="00907585">
        <w:rPr>
          <w:rFonts w:ascii="Arial" w:hAnsi="Arial" w:cs="Arial"/>
          <w:sz w:val="22"/>
          <w:szCs w:val="22"/>
        </w:rPr>
        <w:t xml:space="preserve"> </w:t>
      </w:r>
      <w:r>
        <w:rPr>
          <w:rFonts w:ascii="Arial" w:hAnsi="Arial" w:cs="Arial"/>
          <w:sz w:val="22"/>
          <w:szCs w:val="22"/>
        </w:rPr>
        <w:t>evaluate</w:t>
      </w:r>
      <w:r w:rsidRPr="00907585">
        <w:rPr>
          <w:rFonts w:ascii="Arial" w:hAnsi="Arial" w:cs="Arial"/>
          <w:sz w:val="22"/>
          <w:szCs w:val="22"/>
        </w:rPr>
        <w:t xml:space="preserve"> the effect of central sympatholysis with moxonidine on </w:t>
      </w:r>
      <w:r>
        <w:rPr>
          <w:rFonts w:ascii="Arial" w:hAnsi="Arial" w:cs="Arial"/>
          <w:sz w:val="22"/>
          <w:szCs w:val="22"/>
        </w:rPr>
        <w:t xml:space="preserve">Valsalva sympathetic </w:t>
      </w:r>
      <w:r w:rsidRPr="00907585">
        <w:rPr>
          <w:rFonts w:ascii="Arial" w:hAnsi="Arial" w:cs="Arial"/>
          <w:sz w:val="22"/>
          <w:szCs w:val="22"/>
        </w:rPr>
        <w:t xml:space="preserve">markers </w:t>
      </w:r>
      <w:r>
        <w:rPr>
          <w:rFonts w:ascii="Arial" w:hAnsi="Arial" w:cs="Arial"/>
          <w:sz w:val="22"/>
          <w:szCs w:val="22"/>
        </w:rPr>
        <w:t xml:space="preserve">in POTS patients after </w:t>
      </w:r>
      <w:r w:rsidR="003131DE">
        <w:rPr>
          <w:rFonts w:ascii="Arial" w:hAnsi="Arial" w:cs="Arial"/>
          <w:sz w:val="22"/>
          <w:szCs w:val="22"/>
        </w:rPr>
        <w:t xml:space="preserve">being </w:t>
      </w:r>
      <w:r>
        <w:rPr>
          <w:rFonts w:ascii="Arial" w:hAnsi="Arial" w:cs="Arial"/>
          <w:sz w:val="22"/>
          <w:szCs w:val="22"/>
        </w:rPr>
        <w:t>subtyped by our optimized diastolic blood pressure</w:t>
      </w:r>
      <w:r w:rsidRPr="00913F31">
        <w:rPr>
          <w:rFonts w:ascii="Arial" w:hAnsi="Arial" w:cs="Arial"/>
          <w:sz w:val="22"/>
          <w:szCs w:val="22"/>
        </w:rPr>
        <w:t xml:space="preserve"> rise during late phase 2 of Valsalva (DBP</w:t>
      </w:r>
      <w:r w:rsidRPr="00913F31">
        <w:rPr>
          <w:rFonts w:ascii="Arial" w:hAnsi="Arial" w:cs="Arial"/>
          <w:sz w:val="22"/>
          <w:szCs w:val="22"/>
          <w:vertAlign w:val="subscript"/>
        </w:rPr>
        <w:t>VM2l_rise</w:t>
      </w:r>
      <w:r w:rsidRPr="00913F31">
        <w:rPr>
          <w:rFonts w:ascii="Arial" w:hAnsi="Arial" w:cs="Arial"/>
          <w:sz w:val="22"/>
          <w:szCs w:val="22"/>
        </w:rPr>
        <w:t>)</w:t>
      </w:r>
      <w:r>
        <w:rPr>
          <w:rFonts w:ascii="Arial" w:hAnsi="Arial" w:cs="Arial"/>
          <w:sz w:val="22"/>
          <w:szCs w:val="22"/>
        </w:rPr>
        <w:t xml:space="preserve"> cut point.</w:t>
      </w:r>
    </w:p>
    <w:p w14:paraId="0C6FD76F" w14:textId="77777777" w:rsidR="00907585" w:rsidRDefault="00907585" w:rsidP="00907585">
      <w:pPr>
        <w:rPr>
          <w:rFonts w:ascii="Arial" w:hAnsi="Arial" w:cs="Arial"/>
          <w:sz w:val="22"/>
          <w:szCs w:val="22"/>
        </w:rPr>
      </w:pPr>
    </w:p>
    <w:p w14:paraId="470D02A1" w14:textId="5654CC30" w:rsidR="00907585" w:rsidRDefault="00907585" w:rsidP="00907585">
      <w:pPr>
        <w:rPr>
          <w:rFonts w:ascii="Arial" w:hAnsi="Arial" w:cs="Arial"/>
          <w:b/>
          <w:bCs/>
          <w:sz w:val="22"/>
          <w:szCs w:val="22"/>
        </w:rPr>
      </w:pPr>
      <w:r w:rsidRPr="00907585">
        <w:rPr>
          <w:rFonts w:ascii="Arial" w:hAnsi="Arial" w:cs="Arial"/>
          <w:b/>
          <w:bCs/>
          <w:sz w:val="22"/>
          <w:szCs w:val="22"/>
        </w:rPr>
        <w:t>Method</w:t>
      </w:r>
      <w:r>
        <w:rPr>
          <w:rFonts w:ascii="Arial" w:hAnsi="Arial" w:cs="Arial"/>
          <w:b/>
          <w:bCs/>
          <w:sz w:val="22"/>
          <w:szCs w:val="22"/>
        </w:rPr>
        <w:t>s</w:t>
      </w:r>
    </w:p>
    <w:p w14:paraId="660D262D" w14:textId="4CFE71F2" w:rsidR="00907585" w:rsidRPr="00913F31" w:rsidRDefault="00907585" w:rsidP="00907585">
      <w:pPr>
        <w:rPr>
          <w:rFonts w:ascii="Arial" w:hAnsi="Arial" w:cs="Arial"/>
          <w:sz w:val="22"/>
          <w:szCs w:val="22"/>
        </w:rPr>
      </w:pPr>
      <w:r w:rsidRPr="00913F31">
        <w:rPr>
          <w:rFonts w:ascii="Arial" w:hAnsi="Arial" w:cs="Arial"/>
          <w:sz w:val="22"/>
          <w:szCs w:val="22"/>
        </w:rPr>
        <w:tab/>
        <w:t xml:space="preserve">After </w:t>
      </w:r>
      <w:r>
        <w:rPr>
          <w:rFonts w:ascii="Arial" w:hAnsi="Arial" w:cs="Arial"/>
          <w:sz w:val="22"/>
          <w:szCs w:val="22"/>
        </w:rPr>
        <w:t xml:space="preserve">the initial </w:t>
      </w:r>
      <w:r w:rsidRPr="00913F31">
        <w:rPr>
          <w:rFonts w:ascii="Arial" w:hAnsi="Arial" w:cs="Arial"/>
          <w:sz w:val="22"/>
          <w:szCs w:val="22"/>
        </w:rPr>
        <w:t xml:space="preserve">baseline study, </w:t>
      </w:r>
      <w:r>
        <w:rPr>
          <w:rFonts w:ascii="Arial" w:hAnsi="Arial" w:cs="Arial"/>
          <w:sz w:val="22"/>
          <w:szCs w:val="22"/>
        </w:rPr>
        <w:t xml:space="preserve">POTS </w:t>
      </w:r>
      <w:r w:rsidRPr="00913F31">
        <w:rPr>
          <w:rFonts w:ascii="Arial" w:hAnsi="Arial" w:cs="Arial"/>
          <w:sz w:val="22"/>
          <w:szCs w:val="22"/>
        </w:rPr>
        <w:t xml:space="preserve">patients </w:t>
      </w:r>
      <w:r>
        <w:rPr>
          <w:rFonts w:ascii="Arial" w:hAnsi="Arial" w:cs="Arial"/>
          <w:sz w:val="22"/>
          <w:szCs w:val="22"/>
        </w:rPr>
        <w:t>underwent a double-blind, randomized,</w:t>
      </w:r>
      <w:r w:rsidRPr="00913F31">
        <w:rPr>
          <w:rFonts w:ascii="Arial" w:hAnsi="Arial" w:cs="Arial"/>
          <w:sz w:val="22"/>
          <w:szCs w:val="22"/>
        </w:rPr>
        <w:t xml:space="preserve"> </w:t>
      </w:r>
      <w:r>
        <w:rPr>
          <w:rFonts w:ascii="Arial" w:hAnsi="Arial" w:cs="Arial"/>
          <w:sz w:val="22"/>
          <w:szCs w:val="22"/>
        </w:rPr>
        <w:t>placebo-</w:t>
      </w:r>
      <w:r w:rsidRPr="00913F31">
        <w:rPr>
          <w:rFonts w:ascii="Arial" w:hAnsi="Arial" w:cs="Arial"/>
          <w:sz w:val="22"/>
          <w:szCs w:val="22"/>
        </w:rPr>
        <w:t>control</w:t>
      </w:r>
      <w:r>
        <w:rPr>
          <w:rFonts w:ascii="Arial" w:hAnsi="Arial" w:cs="Arial"/>
          <w:sz w:val="22"/>
          <w:szCs w:val="22"/>
        </w:rPr>
        <w:t>led,</w:t>
      </w:r>
      <w:r w:rsidRPr="00913F31">
        <w:rPr>
          <w:rFonts w:ascii="Arial" w:hAnsi="Arial" w:cs="Arial"/>
          <w:sz w:val="22"/>
          <w:szCs w:val="22"/>
        </w:rPr>
        <w:t xml:space="preserve"> 2-day</w:t>
      </w:r>
      <w:r>
        <w:rPr>
          <w:rFonts w:ascii="Arial" w:hAnsi="Arial" w:cs="Arial"/>
          <w:sz w:val="22"/>
          <w:szCs w:val="22"/>
        </w:rPr>
        <w:t xml:space="preserve"> </w:t>
      </w:r>
      <w:r w:rsidRPr="00913F31">
        <w:rPr>
          <w:rFonts w:ascii="Arial" w:hAnsi="Arial" w:cs="Arial"/>
          <w:sz w:val="22"/>
          <w:szCs w:val="22"/>
        </w:rPr>
        <w:t xml:space="preserve">crossover trial </w:t>
      </w:r>
      <w:r>
        <w:rPr>
          <w:rFonts w:ascii="Arial" w:hAnsi="Arial" w:cs="Arial"/>
          <w:sz w:val="22"/>
          <w:szCs w:val="22"/>
        </w:rPr>
        <w:t>with</w:t>
      </w:r>
      <w:r w:rsidRPr="00913F31">
        <w:rPr>
          <w:rFonts w:ascii="Arial" w:hAnsi="Arial" w:cs="Arial"/>
          <w:sz w:val="22"/>
          <w:szCs w:val="22"/>
        </w:rPr>
        <w:t xml:space="preserve"> 0.2-0.4 mg </w:t>
      </w:r>
      <w:r>
        <w:rPr>
          <w:rFonts w:ascii="Arial" w:hAnsi="Arial" w:cs="Arial"/>
          <w:sz w:val="22"/>
          <w:szCs w:val="22"/>
        </w:rPr>
        <w:t xml:space="preserve">PO </w:t>
      </w:r>
      <w:r w:rsidRPr="00913F31">
        <w:rPr>
          <w:rFonts w:ascii="Arial" w:hAnsi="Arial" w:cs="Arial"/>
          <w:sz w:val="22"/>
          <w:szCs w:val="22"/>
        </w:rPr>
        <w:t>moxonidine</w:t>
      </w:r>
      <w:r>
        <w:rPr>
          <w:rFonts w:ascii="Arial" w:hAnsi="Arial" w:cs="Arial"/>
          <w:sz w:val="22"/>
          <w:szCs w:val="22"/>
        </w:rPr>
        <w:t>. Medications were prepared</w:t>
      </w:r>
      <w:r w:rsidRPr="00913F31">
        <w:rPr>
          <w:rFonts w:ascii="Arial" w:hAnsi="Arial" w:cs="Arial"/>
          <w:sz w:val="22"/>
          <w:szCs w:val="22"/>
        </w:rPr>
        <w:t xml:space="preserve"> by </w:t>
      </w:r>
      <w:r>
        <w:rPr>
          <w:rFonts w:ascii="Arial" w:hAnsi="Arial" w:cs="Arial"/>
          <w:sz w:val="22"/>
          <w:szCs w:val="22"/>
        </w:rPr>
        <w:t xml:space="preserve">the </w:t>
      </w:r>
      <w:r w:rsidRPr="00913F31">
        <w:rPr>
          <w:rFonts w:ascii="Arial" w:hAnsi="Arial" w:cs="Arial"/>
          <w:sz w:val="22"/>
          <w:szCs w:val="22"/>
        </w:rPr>
        <w:t>Vanderbilt</w:t>
      </w:r>
      <w:r>
        <w:rPr>
          <w:rFonts w:ascii="Arial" w:hAnsi="Arial" w:cs="Arial"/>
          <w:sz w:val="22"/>
          <w:szCs w:val="22"/>
        </w:rPr>
        <w:t xml:space="preserve"> </w:t>
      </w:r>
      <w:r w:rsidRPr="00913F31">
        <w:rPr>
          <w:rFonts w:ascii="Arial" w:hAnsi="Arial" w:cs="Arial"/>
          <w:sz w:val="22"/>
          <w:szCs w:val="22"/>
        </w:rPr>
        <w:t xml:space="preserve">Investigational Pharmacy. </w:t>
      </w:r>
      <w:r>
        <w:rPr>
          <w:rFonts w:ascii="Arial" w:hAnsi="Arial" w:cs="Arial"/>
          <w:sz w:val="22"/>
          <w:szCs w:val="22"/>
        </w:rPr>
        <w:t>After</w:t>
      </w:r>
      <w:r w:rsidRPr="00913F31">
        <w:rPr>
          <w:rFonts w:ascii="Arial" w:hAnsi="Arial" w:cs="Arial"/>
          <w:sz w:val="22"/>
          <w:szCs w:val="22"/>
        </w:rPr>
        <w:t xml:space="preserve"> 2 hours</w:t>
      </w:r>
      <w:r>
        <w:rPr>
          <w:rFonts w:ascii="Arial" w:hAnsi="Arial" w:cs="Arial"/>
          <w:sz w:val="22"/>
          <w:szCs w:val="22"/>
        </w:rPr>
        <w:t xml:space="preserve"> of drug administration,</w:t>
      </w:r>
      <w:r w:rsidRPr="00913F31">
        <w:rPr>
          <w:rFonts w:ascii="Arial" w:hAnsi="Arial" w:cs="Arial"/>
          <w:sz w:val="22"/>
          <w:szCs w:val="22"/>
        </w:rPr>
        <w:t xml:space="preserve"> </w:t>
      </w:r>
      <w:r>
        <w:rPr>
          <w:rFonts w:ascii="Arial" w:hAnsi="Arial" w:cs="Arial"/>
          <w:sz w:val="22"/>
          <w:szCs w:val="22"/>
        </w:rPr>
        <w:t xml:space="preserve">the </w:t>
      </w:r>
      <w:r w:rsidRPr="00913F31">
        <w:rPr>
          <w:rFonts w:ascii="Arial" w:hAnsi="Arial" w:cs="Arial"/>
          <w:sz w:val="22"/>
          <w:szCs w:val="22"/>
        </w:rPr>
        <w:t xml:space="preserve">Valsalva maneuver </w:t>
      </w:r>
      <w:r w:rsidR="00164586">
        <w:rPr>
          <w:rFonts w:ascii="Arial" w:hAnsi="Arial" w:cs="Arial"/>
          <w:sz w:val="22"/>
          <w:szCs w:val="22"/>
        </w:rPr>
        <w:t>was performed with measurements of</w:t>
      </w:r>
      <w:r>
        <w:rPr>
          <w:rFonts w:ascii="Arial" w:hAnsi="Arial" w:cs="Arial"/>
          <w:sz w:val="22"/>
          <w:szCs w:val="22"/>
        </w:rPr>
        <w:t xml:space="preserve"> </w:t>
      </w:r>
      <w:r w:rsidR="00164586">
        <w:rPr>
          <w:rFonts w:ascii="Arial" w:hAnsi="Arial" w:cs="Arial"/>
          <w:sz w:val="22"/>
          <w:szCs w:val="22"/>
        </w:rPr>
        <w:t>c</w:t>
      </w:r>
      <w:r w:rsidR="00164586" w:rsidRPr="00164586">
        <w:rPr>
          <w:rFonts w:ascii="Arial" w:hAnsi="Arial" w:cs="Arial"/>
          <w:sz w:val="22"/>
          <w:szCs w:val="22"/>
        </w:rPr>
        <w:t xml:space="preserve">ontinuous and intermittent </w:t>
      </w:r>
      <w:r w:rsidR="00164586">
        <w:rPr>
          <w:rFonts w:ascii="Arial" w:hAnsi="Arial" w:cs="Arial"/>
          <w:sz w:val="22"/>
          <w:szCs w:val="22"/>
        </w:rPr>
        <w:t>blood pressure (</w:t>
      </w:r>
      <w:r w:rsidR="00164586" w:rsidRPr="00164586">
        <w:rPr>
          <w:rFonts w:ascii="Arial" w:hAnsi="Arial" w:cs="Arial"/>
          <w:sz w:val="22"/>
          <w:szCs w:val="22"/>
        </w:rPr>
        <w:t>BP</w:t>
      </w:r>
      <w:r w:rsidR="00164586">
        <w:rPr>
          <w:rFonts w:ascii="Arial" w:hAnsi="Arial" w:cs="Arial"/>
          <w:sz w:val="22"/>
          <w:szCs w:val="22"/>
        </w:rPr>
        <w:t>)</w:t>
      </w:r>
      <w:r w:rsidR="00164586" w:rsidRPr="00164586">
        <w:rPr>
          <w:rFonts w:ascii="Arial" w:hAnsi="Arial" w:cs="Arial"/>
          <w:sz w:val="22"/>
          <w:szCs w:val="22"/>
        </w:rPr>
        <w:t xml:space="preserve">, electrocardiogram (ECG), </w:t>
      </w:r>
      <w:r w:rsidR="00164586">
        <w:rPr>
          <w:rFonts w:ascii="Arial" w:hAnsi="Arial" w:cs="Arial"/>
          <w:sz w:val="22"/>
          <w:szCs w:val="22"/>
        </w:rPr>
        <w:t>muscle sympathetic nerve activity (</w:t>
      </w:r>
      <w:r w:rsidR="00164586" w:rsidRPr="00164586">
        <w:rPr>
          <w:rFonts w:ascii="Arial" w:hAnsi="Arial" w:cs="Arial"/>
          <w:sz w:val="22"/>
          <w:szCs w:val="22"/>
        </w:rPr>
        <w:t>MSNA</w:t>
      </w:r>
      <w:r w:rsidR="00164586">
        <w:rPr>
          <w:rFonts w:ascii="Arial" w:hAnsi="Arial" w:cs="Arial"/>
          <w:sz w:val="22"/>
          <w:szCs w:val="22"/>
        </w:rPr>
        <w:t>)</w:t>
      </w:r>
      <w:r w:rsidRPr="00913F31">
        <w:rPr>
          <w:rFonts w:ascii="Arial" w:hAnsi="Arial" w:cs="Arial"/>
          <w:sz w:val="22"/>
          <w:szCs w:val="22"/>
        </w:rPr>
        <w:t xml:space="preserve">. </w:t>
      </w:r>
      <w:r>
        <w:rPr>
          <w:rFonts w:ascii="Arial" w:hAnsi="Arial" w:cs="Arial"/>
          <w:sz w:val="22"/>
          <w:szCs w:val="22"/>
        </w:rPr>
        <w:t>P</w:t>
      </w:r>
      <w:r w:rsidRPr="00913F31">
        <w:rPr>
          <w:rFonts w:ascii="Arial" w:hAnsi="Arial" w:cs="Arial"/>
          <w:sz w:val="22"/>
          <w:szCs w:val="22"/>
        </w:rPr>
        <w:t xml:space="preserve">atients repeated the study </w:t>
      </w:r>
      <w:r>
        <w:rPr>
          <w:rFonts w:ascii="Arial" w:hAnsi="Arial" w:cs="Arial"/>
          <w:sz w:val="22"/>
          <w:szCs w:val="22"/>
        </w:rPr>
        <w:t xml:space="preserve">on the following day </w:t>
      </w:r>
      <w:r w:rsidRPr="00913F31">
        <w:rPr>
          <w:rFonts w:ascii="Arial" w:hAnsi="Arial" w:cs="Arial"/>
          <w:sz w:val="22"/>
          <w:szCs w:val="22"/>
        </w:rPr>
        <w:t>with the other drug, moxonidine or placebo</w:t>
      </w:r>
      <w:r>
        <w:rPr>
          <w:rFonts w:ascii="Arial" w:hAnsi="Arial" w:cs="Arial"/>
          <w:sz w:val="22"/>
          <w:szCs w:val="22"/>
        </w:rPr>
        <w:t xml:space="preserve"> (Figure </w:t>
      </w:r>
      <w:r w:rsidR="00754E9C">
        <w:rPr>
          <w:rFonts w:ascii="Arial" w:hAnsi="Arial" w:cs="Arial"/>
          <w:sz w:val="22"/>
          <w:szCs w:val="22"/>
        </w:rPr>
        <w:t>A2_1</w:t>
      </w:r>
      <w:r>
        <w:rPr>
          <w:rFonts w:ascii="Arial" w:hAnsi="Arial" w:cs="Arial"/>
          <w:sz w:val="22"/>
          <w:szCs w:val="22"/>
        </w:rPr>
        <w:t>)</w:t>
      </w:r>
      <w:r w:rsidRPr="00913F31">
        <w:rPr>
          <w:rFonts w:ascii="Arial" w:hAnsi="Arial" w:cs="Arial"/>
          <w:sz w:val="22"/>
          <w:szCs w:val="22"/>
        </w:rPr>
        <w:t>.</w:t>
      </w:r>
    </w:p>
    <w:p w14:paraId="217E8356" w14:textId="77777777" w:rsidR="00907585" w:rsidRPr="00913F31" w:rsidRDefault="00907585" w:rsidP="00907585">
      <w:pPr>
        <w:rPr>
          <w:rFonts w:ascii="Arial" w:hAnsi="Arial" w:cs="Arial"/>
          <w:sz w:val="22"/>
          <w:szCs w:val="22"/>
        </w:rPr>
      </w:pPr>
      <w:r w:rsidRPr="00913F31">
        <w:rPr>
          <w:rFonts w:ascii="Arial" w:hAnsi="Arial" w:cs="Arial"/>
          <w:noProof/>
          <w:sz w:val="22"/>
          <w:szCs w:val="22"/>
        </w:rPr>
        <mc:AlternateContent>
          <mc:Choice Requires="wps">
            <w:drawing>
              <wp:inline distT="0" distB="0" distL="0" distR="0" wp14:anchorId="0D813ECE" wp14:editId="32532008">
                <wp:extent cx="5923722" cy="3840480"/>
                <wp:effectExtent l="0" t="0" r="7620" b="7620"/>
                <wp:docPr id="28986064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3722" cy="3840480"/>
                        </a:xfrm>
                        <a:prstGeom prst="rect">
                          <a:avLst/>
                        </a:prstGeom>
                        <a:solidFill>
                          <a:srgbClr val="FFFFFF"/>
                        </a:solidFill>
                        <a:ln w="9525">
                          <a:solidFill>
                            <a:srgbClr val="000000"/>
                          </a:solidFill>
                          <a:miter lim="800000"/>
                          <a:headEnd/>
                          <a:tailEnd/>
                        </a:ln>
                      </wps:spPr>
                      <wps:txbx>
                        <w:txbxContent>
                          <w:p w14:paraId="7B669D0E" w14:textId="6618D8C6" w:rsidR="00907585" w:rsidRDefault="0050070D" w:rsidP="00907585">
                            <w:pPr>
                              <w:keepNext/>
                              <w:jc w:val="center"/>
                            </w:pPr>
                            <w:r>
                              <w:rPr>
                                <w:noProof/>
                              </w:rPr>
                              <w:drawing>
                                <wp:inline distT="0" distB="0" distL="0" distR="0" wp14:anchorId="190780D5" wp14:editId="4B888DC0">
                                  <wp:extent cx="5731510" cy="2822575"/>
                                  <wp:effectExtent l="0" t="0" r="2540" b="0"/>
                                  <wp:docPr id="1881941967" name="Picture 1" descr="A diagram of a diagram of a patie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1941967" name="Picture 1" descr="A diagram of a diagram of a patient&#10;&#10;AI-generated content may be in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31510" cy="2822575"/>
                                          </a:xfrm>
                                          <a:prstGeom prst="rect">
                                            <a:avLst/>
                                          </a:prstGeom>
                                          <a:noFill/>
                                          <a:ln>
                                            <a:noFill/>
                                          </a:ln>
                                        </pic:spPr>
                                      </pic:pic>
                                    </a:graphicData>
                                  </a:graphic>
                                </wp:inline>
                              </w:drawing>
                            </w:r>
                          </w:p>
                          <w:p w14:paraId="2AA40D3C" w14:textId="3FF4E23E" w:rsidR="00907585" w:rsidRPr="00E61E06" w:rsidRDefault="00907585" w:rsidP="00907585">
                            <w:pPr>
                              <w:pStyle w:val="Caption"/>
                              <w:rPr>
                                <w:rFonts w:ascii="Arial" w:hAnsi="Arial" w:cs="Arial"/>
                                <w:i w:val="0"/>
                                <w:iCs w:val="0"/>
                                <w:color w:val="auto"/>
                                <w:sz w:val="22"/>
                                <w:szCs w:val="22"/>
                              </w:rPr>
                            </w:pPr>
                            <w:bookmarkStart w:id="0" w:name="_Ref193963993"/>
                            <w:r w:rsidRPr="00E61E06">
                              <w:rPr>
                                <w:rFonts w:ascii="Arial" w:hAnsi="Arial" w:cs="Arial"/>
                                <w:b/>
                                <w:bCs/>
                                <w:i w:val="0"/>
                                <w:iCs w:val="0"/>
                                <w:color w:val="auto"/>
                                <w:sz w:val="22"/>
                                <w:szCs w:val="22"/>
                              </w:rPr>
                              <w:t xml:space="preserve">Figure </w:t>
                            </w:r>
                            <w:bookmarkEnd w:id="0"/>
                            <w:r w:rsidR="00754E9C">
                              <w:rPr>
                                <w:rFonts w:ascii="Arial" w:hAnsi="Arial" w:cs="Arial"/>
                                <w:b/>
                                <w:bCs/>
                                <w:i w:val="0"/>
                                <w:iCs w:val="0"/>
                                <w:color w:val="auto"/>
                                <w:sz w:val="22"/>
                                <w:szCs w:val="22"/>
                              </w:rPr>
                              <w:t>A2_1</w:t>
                            </w:r>
                            <w:r w:rsidRPr="00E61E06">
                              <w:rPr>
                                <w:rFonts w:ascii="Arial" w:hAnsi="Arial" w:cs="Arial"/>
                                <w:i w:val="0"/>
                                <w:iCs w:val="0"/>
                                <w:color w:val="auto"/>
                                <w:sz w:val="22"/>
                                <w:szCs w:val="22"/>
                              </w:rPr>
                              <w:t xml:space="preserve"> Protocol. All participants performed baseline normal breathing, carbon monoxide rebreathing blood volume measurement, and Valsalva maneuver on day 0. POTS subjects further performed </w:t>
                            </w:r>
                            <w:r>
                              <w:rPr>
                                <w:rFonts w:ascii="Arial" w:hAnsi="Arial" w:cs="Arial"/>
                                <w:i w:val="0"/>
                                <w:iCs w:val="0"/>
                                <w:color w:val="auto"/>
                                <w:sz w:val="22"/>
                                <w:szCs w:val="22"/>
                              </w:rPr>
                              <w:t>this maneuver</w:t>
                            </w:r>
                            <w:r w:rsidRPr="00E61E06">
                              <w:rPr>
                                <w:rFonts w:ascii="Arial" w:hAnsi="Arial" w:cs="Arial"/>
                                <w:i w:val="0"/>
                                <w:iCs w:val="0"/>
                                <w:color w:val="auto"/>
                                <w:sz w:val="22"/>
                                <w:szCs w:val="22"/>
                              </w:rPr>
                              <w:t xml:space="preserve"> on the 2-day randomized placebo-moxonidine trial on </w:t>
                            </w:r>
                            <w:r>
                              <w:rPr>
                                <w:rFonts w:ascii="Arial" w:hAnsi="Arial" w:cs="Arial"/>
                                <w:i w:val="0"/>
                                <w:iCs w:val="0"/>
                                <w:color w:val="auto"/>
                                <w:sz w:val="22"/>
                                <w:szCs w:val="22"/>
                              </w:rPr>
                              <w:t xml:space="preserve">study </w:t>
                            </w:r>
                            <w:r w:rsidRPr="00E61E06">
                              <w:rPr>
                                <w:rFonts w:ascii="Arial" w:hAnsi="Arial" w:cs="Arial"/>
                                <w:i w:val="0"/>
                                <w:iCs w:val="0"/>
                                <w:color w:val="auto"/>
                                <w:sz w:val="22"/>
                                <w:szCs w:val="22"/>
                              </w:rPr>
                              <w:t xml:space="preserve">day 1 and </w:t>
                            </w:r>
                            <w:r>
                              <w:rPr>
                                <w:rFonts w:ascii="Arial" w:hAnsi="Arial" w:cs="Arial"/>
                                <w:i w:val="0"/>
                                <w:iCs w:val="0"/>
                                <w:color w:val="auto"/>
                                <w:sz w:val="22"/>
                                <w:szCs w:val="22"/>
                              </w:rPr>
                              <w:t xml:space="preserve">study </w:t>
                            </w:r>
                            <w:r w:rsidRPr="00E61E06">
                              <w:rPr>
                                <w:rFonts w:ascii="Arial" w:hAnsi="Arial" w:cs="Arial"/>
                                <w:i w:val="0"/>
                                <w:iCs w:val="0"/>
                                <w:color w:val="auto"/>
                                <w:sz w:val="22"/>
                                <w:szCs w:val="22"/>
                              </w:rPr>
                              <w:t>day 2.</w:t>
                            </w:r>
                          </w:p>
                          <w:p w14:paraId="729C870B" w14:textId="77777777" w:rsidR="00907585" w:rsidRDefault="00907585" w:rsidP="00907585">
                            <w:pPr>
                              <w:jc w:val="center"/>
                            </w:pPr>
                            <w:r>
                              <w:t>d</w:t>
                            </w:r>
                          </w:p>
                        </w:txbxContent>
                      </wps:txbx>
                      <wps:bodyPr rot="0" vert="horz" wrap="square" lIns="91440" tIns="45720" rIns="91440" bIns="45720" anchor="t" anchorCtr="0">
                        <a:noAutofit/>
                      </wps:bodyPr>
                    </wps:wsp>
                  </a:graphicData>
                </a:graphic>
              </wp:inline>
            </w:drawing>
          </mc:Choice>
          <mc:Fallback>
            <w:pict>
              <v:shapetype w14:anchorId="0D813ECE" id="_x0000_t202" coordsize="21600,21600" o:spt="202" path="m,l,21600r21600,l21600,xe">
                <v:stroke joinstyle="miter"/>
                <v:path gradientshapeok="t" o:connecttype="rect"/>
              </v:shapetype>
              <v:shape id="Text Box 2" o:spid="_x0000_s1026" type="#_x0000_t202" style="width:466.45pt;height:30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">
                <v:textbox>
                  <w:txbxContent>
                    <w:p w14:paraId="7B669D0E" w14:textId="6618D8C6" w:rsidR="00907585" w:rsidRDefault="0050070D" w:rsidP="00907585">
                      <w:pPr>
                        <w:keepNext/>
                        <w:jc w:val="center"/>
                      </w:pPr>
                      <w:r>
                        <w:rPr>
                          <w:noProof/>
                        </w:rPr>
                        <w:drawing>
                          <wp:inline distT="0" distB="0" distL="0" distR="0" wp14:anchorId="190780D5" wp14:editId="4B888DC0">
                            <wp:extent cx="5731510" cy="2822575"/>
                            <wp:effectExtent l="0" t="0" r="2540" b="0"/>
                            <wp:docPr id="1881941967" name="Picture 1" descr="A diagram of a diagram of a patie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1941967" name="Picture 1" descr="A diagram of a diagram of a patient&#10;&#10;AI-generated content may be in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31510" cy="2822575"/>
                                    </a:xfrm>
                                    <a:prstGeom prst="rect">
                                      <a:avLst/>
                                    </a:prstGeom>
                                    <a:noFill/>
                                    <a:ln>
                                      <a:noFill/>
                                    </a:ln>
                                  </pic:spPr>
                                </pic:pic>
                              </a:graphicData>
                            </a:graphic>
                          </wp:inline>
                        </w:drawing>
                      </w:r>
                    </w:p>
                    <w:p w14:paraId="2AA40D3C" w14:textId="3FF4E23E" w:rsidR="00907585" w:rsidRPr="00E61E06" w:rsidRDefault="00907585" w:rsidP="00907585">
                      <w:pPr>
                        <w:pStyle w:val="Caption"/>
                        <w:rPr>
                          <w:rFonts w:ascii="Arial" w:hAnsi="Arial" w:cs="Arial"/>
                          <w:i w:val="0"/>
                          <w:iCs w:val="0"/>
                          <w:color w:val="auto"/>
                          <w:sz w:val="22"/>
                          <w:szCs w:val="22"/>
                        </w:rPr>
                      </w:pPr>
                      <w:bookmarkStart w:id="1" w:name="_Ref193963993"/>
                      <w:r w:rsidRPr="00E61E06">
                        <w:rPr>
                          <w:rFonts w:ascii="Arial" w:hAnsi="Arial" w:cs="Arial"/>
                          <w:b/>
                          <w:bCs/>
                          <w:i w:val="0"/>
                          <w:iCs w:val="0"/>
                          <w:color w:val="auto"/>
                          <w:sz w:val="22"/>
                          <w:szCs w:val="22"/>
                        </w:rPr>
                        <w:t xml:space="preserve">Figure </w:t>
                      </w:r>
                      <w:bookmarkEnd w:id="1"/>
                      <w:r w:rsidR="00754E9C">
                        <w:rPr>
                          <w:rFonts w:ascii="Arial" w:hAnsi="Arial" w:cs="Arial"/>
                          <w:b/>
                          <w:bCs/>
                          <w:i w:val="0"/>
                          <w:iCs w:val="0"/>
                          <w:color w:val="auto"/>
                          <w:sz w:val="22"/>
                          <w:szCs w:val="22"/>
                        </w:rPr>
                        <w:t>A2_1</w:t>
                      </w:r>
                      <w:r w:rsidRPr="00E61E06">
                        <w:rPr>
                          <w:rFonts w:ascii="Arial" w:hAnsi="Arial" w:cs="Arial"/>
                          <w:i w:val="0"/>
                          <w:iCs w:val="0"/>
                          <w:color w:val="auto"/>
                          <w:sz w:val="22"/>
                          <w:szCs w:val="22"/>
                        </w:rPr>
                        <w:t xml:space="preserve"> Protocol. All participants performed baseline normal breathing, carbon monoxide rebreathing blood volume measurement, and Valsalva maneuver on day 0. POTS subjects further performed </w:t>
                      </w:r>
                      <w:r>
                        <w:rPr>
                          <w:rFonts w:ascii="Arial" w:hAnsi="Arial" w:cs="Arial"/>
                          <w:i w:val="0"/>
                          <w:iCs w:val="0"/>
                          <w:color w:val="auto"/>
                          <w:sz w:val="22"/>
                          <w:szCs w:val="22"/>
                        </w:rPr>
                        <w:t>this maneuver</w:t>
                      </w:r>
                      <w:r w:rsidRPr="00E61E06">
                        <w:rPr>
                          <w:rFonts w:ascii="Arial" w:hAnsi="Arial" w:cs="Arial"/>
                          <w:i w:val="0"/>
                          <w:iCs w:val="0"/>
                          <w:color w:val="auto"/>
                          <w:sz w:val="22"/>
                          <w:szCs w:val="22"/>
                        </w:rPr>
                        <w:t xml:space="preserve"> on the 2-day randomized placebo-moxonidine trial on </w:t>
                      </w:r>
                      <w:r>
                        <w:rPr>
                          <w:rFonts w:ascii="Arial" w:hAnsi="Arial" w:cs="Arial"/>
                          <w:i w:val="0"/>
                          <w:iCs w:val="0"/>
                          <w:color w:val="auto"/>
                          <w:sz w:val="22"/>
                          <w:szCs w:val="22"/>
                        </w:rPr>
                        <w:t xml:space="preserve">study </w:t>
                      </w:r>
                      <w:r w:rsidRPr="00E61E06">
                        <w:rPr>
                          <w:rFonts w:ascii="Arial" w:hAnsi="Arial" w:cs="Arial"/>
                          <w:i w:val="0"/>
                          <w:iCs w:val="0"/>
                          <w:color w:val="auto"/>
                          <w:sz w:val="22"/>
                          <w:szCs w:val="22"/>
                        </w:rPr>
                        <w:t xml:space="preserve">day 1 and </w:t>
                      </w:r>
                      <w:r>
                        <w:rPr>
                          <w:rFonts w:ascii="Arial" w:hAnsi="Arial" w:cs="Arial"/>
                          <w:i w:val="0"/>
                          <w:iCs w:val="0"/>
                          <w:color w:val="auto"/>
                          <w:sz w:val="22"/>
                          <w:szCs w:val="22"/>
                        </w:rPr>
                        <w:t xml:space="preserve">study </w:t>
                      </w:r>
                      <w:r w:rsidRPr="00E61E06">
                        <w:rPr>
                          <w:rFonts w:ascii="Arial" w:hAnsi="Arial" w:cs="Arial"/>
                          <w:i w:val="0"/>
                          <w:iCs w:val="0"/>
                          <w:color w:val="auto"/>
                          <w:sz w:val="22"/>
                          <w:szCs w:val="22"/>
                        </w:rPr>
                        <w:t>day 2.</w:t>
                      </w:r>
                    </w:p>
                    <w:p w14:paraId="729C870B" w14:textId="77777777" w:rsidR="00907585" w:rsidRDefault="00907585" w:rsidP="00907585">
                      <w:pPr>
                        <w:jc w:val="center"/>
                      </w:pPr>
                      <w:r>
                        <w:t>d</w:t>
                      </w:r>
                    </w:p>
                  </w:txbxContent>
                </v:textbox>
                <w10:anchorlock/>
              </v:shape>
            </w:pict>
          </mc:Fallback>
        </mc:AlternateContent>
      </w:r>
    </w:p>
    <w:p w14:paraId="15BB5A06" w14:textId="77777777" w:rsidR="00907585" w:rsidRPr="00907585" w:rsidRDefault="00907585" w:rsidP="00907585">
      <w:pPr>
        <w:rPr>
          <w:rFonts w:ascii="Arial" w:hAnsi="Arial" w:cs="Arial"/>
          <w:b/>
          <w:bCs/>
          <w:sz w:val="22"/>
          <w:szCs w:val="22"/>
        </w:rPr>
      </w:pPr>
    </w:p>
    <w:p w14:paraId="43252AB9" w14:textId="2C757AB9" w:rsidR="006A1E8D" w:rsidRDefault="00ED7161">
      <w:pPr>
        <w:rPr>
          <w:rFonts w:ascii="Arial" w:eastAsiaTheme="minorEastAsia" w:hAnsi="Arial" w:cs="Arial"/>
          <w:sz w:val="22"/>
          <w:szCs w:val="22"/>
        </w:rPr>
      </w:pPr>
      <w:r>
        <w:lastRenderedPageBreak/>
        <w:tab/>
        <w:t>POTS patients were grouped into hyperadrenergic POTS (</w:t>
      </w:r>
      <w:r w:rsidRPr="00913F31">
        <w:rPr>
          <w:rFonts w:ascii="Arial" w:hAnsi="Arial" w:cs="Arial"/>
          <w:sz w:val="22"/>
          <w:szCs w:val="22"/>
        </w:rPr>
        <w:t>DBP</w:t>
      </w:r>
      <w:r w:rsidRPr="00913F31">
        <w:rPr>
          <w:rFonts w:ascii="Arial" w:hAnsi="Arial" w:cs="Arial"/>
          <w:sz w:val="22"/>
          <w:szCs w:val="22"/>
          <w:vertAlign w:val="subscript"/>
        </w:rPr>
        <w:t>VM2l_rise</w:t>
      </w:r>
      <w:r>
        <w:t xml:space="preserve"> ≥ 15 mmHg) and non-hyperadrenergic POTS (</w:t>
      </w:r>
      <w:r w:rsidRPr="00913F31">
        <w:rPr>
          <w:rFonts w:ascii="Arial" w:hAnsi="Arial" w:cs="Arial"/>
          <w:sz w:val="22"/>
          <w:szCs w:val="22"/>
        </w:rPr>
        <w:t>DBP</w:t>
      </w:r>
      <w:r w:rsidRPr="00913F31">
        <w:rPr>
          <w:rFonts w:ascii="Arial" w:hAnsi="Arial" w:cs="Arial"/>
          <w:sz w:val="22"/>
          <w:szCs w:val="22"/>
          <w:vertAlign w:val="subscript"/>
        </w:rPr>
        <w:t>VM2l_rise</w:t>
      </w:r>
      <w:r>
        <w:t xml:space="preserve"> &lt; 15 mmHg) based on their data during the baseline study (day 0). Statistical analyses between the two groups </w:t>
      </w:r>
      <w:r w:rsidRPr="00913F31">
        <w:rPr>
          <w:rFonts w:ascii="Arial" w:eastAsiaTheme="minorEastAsia" w:hAnsi="Arial" w:cs="Arial"/>
          <w:sz w:val="22"/>
          <w:szCs w:val="22"/>
        </w:rPr>
        <w:t>were</w:t>
      </w:r>
      <w:r>
        <w:rPr>
          <w:rFonts w:ascii="Arial" w:eastAsiaTheme="minorEastAsia" w:hAnsi="Arial" w:cs="Arial"/>
          <w:sz w:val="22"/>
          <w:szCs w:val="22"/>
        </w:rPr>
        <w:t xml:space="preserve"> performed by</w:t>
      </w:r>
      <w:r w:rsidRPr="00913F31">
        <w:rPr>
          <w:rFonts w:ascii="Arial" w:eastAsiaTheme="minorEastAsia" w:hAnsi="Arial" w:cs="Arial"/>
          <w:sz w:val="22"/>
          <w:szCs w:val="22"/>
        </w:rPr>
        <w:t xml:space="preserve"> </w:t>
      </w:r>
      <w:r>
        <w:rPr>
          <w:rFonts w:ascii="Arial" w:eastAsiaTheme="minorEastAsia" w:hAnsi="Arial" w:cs="Arial"/>
          <w:sz w:val="22"/>
          <w:szCs w:val="22"/>
        </w:rPr>
        <w:t xml:space="preserve">the </w:t>
      </w:r>
      <w:r w:rsidRPr="00913F31">
        <w:rPr>
          <w:rFonts w:ascii="Arial" w:eastAsiaTheme="minorEastAsia" w:hAnsi="Arial" w:cs="Arial"/>
          <w:sz w:val="22"/>
          <w:szCs w:val="22"/>
        </w:rPr>
        <w:t xml:space="preserve">unpaired t-test for normally distributed data </w:t>
      </w:r>
      <w:r>
        <w:rPr>
          <w:rFonts w:ascii="Arial" w:eastAsiaTheme="minorEastAsia" w:hAnsi="Arial" w:cs="Arial"/>
          <w:sz w:val="22"/>
          <w:szCs w:val="22"/>
        </w:rPr>
        <w:t xml:space="preserve">and </w:t>
      </w:r>
      <w:r w:rsidRPr="00913F31">
        <w:rPr>
          <w:rFonts w:ascii="Arial" w:eastAsiaTheme="minorEastAsia" w:hAnsi="Arial" w:cs="Arial"/>
          <w:sz w:val="22"/>
          <w:szCs w:val="22"/>
        </w:rPr>
        <w:t>the Wilcoxon rank-sum test for non-normally distributed data</w:t>
      </w:r>
      <w:r>
        <w:rPr>
          <w:rFonts w:ascii="Arial" w:eastAsiaTheme="minorEastAsia" w:hAnsi="Arial" w:cs="Arial"/>
          <w:sz w:val="22"/>
          <w:szCs w:val="22"/>
        </w:rPr>
        <w:t xml:space="preserve">. </w:t>
      </w:r>
      <w:r w:rsidR="0061095B">
        <w:rPr>
          <w:rFonts w:ascii="Arial" w:eastAsiaTheme="minorEastAsia" w:hAnsi="Arial" w:cs="Arial"/>
          <w:sz w:val="22"/>
          <w:szCs w:val="22"/>
        </w:rPr>
        <w:t>Paired</w:t>
      </w:r>
      <w:r>
        <w:rPr>
          <w:rFonts w:ascii="Arial" w:eastAsiaTheme="minorEastAsia" w:hAnsi="Arial" w:cs="Arial"/>
          <w:sz w:val="22"/>
          <w:szCs w:val="22"/>
        </w:rPr>
        <w:t xml:space="preserve"> comparisons between placebo and moxonidine effects were analyzed by the paired t-test and the </w:t>
      </w:r>
      <w:r w:rsidRPr="00ED7161">
        <w:rPr>
          <w:rFonts w:ascii="Arial" w:eastAsiaTheme="minorEastAsia" w:hAnsi="Arial" w:cs="Arial"/>
          <w:sz w:val="22"/>
          <w:szCs w:val="22"/>
        </w:rPr>
        <w:t>Wilcoxon signed rank test</w:t>
      </w:r>
      <w:r>
        <w:rPr>
          <w:rFonts w:ascii="Arial" w:eastAsiaTheme="minorEastAsia" w:hAnsi="Arial" w:cs="Arial"/>
          <w:sz w:val="22"/>
          <w:szCs w:val="22"/>
        </w:rPr>
        <w:t xml:space="preserve"> for </w:t>
      </w:r>
      <w:r w:rsidR="00AF20B5">
        <w:rPr>
          <w:rFonts w:ascii="Arial" w:eastAsiaTheme="minorEastAsia" w:hAnsi="Arial" w:cs="Arial"/>
          <w:sz w:val="22"/>
          <w:szCs w:val="22"/>
        </w:rPr>
        <w:t xml:space="preserve">data with </w:t>
      </w:r>
      <w:r>
        <w:rPr>
          <w:rFonts w:ascii="Arial" w:eastAsiaTheme="minorEastAsia" w:hAnsi="Arial" w:cs="Arial"/>
          <w:sz w:val="22"/>
          <w:szCs w:val="22"/>
        </w:rPr>
        <w:t>normal and non-normal distribut</w:t>
      </w:r>
      <w:r w:rsidR="00AF20B5">
        <w:rPr>
          <w:rFonts w:ascii="Arial" w:eastAsiaTheme="minorEastAsia" w:hAnsi="Arial" w:cs="Arial"/>
          <w:sz w:val="22"/>
          <w:szCs w:val="22"/>
        </w:rPr>
        <w:t>ion</w:t>
      </w:r>
      <w:r>
        <w:rPr>
          <w:rFonts w:ascii="Arial" w:eastAsiaTheme="minorEastAsia" w:hAnsi="Arial" w:cs="Arial"/>
          <w:sz w:val="22"/>
          <w:szCs w:val="22"/>
        </w:rPr>
        <w:t>, respectively.</w:t>
      </w:r>
    </w:p>
    <w:p w14:paraId="5398A296" w14:textId="77777777" w:rsidR="001503F4" w:rsidRDefault="001503F4"/>
    <w:p w14:paraId="344FB8A9" w14:textId="1C95714B" w:rsidR="001503F4" w:rsidRPr="001503F4" w:rsidRDefault="001503F4" w:rsidP="001503F4">
      <w:pPr>
        <w:rPr>
          <w:b/>
          <w:bCs/>
        </w:rPr>
      </w:pPr>
      <w:r w:rsidRPr="001503F4">
        <w:rPr>
          <w:b/>
          <w:bCs/>
        </w:rPr>
        <w:t>Results</w:t>
      </w:r>
    </w:p>
    <w:p w14:paraId="716BF2CD" w14:textId="58131C95" w:rsidR="001503F4" w:rsidRPr="00A76F21" w:rsidRDefault="001503F4" w:rsidP="001503F4">
      <w:pPr>
        <w:rPr>
          <w:rFonts w:ascii="Arial" w:hAnsi="Arial" w:cs="Arial"/>
          <w:sz w:val="22"/>
          <w:szCs w:val="22"/>
        </w:rPr>
      </w:pPr>
      <w:r w:rsidRPr="00913F31">
        <w:rPr>
          <w:rFonts w:ascii="Arial" w:hAnsi="Arial" w:cs="Arial"/>
          <w:sz w:val="22"/>
          <w:szCs w:val="22"/>
        </w:rPr>
        <w:tab/>
      </w:r>
      <w:r>
        <w:rPr>
          <w:rFonts w:ascii="Arial" w:hAnsi="Arial" w:cs="Arial"/>
          <w:sz w:val="22"/>
          <w:szCs w:val="22"/>
        </w:rPr>
        <w:t>Fourteen</w:t>
      </w:r>
      <w:r w:rsidRPr="00913F31">
        <w:rPr>
          <w:rFonts w:ascii="Arial" w:hAnsi="Arial" w:cs="Arial"/>
          <w:sz w:val="22"/>
          <w:szCs w:val="22"/>
        </w:rPr>
        <w:t xml:space="preserve"> </w:t>
      </w:r>
      <w:r w:rsidRPr="00191CA3">
        <w:rPr>
          <w:rFonts w:ascii="Arial" w:hAnsi="Arial" w:cs="Arial"/>
          <w:sz w:val="22"/>
          <w:szCs w:val="22"/>
        </w:rPr>
        <w:t xml:space="preserve">patients </w:t>
      </w:r>
      <w:r>
        <w:rPr>
          <w:rFonts w:ascii="Arial" w:hAnsi="Arial" w:cs="Arial"/>
          <w:sz w:val="22"/>
          <w:szCs w:val="22"/>
        </w:rPr>
        <w:t xml:space="preserve">with </w:t>
      </w:r>
      <w:r w:rsidRPr="00913F31">
        <w:rPr>
          <w:rFonts w:ascii="Arial" w:hAnsi="Arial" w:cs="Arial"/>
          <w:sz w:val="22"/>
          <w:szCs w:val="22"/>
        </w:rPr>
        <w:t>POTS</w:t>
      </w:r>
      <w:r>
        <w:rPr>
          <w:rFonts w:ascii="Arial" w:hAnsi="Arial" w:cs="Arial"/>
          <w:sz w:val="22"/>
          <w:szCs w:val="22"/>
        </w:rPr>
        <w:t xml:space="preserve"> </w:t>
      </w:r>
      <w:r w:rsidRPr="00913F31">
        <w:rPr>
          <w:rFonts w:ascii="Arial" w:hAnsi="Arial" w:cs="Arial"/>
          <w:sz w:val="22"/>
          <w:szCs w:val="22"/>
        </w:rPr>
        <w:t xml:space="preserve">completed </w:t>
      </w:r>
      <w:r>
        <w:rPr>
          <w:rFonts w:ascii="Arial" w:hAnsi="Arial" w:cs="Arial"/>
          <w:sz w:val="22"/>
          <w:szCs w:val="22"/>
        </w:rPr>
        <w:t xml:space="preserve">the </w:t>
      </w:r>
      <w:r w:rsidRPr="00913F31">
        <w:rPr>
          <w:rFonts w:ascii="Arial" w:hAnsi="Arial" w:cs="Arial"/>
          <w:sz w:val="22"/>
          <w:szCs w:val="22"/>
        </w:rPr>
        <w:t xml:space="preserve">trial </w:t>
      </w:r>
      <w:r>
        <w:rPr>
          <w:rFonts w:ascii="Arial" w:hAnsi="Arial" w:cs="Arial"/>
          <w:sz w:val="22"/>
          <w:szCs w:val="22"/>
        </w:rPr>
        <w:t xml:space="preserve">with </w:t>
      </w:r>
      <w:r w:rsidRPr="00913F31">
        <w:rPr>
          <w:rFonts w:ascii="Arial" w:hAnsi="Arial" w:cs="Arial"/>
          <w:sz w:val="22"/>
          <w:szCs w:val="22"/>
        </w:rPr>
        <w:t>moxonidine</w:t>
      </w:r>
      <w:r>
        <w:rPr>
          <w:rFonts w:ascii="Arial" w:hAnsi="Arial" w:cs="Arial"/>
          <w:sz w:val="22"/>
          <w:szCs w:val="22"/>
        </w:rPr>
        <w:t xml:space="preserve">, but </w:t>
      </w:r>
      <w:r w:rsidR="003131DE">
        <w:rPr>
          <w:rFonts w:ascii="Arial" w:hAnsi="Arial" w:cs="Arial"/>
          <w:sz w:val="22"/>
          <w:szCs w:val="22"/>
        </w:rPr>
        <w:t>ten</w:t>
      </w:r>
      <w:r>
        <w:rPr>
          <w:rFonts w:ascii="Arial" w:hAnsi="Arial" w:cs="Arial"/>
          <w:sz w:val="22"/>
          <w:szCs w:val="22"/>
        </w:rPr>
        <w:t xml:space="preserve"> of them</w:t>
      </w:r>
      <w:r w:rsidRPr="00913F31">
        <w:rPr>
          <w:rFonts w:ascii="Arial" w:hAnsi="Arial" w:cs="Arial"/>
          <w:sz w:val="22"/>
          <w:szCs w:val="22"/>
        </w:rPr>
        <w:t xml:space="preserve"> </w:t>
      </w:r>
      <w:r>
        <w:rPr>
          <w:rFonts w:ascii="Arial" w:hAnsi="Arial" w:cs="Arial"/>
          <w:sz w:val="22"/>
          <w:szCs w:val="22"/>
        </w:rPr>
        <w:t xml:space="preserve">had </w:t>
      </w:r>
      <w:bookmarkStart w:id="2" w:name="_Hlk195173873"/>
      <w:r w:rsidRPr="00913F31">
        <w:rPr>
          <w:rFonts w:ascii="Arial" w:hAnsi="Arial" w:cs="Arial"/>
          <w:sz w:val="22"/>
          <w:szCs w:val="22"/>
        </w:rPr>
        <w:t xml:space="preserve">successful </w:t>
      </w:r>
      <w:bookmarkEnd w:id="2"/>
      <w:r>
        <w:rPr>
          <w:rFonts w:ascii="Arial" w:hAnsi="Arial" w:cs="Arial"/>
          <w:sz w:val="22"/>
          <w:szCs w:val="22"/>
        </w:rPr>
        <w:t>microneurography recordings</w:t>
      </w:r>
      <w:r w:rsidRPr="00913F31">
        <w:rPr>
          <w:rFonts w:ascii="Arial" w:hAnsi="Arial" w:cs="Arial"/>
          <w:sz w:val="22"/>
          <w:szCs w:val="22"/>
        </w:rPr>
        <w:t xml:space="preserve"> in both visits</w:t>
      </w:r>
      <w:r>
        <w:rPr>
          <w:rFonts w:ascii="Arial" w:hAnsi="Arial" w:cs="Arial"/>
          <w:sz w:val="22"/>
          <w:szCs w:val="22"/>
        </w:rPr>
        <w:t xml:space="preserve"> (Table A2_1)</w:t>
      </w:r>
      <w:r w:rsidRPr="00913F31">
        <w:rPr>
          <w:rFonts w:ascii="Arial" w:hAnsi="Arial" w:cs="Arial"/>
          <w:sz w:val="22"/>
          <w:szCs w:val="22"/>
        </w:rPr>
        <w:t xml:space="preserve">. </w:t>
      </w:r>
      <w:r>
        <w:rPr>
          <w:rFonts w:ascii="Arial" w:hAnsi="Arial" w:cs="Arial"/>
          <w:sz w:val="22"/>
          <w:szCs w:val="22"/>
        </w:rPr>
        <w:t>Compared to placebo, m</w:t>
      </w:r>
      <w:r w:rsidRPr="00913F31">
        <w:rPr>
          <w:rFonts w:ascii="Arial" w:hAnsi="Arial" w:cs="Arial"/>
          <w:sz w:val="22"/>
          <w:szCs w:val="22"/>
        </w:rPr>
        <w:t xml:space="preserve">oxonidine reduced </w:t>
      </w:r>
      <w:r>
        <w:rPr>
          <w:rFonts w:ascii="Arial" w:hAnsi="Arial" w:cs="Arial"/>
          <w:sz w:val="22"/>
          <w:szCs w:val="22"/>
        </w:rPr>
        <w:t xml:space="preserve">Valsalva baseline </w:t>
      </w:r>
      <w:r w:rsidRPr="00913F31">
        <w:rPr>
          <w:rFonts w:ascii="Arial" w:hAnsi="Arial" w:cs="Arial"/>
          <w:sz w:val="22"/>
          <w:szCs w:val="22"/>
        </w:rPr>
        <w:t>SBP (</w:t>
      </w:r>
      <w:r w:rsidRPr="00913F31">
        <w:rPr>
          <w:rFonts w:ascii="Arial" w:eastAsia="Times New Roman" w:hAnsi="Arial" w:cs="Arial"/>
          <w:kern w:val="0"/>
          <w:sz w:val="22"/>
          <w:szCs w:val="22"/>
          <w14:ligatures w14:val="none"/>
        </w:rPr>
        <w:t xml:space="preserve">110±14 </w:t>
      </w:r>
      <w:r>
        <w:rPr>
          <w:rFonts w:ascii="Arial" w:eastAsia="Times New Roman" w:hAnsi="Arial" w:cs="Arial"/>
          <w:kern w:val="0"/>
          <w:sz w:val="22"/>
          <w:szCs w:val="22"/>
          <w14:ligatures w14:val="none"/>
        </w:rPr>
        <w:t xml:space="preserve">vs. </w:t>
      </w:r>
      <w:r w:rsidRPr="00913F31">
        <w:rPr>
          <w:rFonts w:ascii="Arial" w:eastAsia="Times New Roman" w:hAnsi="Arial" w:cs="Arial"/>
          <w:kern w:val="0"/>
          <w:sz w:val="22"/>
          <w:szCs w:val="22"/>
          <w14:ligatures w14:val="none"/>
        </w:rPr>
        <w:t>104±16 mmHg, p=0.042</w:t>
      </w:r>
      <w:r w:rsidRPr="00913F31">
        <w:rPr>
          <w:rFonts w:ascii="Arial" w:hAnsi="Arial" w:cs="Arial"/>
          <w:sz w:val="22"/>
          <w:szCs w:val="22"/>
        </w:rPr>
        <w:t>) and DBP (</w:t>
      </w:r>
      <w:r w:rsidRPr="00913F31">
        <w:rPr>
          <w:rFonts w:ascii="Arial" w:eastAsia="Times New Roman" w:hAnsi="Arial" w:cs="Arial"/>
          <w:kern w:val="0"/>
          <w:sz w:val="22"/>
          <w:szCs w:val="22"/>
          <w14:ligatures w14:val="none"/>
        </w:rPr>
        <w:t>71±10</w:t>
      </w:r>
      <w:r>
        <w:rPr>
          <w:rFonts w:ascii="Arial" w:eastAsia="Times New Roman" w:hAnsi="Arial" w:cs="Arial"/>
          <w:kern w:val="0"/>
          <w:sz w:val="22"/>
          <w:szCs w:val="22"/>
          <w14:ligatures w14:val="none"/>
        </w:rPr>
        <w:t xml:space="preserve"> vs. </w:t>
      </w:r>
      <w:r w:rsidRPr="00913F31">
        <w:rPr>
          <w:rFonts w:ascii="Arial" w:eastAsia="Times New Roman" w:hAnsi="Arial" w:cs="Arial"/>
          <w:kern w:val="0"/>
          <w:sz w:val="22"/>
          <w:szCs w:val="22"/>
          <w14:ligatures w14:val="none"/>
        </w:rPr>
        <w:t>67±10 mmHg, p=0.036</w:t>
      </w:r>
      <w:r w:rsidRPr="00913F31">
        <w:rPr>
          <w:rFonts w:ascii="Arial" w:hAnsi="Arial" w:cs="Arial"/>
          <w:sz w:val="22"/>
          <w:szCs w:val="22"/>
        </w:rPr>
        <w:t>). However, BP, HR, and MSNA changes during</w:t>
      </w:r>
      <w:r>
        <w:rPr>
          <w:rFonts w:ascii="Arial" w:hAnsi="Arial" w:cs="Arial"/>
          <w:sz w:val="22"/>
          <w:szCs w:val="22"/>
        </w:rPr>
        <w:t xml:space="preserve"> the</w:t>
      </w:r>
      <w:r w:rsidRPr="00913F31">
        <w:rPr>
          <w:rFonts w:ascii="Arial" w:hAnsi="Arial" w:cs="Arial"/>
          <w:sz w:val="22"/>
          <w:szCs w:val="22"/>
        </w:rPr>
        <w:t xml:space="preserve"> Valsalva </w:t>
      </w:r>
      <w:r w:rsidRPr="00A76F21">
        <w:rPr>
          <w:rFonts w:ascii="Arial" w:hAnsi="Arial" w:cs="Arial"/>
          <w:sz w:val="22"/>
          <w:szCs w:val="22"/>
        </w:rPr>
        <w:t>maneuver did not generally differ between treatment groups (Table A2_1).</w:t>
      </w:r>
    </w:p>
    <w:p w14:paraId="554E9749" w14:textId="38DD4636" w:rsidR="001503F4" w:rsidRPr="00A76F21" w:rsidRDefault="001503F4" w:rsidP="001503F4">
      <w:pPr>
        <w:rPr>
          <w:rFonts w:ascii="Arial" w:hAnsi="Arial" w:cs="Arial"/>
          <w:sz w:val="22"/>
          <w:szCs w:val="22"/>
        </w:rPr>
      </w:pPr>
      <w:r w:rsidRPr="00A76F21">
        <w:rPr>
          <w:rFonts w:ascii="Arial" w:hAnsi="Arial" w:cs="Arial"/>
          <w:sz w:val="22"/>
          <w:szCs w:val="22"/>
        </w:rPr>
        <w:tab/>
        <w:t>Four patients with POTS, who had a DBP</w:t>
      </w:r>
      <w:r w:rsidRPr="00A76F21">
        <w:rPr>
          <w:rFonts w:ascii="Arial" w:hAnsi="Arial" w:cs="Arial"/>
          <w:sz w:val="22"/>
          <w:szCs w:val="22"/>
          <w:vertAlign w:val="subscript"/>
        </w:rPr>
        <w:t>VM2l_rise</w:t>
      </w:r>
      <w:r w:rsidRPr="00A76F21">
        <w:rPr>
          <w:rFonts w:ascii="Arial" w:hAnsi="Arial" w:cs="Arial"/>
          <w:sz w:val="22"/>
          <w:szCs w:val="22"/>
        </w:rPr>
        <w:t xml:space="preserve"> ≥ 15 mmHg in the baseline study, completed the moxonidine trial. Compared to placebo, moxonidine in these patients tended to decrease the Valsalva baseline SBP (</w:t>
      </w:r>
      <w:r w:rsidRPr="00A76F21">
        <w:rPr>
          <w:rFonts w:ascii="Arial" w:eastAsia="Times New Roman" w:hAnsi="Arial" w:cs="Arial"/>
          <w:kern w:val="0"/>
          <w:sz w:val="22"/>
          <w:szCs w:val="22"/>
          <w14:ligatures w14:val="none"/>
        </w:rPr>
        <w:t>119±20 vs. 111±21 mmHg, p=0.250</w:t>
      </w:r>
      <w:r w:rsidRPr="00A76F21">
        <w:rPr>
          <w:rFonts w:ascii="Arial" w:hAnsi="Arial" w:cs="Arial"/>
          <w:sz w:val="22"/>
          <w:szCs w:val="22"/>
        </w:rPr>
        <w:t>), DBP</w:t>
      </w:r>
      <w:r w:rsidRPr="00A76F21">
        <w:rPr>
          <w:rFonts w:ascii="Arial" w:hAnsi="Arial" w:cs="Arial"/>
          <w:sz w:val="22"/>
          <w:szCs w:val="22"/>
          <w:vertAlign w:val="subscript"/>
        </w:rPr>
        <w:t xml:space="preserve">VM2l_rise </w:t>
      </w:r>
      <w:r w:rsidRPr="00A76F21">
        <w:rPr>
          <w:rFonts w:ascii="Arial" w:hAnsi="Arial" w:cs="Arial"/>
          <w:sz w:val="22"/>
          <w:szCs w:val="22"/>
        </w:rPr>
        <w:t>(</w:t>
      </w:r>
      <w:r w:rsidRPr="00A76F21">
        <w:rPr>
          <w:rFonts w:ascii="Arial" w:eastAsia="Times New Roman" w:hAnsi="Arial" w:cs="Arial"/>
          <w:kern w:val="0"/>
          <w:sz w:val="22"/>
          <w:szCs w:val="22"/>
          <w14:ligatures w14:val="none"/>
        </w:rPr>
        <w:t>27±12 vs. 18±20 mmHg, p=0.175</w:t>
      </w:r>
      <w:r w:rsidRPr="00A76F21">
        <w:rPr>
          <w:rFonts w:ascii="Arial" w:hAnsi="Arial" w:cs="Arial"/>
          <w:sz w:val="22"/>
          <w:szCs w:val="22"/>
        </w:rPr>
        <w:t>) and the SBP overshoot (</w:t>
      </w:r>
      <w:r w:rsidRPr="00A76F21">
        <w:rPr>
          <w:rFonts w:ascii="Arial" w:eastAsia="Times New Roman" w:hAnsi="Arial" w:cs="Arial"/>
          <w:kern w:val="0"/>
          <w:sz w:val="22"/>
          <w:szCs w:val="22"/>
          <w14:ligatures w14:val="none"/>
        </w:rPr>
        <w:t>35±28 vs. 28±30 mmHg, p=0.683</w:t>
      </w:r>
      <w:r w:rsidRPr="00A76F21">
        <w:rPr>
          <w:rFonts w:ascii="Arial" w:hAnsi="Arial" w:cs="Arial"/>
          <w:sz w:val="22"/>
          <w:szCs w:val="22"/>
        </w:rPr>
        <w:t>), and tended to increase the PRT (</w:t>
      </w:r>
      <w:r w:rsidRPr="00A76F21">
        <w:rPr>
          <w:rFonts w:ascii="Arial" w:eastAsia="Times New Roman" w:hAnsi="Arial" w:cs="Arial"/>
          <w:kern w:val="0"/>
          <w:sz w:val="22"/>
          <w:szCs w:val="22"/>
          <w14:ligatures w14:val="none"/>
        </w:rPr>
        <w:t>3.87±6.57 vs. 9.24±15.90 seconds, p=0.250</w:t>
      </w:r>
      <w:r w:rsidRPr="00A76F21">
        <w:rPr>
          <w:rFonts w:ascii="Arial" w:hAnsi="Arial" w:cs="Arial"/>
          <w:sz w:val="22"/>
          <w:szCs w:val="22"/>
        </w:rPr>
        <w:t>). In general, BP and MSNA (but not HR) during Valsalva tended to be lower in the moxonidine group, but none of the pairwise comparisons were statistically significant (Figure A2_</w:t>
      </w:r>
      <w:r w:rsidR="00754E9C" w:rsidRPr="00A76F21">
        <w:rPr>
          <w:rFonts w:ascii="Arial" w:hAnsi="Arial" w:cs="Arial"/>
          <w:sz w:val="22"/>
          <w:szCs w:val="22"/>
        </w:rPr>
        <w:t>2</w:t>
      </w:r>
      <w:r w:rsidRPr="00A76F21">
        <w:rPr>
          <w:rFonts w:ascii="Arial" w:hAnsi="Arial" w:cs="Arial"/>
          <w:sz w:val="22"/>
          <w:szCs w:val="22"/>
        </w:rPr>
        <w:t xml:space="preserve">). </w:t>
      </w:r>
    </w:p>
    <w:p w14:paraId="430EAC41" w14:textId="2145DA1B" w:rsidR="001503F4" w:rsidRPr="00A76F21" w:rsidRDefault="001503F4" w:rsidP="001503F4">
      <w:pPr>
        <w:ind w:firstLine="720"/>
        <w:rPr>
          <w:rFonts w:ascii="Arial" w:hAnsi="Arial" w:cs="Arial"/>
          <w:sz w:val="22"/>
          <w:szCs w:val="22"/>
        </w:rPr>
      </w:pPr>
      <w:r w:rsidRPr="00A76F21">
        <w:rPr>
          <w:rFonts w:ascii="Arial" w:hAnsi="Arial" w:cs="Arial"/>
          <w:sz w:val="22"/>
          <w:szCs w:val="22"/>
        </w:rPr>
        <w:t>Magnitude of differences when having moxonidine versus placebo (moxonidine</w:t>
      </w:r>
      <w:r w:rsidR="003131DE" w:rsidRPr="00A76F21">
        <w:rPr>
          <w:rFonts w:ascii="Arial" w:hAnsi="Arial" w:cs="Arial"/>
          <w:sz w:val="22"/>
          <w:szCs w:val="22"/>
        </w:rPr>
        <w:t xml:space="preserve"> minus </w:t>
      </w:r>
      <w:r w:rsidRPr="00A76F21">
        <w:rPr>
          <w:rFonts w:ascii="Arial" w:hAnsi="Arial" w:cs="Arial"/>
          <w:sz w:val="22"/>
          <w:szCs w:val="22"/>
        </w:rPr>
        <w:t>placebo) also tend to be larger in the DBP</w:t>
      </w:r>
      <w:r w:rsidRPr="00A76F21">
        <w:rPr>
          <w:rFonts w:ascii="Arial" w:hAnsi="Arial" w:cs="Arial"/>
          <w:sz w:val="22"/>
          <w:szCs w:val="22"/>
          <w:vertAlign w:val="subscript"/>
        </w:rPr>
        <w:t>VM2l_rise</w:t>
      </w:r>
      <w:r w:rsidRPr="00A76F21">
        <w:rPr>
          <w:rFonts w:ascii="Arial" w:hAnsi="Arial" w:cs="Arial"/>
          <w:sz w:val="22"/>
          <w:szCs w:val="22"/>
        </w:rPr>
        <w:t xml:space="preserve"> ≥ 15 group (n=4) than the DBP</w:t>
      </w:r>
      <w:r w:rsidRPr="00A76F21">
        <w:rPr>
          <w:rFonts w:ascii="Arial" w:hAnsi="Arial" w:cs="Arial"/>
          <w:sz w:val="22"/>
          <w:szCs w:val="22"/>
          <w:vertAlign w:val="subscript"/>
        </w:rPr>
        <w:t>VM2l_rise</w:t>
      </w:r>
      <w:r w:rsidRPr="00A76F21">
        <w:rPr>
          <w:rFonts w:ascii="Arial" w:hAnsi="Arial" w:cs="Arial"/>
          <w:sz w:val="22"/>
          <w:szCs w:val="22"/>
        </w:rPr>
        <w:t xml:space="preserve"> &lt; 15 mmHg group (n=10) for most Valsalva parameters including Valsalva baseline SBP (-8</w:t>
      </w:r>
      <w:r w:rsidRPr="00A76F21">
        <w:rPr>
          <w:rFonts w:ascii="Arial" w:eastAsia="Times New Roman" w:hAnsi="Arial" w:cs="Arial"/>
          <w:kern w:val="0"/>
          <w:sz w:val="22"/>
          <w:szCs w:val="22"/>
          <w14:ligatures w14:val="none"/>
        </w:rPr>
        <w:t xml:space="preserve">±12 vs. -5±10 mmHg, p=0.688), </w:t>
      </w:r>
      <w:r w:rsidR="002D3F8A">
        <w:rPr>
          <w:rFonts w:ascii="Arial" w:eastAsia="Times New Roman" w:hAnsi="Arial" w:cs="Arial"/>
          <w:kern w:val="0"/>
          <w:sz w:val="22"/>
          <w:szCs w:val="22"/>
          <w14:ligatures w14:val="none"/>
        </w:rPr>
        <w:t>early phase 2 duration (</w:t>
      </w:r>
      <w:r w:rsidRPr="00A76F21">
        <w:rPr>
          <w:rFonts w:ascii="Arial" w:eastAsia="Times New Roman" w:hAnsi="Arial" w:cs="Arial"/>
          <w:kern w:val="0"/>
          <w:sz w:val="22"/>
          <w:szCs w:val="22"/>
          <w14:ligatures w14:val="none"/>
        </w:rPr>
        <w:t>Duration</w:t>
      </w:r>
      <w:r w:rsidRPr="00A76F21">
        <w:rPr>
          <w:rFonts w:ascii="Arial" w:eastAsia="Times New Roman" w:hAnsi="Arial" w:cs="Arial"/>
          <w:kern w:val="0"/>
          <w:sz w:val="22"/>
          <w:szCs w:val="22"/>
          <w:vertAlign w:val="subscript"/>
          <w14:ligatures w14:val="none"/>
        </w:rPr>
        <w:t>VM2e</w:t>
      </w:r>
      <w:r w:rsidR="002D3F8A">
        <w:rPr>
          <w:rFonts w:ascii="Arial" w:hAnsi="Arial" w:cs="Arial"/>
          <w:sz w:val="22"/>
          <w:szCs w:val="22"/>
        </w:rPr>
        <w:t xml:space="preserve">, </w:t>
      </w:r>
      <w:r w:rsidRPr="00A76F21">
        <w:rPr>
          <w:rFonts w:ascii="Arial" w:hAnsi="Arial" w:cs="Arial"/>
          <w:sz w:val="22"/>
          <w:szCs w:val="22"/>
        </w:rPr>
        <w:t>3.02</w:t>
      </w:r>
      <w:r w:rsidRPr="00A76F21">
        <w:rPr>
          <w:rFonts w:ascii="Arial" w:eastAsia="Times New Roman" w:hAnsi="Arial" w:cs="Arial"/>
          <w:kern w:val="0"/>
          <w:sz w:val="22"/>
          <w:szCs w:val="22"/>
          <w14:ligatures w14:val="none"/>
        </w:rPr>
        <w:t xml:space="preserve">±2.58 vs. -0.52±1.29 s, p=0.004), and </w:t>
      </w:r>
      <w:r w:rsidR="002D3F8A">
        <w:rPr>
          <w:rFonts w:ascii="Arial" w:eastAsia="Times New Roman" w:hAnsi="Arial" w:cs="Arial"/>
          <w:kern w:val="0"/>
          <w:sz w:val="22"/>
          <w:szCs w:val="22"/>
          <w14:ligatures w14:val="none"/>
        </w:rPr>
        <w:t>pressure recovery time (</w:t>
      </w:r>
      <w:r w:rsidRPr="00A76F21">
        <w:rPr>
          <w:rFonts w:ascii="Arial" w:eastAsia="Times New Roman" w:hAnsi="Arial" w:cs="Arial"/>
          <w:kern w:val="0"/>
          <w:sz w:val="22"/>
          <w:szCs w:val="22"/>
          <w14:ligatures w14:val="none"/>
        </w:rPr>
        <w:t>PRT</w:t>
      </w:r>
      <w:r w:rsidR="002D3F8A">
        <w:rPr>
          <w:rFonts w:ascii="Arial" w:eastAsia="Times New Roman" w:hAnsi="Arial" w:cs="Arial"/>
          <w:kern w:val="0"/>
          <w:sz w:val="22"/>
          <w:szCs w:val="22"/>
          <w14:ligatures w14:val="none"/>
        </w:rPr>
        <w:t xml:space="preserve">, </w:t>
      </w:r>
      <w:r w:rsidRPr="00A76F21">
        <w:rPr>
          <w:rFonts w:ascii="Arial" w:eastAsia="Times New Roman" w:hAnsi="Arial" w:cs="Arial"/>
          <w:kern w:val="0"/>
          <w:sz w:val="22"/>
          <w:szCs w:val="22"/>
          <w14:ligatures w14:val="none"/>
        </w:rPr>
        <w:t xml:space="preserve">5.37±9.34 vs. 0.40±0.36 s, p=0.188). The </w:t>
      </w:r>
      <w:r w:rsidRPr="00A76F21">
        <w:rPr>
          <w:rFonts w:ascii="Arial" w:hAnsi="Arial" w:cs="Arial"/>
          <w:sz w:val="22"/>
          <w:szCs w:val="22"/>
        </w:rPr>
        <w:t>DBP</w:t>
      </w:r>
      <w:r w:rsidRPr="00A76F21">
        <w:rPr>
          <w:rFonts w:ascii="Arial" w:hAnsi="Arial" w:cs="Arial"/>
          <w:sz w:val="22"/>
          <w:szCs w:val="22"/>
          <w:vertAlign w:val="subscript"/>
        </w:rPr>
        <w:t xml:space="preserve">VM2l_rise </w:t>
      </w:r>
      <w:r w:rsidRPr="00A76F21">
        <w:rPr>
          <w:rFonts w:ascii="Arial" w:hAnsi="Arial" w:cs="Arial"/>
          <w:sz w:val="22"/>
          <w:szCs w:val="22"/>
        </w:rPr>
        <w:t>suppressed by moxonidine seemed to be pronounced in the hyperadrenergic POTS than the other group as shown in both absolute value changes (-9±11 vs 1±8 mmHg, p=0.060) and area under the curve changes (-37.46±55.04 vs 2.71±28.26 mmHg</w:t>
      </w:r>
      <w:r w:rsidRPr="00A76F21">
        <w:rPr>
          <w:rFonts w:ascii="Arial" w:eastAsiaTheme="minorEastAsia" w:hAnsi="Arial" w:cs="Arial"/>
          <w:sz w:val="22"/>
          <w:szCs w:val="22"/>
        </w:rPr>
        <w:t>∙</w:t>
      </w:r>
      <w:r w:rsidRPr="00A76F21">
        <w:rPr>
          <w:rFonts w:ascii="Arial" w:hAnsi="Arial" w:cs="Arial"/>
          <w:sz w:val="22"/>
          <w:szCs w:val="22"/>
        </w:rPr>
        <w:t>s, p=0.090, Figure A2_</w:t>
      </w:r>
      <w:r w:rsidR="00754E9C" w:rsidRPr="00A76F21">
        <w:rPr>
          <w:rFonts w:ascii="Arial" w:hAnsi="Arial" w:cs="Arial"/>
          <w:sz w:val="22"/>
          <w:szCs w:val="22"/>
        </w:rPr>
        <w:t>3</w:t>
      </w:r>
      <w:r w:rsidRPr="00A76F21">
        <w:rPr>
          <w:rFonts w:ascii="Arial" w:hAnsi="Arial" w:cs="Arial"/>
          <w:sz w:val="22"/>
          <w:szCs w:val="22"/>
        </w:rPr>
        <w:t>).</w:t>
      </w:r>
    </w:p>
    <w:p w14:paraId="24F30033" w14:textId="77777777" w:rsidR="001503F4" w:rsidRPr="00913F31" w:rsidRDefault="001503F4" w:rsidP="001503F4">
      <w:pPr>
        <w:rPr>
          <w:rFonts w:ascii="Arial" w:hAnsi="Arial" w:cs="Arial"/>
          <w:sz w:val="22"/>
          <w:szCs w:val="22"/>
        </w:rPr>
      </w:pPr>
      <w:r w:rsidRPr="00913F31">
        <w:rPr>
          <w:rFonts w:ascii="Arial" w:hAnsi="Arial" w:cs="Arial"/>
          <w:b/>
          <w:bCs/>
          <w:noProof/>
          <w:sz w:val="22"/>
          <w:szCs w:val="22"/>
        </w:rPr>
        <w:lastRenderedPageBreak/>
        <mc:AlternateContent>
          <mc:Choice Requires="wps">
            <w:drawing>
              <wp:inline distT="0" distB="0" distL="0" distR="0" wp14:anchorId="1F1EB8C2" wp14:editId="1873EBC0">
                <wp:extent cx="6257677" cy="4930445"/>
                <wp:effectExtent l="0" t="0" r="10160" b="22860"/>
                <wp:docPr id="18372791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57677" cy="4930445"/>
                        </a:xfrm>
                        <a:prstGeom prst="rect">
                          <a:avLst/>
                        </a:prstGeom>
                        <a:solidFill>
                          <a:srgbClr val="FFFFFF"/>
                        </a:solidFill>
                        <a:ln w="9525">
                          <a:solidFill>
                            <a:srgbClr val="000000"/>
                          </a:solidFill>
                          <a:miter lim="800000"/>
                          <a:headEnd/>
                          <a:tailEnd/>
                        </a:ln>
                      </wps:spPr>
                      <wps:txbx>
                        <w:txbxContent>
                          <w:p w14:paraId="42B4B49D" w14:textId="062937F4" w:rsidR="001503F4" w:rsidRDefault="00231799" w:rsidP="001503F4">
                            <w:pPr>
                              <w:keepNext/>
                            </w:pPr>
                            <w:r>
                              <w:rPr>
                                <w:noProof/>
                              </w:rPr>
                              <w:drawing>
                                <wp:inline distT="0" distB="0" distL="0" distR="0" wp14:anchorId="71C55D14" wp14:editId="5124A70B">
                                  <wp:extent cx="6057265" cy="3474720"/>
                                  <wp:effectExtent l="0" t="0" r="635" b="0"/>
                                  <wp:docPr id="127687799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057265" cy="3474720"/>
                                          </a:xfrm>
                                          <a:prstGeom prst="rect">
                                            <a:avLst/>
                                          </a:prstGeom>
                                          <a:noFill/>
                                          <a:ln>
                                            <a:noFill/>
                                          </a:ln>
                                        </pic:spPr>
                                      </pic:pic>
                                    </a:graphicData>
                                  </a:graphic>
                                </wp:inline>
                              </w:drawing>
                            </w:r>
                          </w:p>
                          <w:p w14:paraId="2981D463" w14:textId="6A22ED45" w:rsidR="001503F4" w:rsidRPr="001608A8" w:rsidRDefault="001503F4" w:rsidP="001503F4">
                            <w:pPr>
                              <w:pStyle w:val="Caption"/>
                              <w:rPr>
                                <w:rFonts w:ascii="Arial" w:hAnsi="Arial" w:cs="Arial"/>
                                <w:i w:val="0"/>
                                <w:iCs w:val="0"/>
                                <w:color w:val="auto"/>
                                <w:sz w:val="22"/>
                                <w:szCs w:val="22"/>
                              </w:rPr>
                            </w:pPr>
                            <w:bookmarkStart w:id="3" w:name="_Ref190769771"/>
                            <w:r w:rsidRPr="001608A8">
                              <w:rPr>
                                <w:rFonts w:ascii="Arial" w:hAnsi="Arial" w:cs="Arial"/>
                                <w:b/>
                                <w:bCs/>
                                <w:i w:val="0"/>
                                <w:iCs w:val="0"/>
                                <w:color w:val="auto"/>
                                <w:sz w:val="22"/>
                                <w:szCs w:val="22"/>
                              </w:rPr>
                              <w:t>Figure</w:t>
                            </w:r>
                            <w:bookmarkEnd w:id="3"/>
                            <w:r>
                              <w:rPr>
                                <w:rFonts w:ascii="Arial" w:hAnsi="Arial" w:cs="Arial"/>
                                <w:b/>
                                <w:bCs/>
                                <w:i w:val="0"/>
                                <w:iCs w:val="0"/>
                                <w:color w:val="auto"/>
                                <w:sz w:val="22"/>
                                <w:szCs w:val="22"/>
                              </w:rPr>
                              <w:t xml:space="preserve"> A2_</w:t>
                            </w:r>
                            <w:r w:rsidR="00754E9C">
                              <w:rPr>
                                <w:rFonts w:ascii="Arial" w:hAnsi="Arial" w:cs="Arial"/>
                                <w:b/>
                                <w:bCs/>
                                <w:i w:val="0"/>
                                <w:iCs w:val="0"/>
                                <w:color w:val="auto"/>
                                <w:sz w:val="22"/>
                                <w:szCs w:val="22"/>
                              </w:rPr>
                              <w:t>2</w:t>
                            </w:r>
                            <w:r w:rsidRPr="001608A8">
                              <w:rPr>
                                <w:rFonts w:ascii="Arial" w:hAnsi="Arial" w:cs="Arial"/>
                                <w:i w:val="0"/>
                                <w:iCs w:val="0"/>
                                <w:color w:val="auto"/>
                                <w:sz w:val="22"/>
                                <w:szCs w:val="22"/>
                              </w:rPr>
                              <w:t xml:space="preserve"> Overlay plots of heart rate (</w:t>
                            </w:r>
                            <w:r w:rsidR="00A801B6">
                              <w:rPr>
                                <w:rFonts w:ascii="Arial" w:hAnsi="Arial" w:cs="Arial"/>
                                <w:i w:val="0"/>
                                <w:iCs w:val="0"/>
                                <w:color w:val="auto"/>
                                <w:sz w:val="22"/>
                                <w:szCs w:val="22"/>
                              </w:rPr>
                              <w:t xml:space="preserve">HR, </w:t>
                            </w:r>
                            <w:r w:rsidRPr="001608A8">
                              <w:rPr>
                                <w:rFonts w:ascii="Arial" w:hAnsi="Arial" w:cs="Arial"/>
                                <w:i w:val="0"/>
                                <w:iCs w:val="0"/>
                                <w:color w:val="auto"/>
                                <w:sz w:val="22"/>
                                <w:szCs w:val="22"/>
                              </w:rPr>
                              <w:t xml:space="preserve">top, n=4), </w:t>
                            </w:r>
                            <w:r w:rsidR="00A801B6">
                              <w:rPr>
                                <w:rFonts w:ascii="Arial" w:hAnsi="Arial" w:cs="Arial"/>
                                <w:i w:val="0"/>
                                <w:iCs w:val="0"/>
                                <w:color w:val="auto"/>
                                <w:sz w:val="22"/>
                                <w:szCs w:val="22"/>
                              </w:rPr>
                              <w:t xml:space="preserve">finger </w:t>
                            </w:r>
                            <w:r w:rsidRPr="001608A8">
                              <w:rPr>
                                <w:rFonts w:ascii="Arial" w:hAnsi="Arial" w:cs="Arial"/>
                                <w:i w:val="0"/>
                                <w:iCs w:val="0"/>
                                <w:color w:val="auto"/>
                                <w:sz w:val="22"/>
                                <w:szCs w:val="22"/>
                              </w:rPr>
                              <w:t>blood pressure (</w:t>
                            </w:r>
                            <w:r w:rsidR="00A801B6">
                              <w:rPr>
                                <w:rFonts w:ascii="Arial" w:hAnsi="Arial" w:cs="Arial"/>
                                <w:i w:val="0"/>
                                <w:iCs w:val="0"/>
                                <w:color w:val="auto"/>
                                <w:sz w:val="22"/>
                                <w:szCs w:val="22"/>
                              </w:rPr>
                              <w:t xml:space="preserve">FBP, </w:t>
                            </w:r>
                            <w:r w:rsidRPr="001608A8">
                              <w:rPr>
                                <w:rFonts w:ascii="Arial" w:hAnsi="Arial" w:cs="Arial"/>
                                <w:i w:val="0"/>
                                <w:iCs w:val="0"/>
                                <w:color w:val="auto"/>
                                <w:sz w:val="22"/>
                                <w:szCs w:val="22"/>
                              </w:rPr>
                              <w:t>middle, n=4)</w:t>
                            </w:r>
                            <w:r w:rsidR="00A801B6">
                              <w:rPr>
                                <w:rFonts w:ascii="Arial" w:hAnsi="Arial" w:cs="Arial"/>
                                <w:i w:val="0"/>
                                <w:iCs w:val="0"/>
                                <w:color w:val="auto"/>
                                <w:sz w:val="22"/>
                                <w:szCs w:val="22"/>
                              </w:rPr>
                              <w:t xml:space="preserve"> where upper line represents systolic blood pressure and lower line represent diastolic blood pressure</w:t>
                            </w:r>
                            <w:r w:rsidRPr="001608A8">
                              <w:rPr>
                                <w:rFonts w:ascii="Arial" w:hAnsi="Arial" w:cs="Arial"/>
                                <w:i w:val="0"/>
                                <w:iCs w:val="0"/>
                                <w:color w:val="auto"/>
                                <w:sz w:val="22"/>
                                <w:szCs w:val="22"/>
                              </w:rPr>
                              <w:t>, and MSNA spike rate (bottom, n=3) changes during Valsalva maneuver in possible hyperadrenergic POTS having placebo (blue) and moxonidine (red). Light lines represent individual responses. Dark lines represent average responses. The Valsalva straining begins at time 0 s and last for 15 s</w:t>
                            </w:r>
                            <w:r>
                              <w:rPr>
                                <w:rFonts w:ascii="Arial" w:hAnsi="Arial" w:cs="Arial"/>
                                <w:i w:val="0"/>
                                <w:iCs w:val="0"/>
                                <w:color w:val="auto"/>
                                <w:sz w:val="22"/>
                                <w:szCs w:val="22"/>
                              </w:rPr>
                              <w:t xml:space="preserve"> (gray area)</w:t>
                            </w:r>
                            <w:r w:rsidRPr="001608A8">
                              <w:rPr>
                                <w:rFonts w:ascii="Arial" w:hAnsi="Arial" w:cs="Arial"/>
                                <w:i w:val="0"/>
                                <w:iCs w:val="0"/>
                                <w:color w:val="auto"/>
                                <w:sz w:val="22"/>
                                <w:szCs w:val="22"/>
                              </w:rPr>
                              <w:t>.</w:t>
                            </w:r>
                          </w:p>
                          <w:p w14:paraId="74BD9C46" w14:textId="77777777" w:rsidR="001503F4" w:rsidRDefault="001503F4" w:rsidP="001503F4">
                            <w:pPr>
                              <w:keepNext/>
                            </w:pPr>
                          </w:p>
                        </w:txbxContent>
                      </wps:txbx>
                      <wps:bodyPr rot="0" vert="horz" wrap="square" lIns="91440" tIns="45720" rIns="91440" bIns="45720" anchor="t" anchorCtr="0">
                        <a:noAutofit/>
                      </wps:bodyPr>
                    </wps:wsp>
                  </a:graphicData>
                </a:graphic>
              </wp:inline>
            </w:drawing>
          </mc:Choice>
          <mc:Fallback>
            <w:pict>
              <v:shape w14:anchorId="1F1EB8C2" id="_x0000_s1027" type="#_x0000_t202" style="width:492.75pt;height:388.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">
                <v:textbox>
                  <w:txbxContent>
                    <w:p w14:paraId="42B4B49D" w14:textId="062937F4" w:rsidR="001503F4" w:rsidRDefault="00231799" w:rsidP="001503F4">
                      <w:pPr>
                        <w:keepNext/>
                      </w:pPr>
                      <w:r>
                        <w:rPr>
                          <w:noProof/>
                        </w:rPr>
                        <w:drawing>
                          <wp:inline distT="0" distB="0" distL="0" distR="0" wp14:anchorId="71C55D14" wp14:editId="5124A70B">
                            <wp:extent cx="6057265" cy="3474720"/>
                            <wp:effectExtent l="0" t="0" r="635" b="0"/>
                            <wp:docPr id="127687799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057265" cy="3474720"/>
                                    </a:xfrm>
                                    <a:prstGeom prst="rect">
                                      <a:avLst/>
                                    </a:prstGeom>
                                    <a:noFill/>
                                    <a:ln>
                                      <a:noFill/>
                                    </a:ln>
                                  </pic:spPr>
                                </pic:pic>
                              </a:graphicData>
                            </a:graphic>
                          </wp:inline>
                        </w:drawing>
                      </w:r>
                    </w:p>
                    <w:p w14:paraId="2981D463" w14:textId="6A22ED45" w:rsidR="001503F4" w:rsidRPr="001608A8" w:rsidRDefault="001503F4" w:rsidP="001503F4">
                      <w:pPr>
                        <w:pStyle w:val="Caption"/>
                        <w:rPr>
                          <w:rFonts w:ascii="Arial" w:hAnsi="Arial" w:cs="Arial"/>
                          <w:i w:val="0"/>
                          <w:iCs w:val="0"/>
                          <w:color w:val="auto"/>
                          <w:sz w:val="22"/>
                          <w:szCs w:val="22"/>
                        </w:rPr>
                      </w:pPr>
                      <w:bookmarkStart w:id="4" w:name="_Ref190769771"/>
                      <w:r w:rsidRPr="001608A8">
                        <w:rPr>
                          <w:rFonts w:ascii="Arial" w:hAnsi="Arial" w:cs="Arial"/>
                          <w:b/>
                          <w:bCs/>
                          <w:i w:val="0"/>
                          <w:iCs w:val="0"/>
                          <w:color w:val="auto"/>
                          <w:sz w:val="22"/>
                          <w:szCs w:val="22"/>
                        </w:rPr>
                        <w:t>Figure</w:t>
                      </w:r>
                      <w:bookmarkEnd w:id="4"/>
                      <w:r>
                        <w:rPr>
                          <w:rFonts w:ascii="Arial" w:hAnsi="Arial" w:cs="Arial"/>
                          <w:b/>
                          <w:bCs/>
                          <w:i w:val="0"/>
                          <w:iCs w:val="0"/>
                          <w:color w:val="auto"/>
                          <w:sz w:val="22"/>
                          <w:szCs w:val="22"/>
                        </w:rPr>
                        <w:t xml:space="preserve"> A2_</w:t>
                      </w:r>
                      <w:r w:rsidR="00754E9C">
                        <w:rPr>
                          <w:rFonts w:ascii="Arial" w:hAnsi="Arial" w:cs="Arial"/>
                          <w:b/>
                          <w:bCs/>
                          <w:i w:val="0"/>
                          <w:iCs w:val="0"/>
                          <w:color w:val="auto"/>
                          <w:sz w:val="22"/>
                          <w:szCs w:val="22"/>
                        </w:rPr>
                        <w:t>2</w:t>
                      </w:r>
                      <w:r w:rsidRPr="001608A8">
                        <w:rPr>
                          <w:rFonts w:ascii="Arial" w:hAnsi="Arial" w:cs="Arial"/>
                          <w:i w:val="0"/>
                          <w:iCs w:val="0"/>
                          <w:color w:val="auto"/>
                          <w:sz w:val="22"/>
                          <w:szCs w:val="22"/>
                        </w:rPr>
                        <w:t xml:space="preserve"> Overlay plots of heart rate (</w:t>
                      </w:r>
                      <w:r w:rsidR="00A801B6">
                        <w:rPr>
                          <w:rFonts w:ascii="Arial" w:hAnsi="Arial" w:cs="Arial"/>
                          <w:i w:val="0"/>
                          <w:iCs w:val="0"/>
                          <w:color w:val="auto"/>
                          <w:sz w:val="22"/>
                          <w:szCs w:val="22"/>
                        </w:rPr>
                        <w:t xml:space="preserve">HR, </w:t>
                      </w:r>
                      <w:r w:rsidRPr="001608A8">
                        <w:rPr>
                          <w:rFonts w:ascii="Arial" w:hAnsi="Arial" w:cs="Arial"/>
                          <w:i w:val="0"/>
                          <w:iCs w:val="0"/>
                          <w:color w:val="auto"/>
                          <w:sz w:val="22"/>
                          <w:szCs w:val="22"/>
                        </w:rPr>
                        <w:t xml:space="preserve">top, n=4), </w:t>
                      </w:r>
                      <w:r w:rsidR="00A801B6">
                        <w:rPr>
                          <w:rFonts w:ascii="Arial" w:hAnsi="Arial" w:cs="Arial"/>
                          <w:i w:val="0"/>
                          <w:iCs w:val="0"/>
                          <w:color w:val="auto"/>
                          <w:sz w:val="22"/>
                          <w:szCs w:val="22"/>
                        </w:rPr>
                        <w:t xml:space="preserve">finger </w:t>
                      </w:r>
                      <w:r w:rsidRPr="001608A8">
                        <w:rPr>
                          <w:rFonts w:ascii="Arial" w:hAnsi="Arial" w:cs="Arial"/>
                          <w:i w:val="0"/>
                          <w:iCs w:val="0"/>
                          <w:color w:val="auto"/>
                          <w:sz w:val="22"/>
                          <w:szCs w:val="22"/>
                        </w:rPr>
                        <w:t>blood pressure (</w:t>
                      </w:r>
                      <w:r w:rsidR="00A801B6">
                        <w:rPr>
                          <w:rFonts w:ascii="Arial" w:hAnsi="Arial" w:cs="Arial"/>
                          <w:i w:val="0"/>
                          <w:iCs w:val="0"/>
                          <w:color w:val="auto"/>
                          <w:sz w:val="22"/>
                          <w:szCs w:val="22"/>
                        </w:rPr>
                        <w:t xml:space="preserve">FBP, </w:t>
                      </w:r>
                      <w:r w:rsidRPr="001608A8">
                        <w:rPr>
                          <w:rFonts w:ascii="Arial" w:hAnsi="Arial" w:cs="Arial"/>
                          <w:i w:val="0"/>
                          <w:iCs w:val="0"/>
                          <w:color w:val="auto"/>
                          <w:sz w:val="22"/>
                          <w:szCs w:val="22"/>
                        </w:rPr>
                        <w:t>middle, n=4)</w:t>
                      </w:r>
                      <w:r w:rsidR="00A801B6">
                        <w:rPr>
                          <w:rFonts w:ascii="Arial" w:hAnsi="Arial" w:cs="Arial"/>
                          <w:i w:val="0"/>
                          <w:iCs w:val="0"/>
                          <w:color w:val="auto"/>
                          <w:sz w:val="22"/>
                          <w:szCs w:val="22"/>
                        </w:rPr>
                        <w:t xml:space="preserve"> where upper line represents systolic blood pressure and lower line represent diastolic blood pressure</w:t>
                      </w:r>
                      <w:r w:rsidRPr="001608A8">
                        <w:rPr>
                          <w:rFonts w:ascii="Arial" w:hAnsi="Arial" w:cs="Arial"/>
                          <w:i w:val="0"/>
                          <w:iCs w:val="0"/>
                          <w:color w:val="auto"/>
                          <w:sz w:val="22"/>
                          <w:szCs w:val="22"/>
                        </w:rPr>
                        <w:t>, and MSNA spike rate (bottom, n=3) changes during Valsalva maneuver in possible hyperadrenergic POTS having placebo (blue) and moxonidine (red). Light lines represent individual responses. Dark lines represent average responses. The Valsalva straining begins at time 0 s and last for 15 s</w:t>
                      </w:r>
                      <w:r>
                        <w:rPr>
                          <w:rFonts w:ascii="Arial" w:hAnsi="Arial" w:cs="Arial"/>
                          <w:i w:val="0"/>
                          <w:iCs w:val="0"/>
                          <w:color w:val="auto"/>
                          <w:sz w:val="22"/>
                          <w:szCs w:val="22"/>
                        </w:rPr>
                        <w:t xml:space="preserve"> (gray area)</w:t>
                      </w:r>
                      <w:r w:rsidRPr="001608A8">
                        <w:rPr>
                          <w:rFonts w:ascii="Arial" w:hAnsi="Arial" w:cs="Arial"/>
                          <w:i w:val="0"/>
                          <w:iCs w:val="0"/>
                          <w:color w:val="auto"/>
                          <w:sz w:val="22"/>
                          <w:szCs w:val="22"/>
                        </w:rPr>
                        <w:t>.</w:t>
                      </w:r>
                    </w:p>
                    <w:p w14:paraId="74BD9C46" w14:textId="77777777" w:rsidR="001503F4" w:rsidRDefault="001503F4" w:rsidP="001503F4">
                      <w:pPr>
                        <w:keepNext/>
                      </w:pPr>
                    </w:p>
                  </w:txbxContent>
                </v:textbox>
                <w10:anchorlock/>
              </v:shape>
            </w:pict>
          </mc:Fallback>
        </mc:AlternateContent>
      </w:r>
    </w:p>
    <w:p w14:paraId="195B5C0D" w14:textId="77777777" w:rsidR="001503F4" w:rsidRDefault="001503F4" w:rsidP="001503F4">
      <w:pPr>
        <w:rPr>
          <w:rFonts w:ascii="Arial" w:hAnsi="Arial" w:cs="Arial"/>
          <w:sz w:val="22"/>
          <w:szCs w:val="22"/>
        </w:rPr>
      </w:pPr>
    </w:p>
    <w:p w14:paraId="60E7290D" w14:textId="77777777" w:rsidR="001503F4" w:rsidRPr="00913F31" w:rsidRDefault="001503F4" w:rsidP="001503F4">
      <w:pPr>
        <w:rPr>
          <w:rFonts w:ascii="Arial" w:hAnsi="Arial" w:cs="Arial"/>
          <w:sz w:val="22"/>
          <w:szCs w:val="22"/>
        </w:rPr>
      </w:pPr>
      <w:r w:rsidRPr="00784C5D">
        <w:rPr>
          <w:rFonts w:ascii="Arial" w:hAnsi="Arial" w:cs="Arial"/>
          <w:noProof/>
          <w:sz w:val="22"/>
          <w:szCs w:val="22"/>
        </w:rPr>
        <w:lastRenderedPageBreak/>
        <mc:AlternateContent>
          <mc:Choice Requires="wps">
            <w:drawing>
              <wp:inline distT="0" distB="0" distL="0" distR="0" wp14:anchorId="12DCFC71" wp14:editId="0B6399B0">
                <wp:extent cx="6233160" cy="4404360"/>
                <wp:effectExtent l="0" t="0" r="15240" b="15240"/>
                <wp:docPr id="37003846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33160" cy="4404360"/>
                        </a:xfrm>
                        <a:prstGeom prst="rect">
                          <a:avLst/>
                        </a:prstGeom>
                        <a:solidFill>
                          <a:srgbClr val="FFFFFF"/>
                        </a:solidFill>
                        <a:ln w="9525">
                          <a:solidFill>
                            <a:srgbClr val="000000"/>
                          </a:solidFill>
                          <a:miter lim="800000"/>
                          <a:headEnd/>
                          <a:tailEnd/>
                        </a:ln>
                      </wps:spPr>
                      <wps:txbx>
                        <w:txbxContent>
                          <w:p w14:paraId="08FF5B13" w14:textId="58C92689" w:rsidR="001503F4" w:rsidRDefault="00EB4B11" w:rsidP="001503F4">
                            <w:pPr>
                              <w:keepNext/>
                            </w:pPr>
                            <w:r>
                              <w:rPr>
                                <w:noProof/>
                              </w:rPr>
                              <w:drawing>
                                <wp:inline distT="0" distB="0" distL="0" distR="0" wp14:anchorId="0AA8B170" wp14:editId="6970C26C">
                                  <wp:extent cx="6041390" cy="3004820"/>
                                  <wp:effectExtent l="0" t="0" r="0" b="5080"/>
                                  <wp:docPr id="558685997" name="Picture 2" descr="A white background with black and re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8685997" name="Picture 2" descr="A white background with black and red lines&#10;&#10;AI-generated content may be incorrect."/>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041390" cy="3004820"/>
                                          </a:xfrm>
                                          <a:prstGeom prst="rect">
                                            <a:avLst/>
                                          </a:prstGeom>
                                          <a:noFill/>
                                          <a:ln>
                                            <a:noFill/>
                                          </a:ln>
                                        </pic:spPr>
                                      </pic:pic>
                                    </a:graphicData>
                                  </a:graphic>
                                </wp:inline>
                              </w:drawing>
                            </w:r>
                          </w:p>
                          <w:p w14:paraId="475592B0" w14:textId="0B959CD1" w:rsidR="001503F4" w:rsidRPr="003131DE" w:rsidRDefault="001503F4" w:rsidP="001503F4">
                            <w:pPr>
                              <w:pStyle w:val="Caption"/>
                              <w:rPr>
                                <w:rFonts w:ascii="Arial" w:hAnsi="Arial" w:cs="Arial"/>
                                <w:i w:val="0"/>
                                <w:iCs w:val="0"/>
                                <w:color w:val="auto"/>
                                <w:sz w:val="22"/>
                                <w:szCs w:val="22"/>
                              </w:rPr>
                            </w:pPr>
                            <w:bookmarkStart w:id="5" w:name="_Ref196921271"/>
                            <w:r w:rsidRPr="003131DE">
                              <w:rPr>
                                <w:rFonts w:ascii="Arial" w:hAnsi="Arial" w:cs="Arial"/>
                                <w:b/>
                                <w:bCs/>
                                <w:i w:val="0"/>
                                <w:iCs w:val="0"/>
                                <w:color w:val="auto"/>
                                <w:sz w:val="22"/>
                                <w:szCs w:val="22"/>
                              </w:rPr>
                              <w:t xml:space="preserve">Figure </w:t>
                            </w:r>
                            <w:bookmarkEnd w:id="5"/>
                            <w:r w:rsidRPr="003131DE">
                              <w:rPr>
                                <w:rFonts w:ascii="Arial" w:hAnsi="Arial" w:cs="Arial"/>
                                <w:b/>
                                <w:bCs/>
                                <w:i w:val="0"/>
                                <w:iCs w:val="0"/>
                                <w:color w:val="auto"/>
                                <w:sz w:val="22"/>
                                <w:szCs w:val="22"/>
                              </w:rPr>
                              <w:t>A2_</w:t>
                            </w:r>
                            <w:r w:rsidR="00754E9C" w:rsidRPr="003131DE">
                              <w:rPr>
                                <w:rFonts w:ascii="Arial" w:hAnsi="Arial" w:cs="Arial"/>
                                <w:b/>
                                <w:bCs/>
                                <w:i w:val="0"/>
                                <w:iCs w:val="0"/>
                                <w:color w:val="auto"/>
                                <w:sz w:val="22"/>
                                <w:szCs w:val="22"/>
                              </w:rPr>
                              <w:t>3</w:t>
                            </w:r>
                            <w:r w:rsidRPr="003131DE">
                              <w:rPr>
                                <w:rFonts w:ascii="Arial" w:hAnsi="Arial" w:cs="Arial"/>
                                <w:i w:val="0"/>
                                <w:iCs w:val="0"/>
                                <w:color w:val="auto"/>
                                <w:sz w:val="22"/>
                                <w:szCs w:val="22"/>
                              </w:rPr>
                              <w:t xml:space="preserve"> Effects of moxonidine on late phase 2 DBP rise (DBP</w:t>
                            </w:r>
                            <w:r w:rsidRPr="003131DE">
                              <w:rPr>
                                <w:rFonts w:ascii="Arial" w:hAnsi="Arial" w:cs="Arial"/>
                                <w:i w:val="0"/>
                                <w:iCs w:val="0"/>
                                <w:color w:val="auto"/>
                                <w:sz w:val="22"/>
                                <w:szCs w:val="22"/>
                                <w:vertAlign w:val="subscript"/>
                              </w:rPr>
                              <w:t>VM2l_rise</w:t>
                            </w:r>
                            <w:r w:rsidRPr="003131DE">
                              <w:rPr>
                                <w:rFonts w:ascii="Arial" w:hAnsi="Arial" w:cs="Arial"/>
                                <w:i w:val="0"/>
                                <w:iCs w:val="0"/>
                                <w:color w:val="auto"/>
                                <w:sz w:val="22"/>
                                <w:szCs w:val="22"/>
                              </w:rPr>
                              <w:t xml:space="preserve">) in </w:t>
                            </w:r>
                            <w:r w:rsidR="00EB4B11">
                              <w:rPr>
                                <w:rFonts w:ascii="Arial" w:hAnsi="Arial" w:cs="Arial"/>
                                <w:i w:val="0"/>
                                <w:iCs w:val="0"/>
                                <w:color w:val="auto"/>
                                <w:sz w:val="22"/>
                                <w:szCs w:val="22"/>
                              </w:rPr>
                              <w:t xml:space="preserve">non-hyperadrenergic </w:t>
                            </w:r>
                            <w:r w:rsidRPr="003131DE">
                              <w:rPr>
                                <w:rFonts w:ascii="Arial" w:hAnsi="Arial" w:cs="Arial"/>
                                <w:i w:val="0"/>
                                <w:iCs w:val="0"/>
                                <w:color w:val="auto"/>
                                <w:sz w:val="22"/>
                                <w:szCs w:val="22"/>
                              </w:rPr>
                              <w:t xml:space="preserve">POTS (n=10) and hyperadrenergic POTS (n=4) when compared to placebo (moxonidine </w:t>
                            </w:r>
                            <w:r w:rsidR="003131DE" w:rsidRPr="003131DE">
                              <w:rPr>
                                <w:rFonts w:ascii="Arial" w:hAnsi="Arial" w:cs="Arial"/>
                                <w:i w:val="0"/>
                                <w:iCs w:val="0"/>
                                <w:color w:val="auto"/>
                                <w:sz w:val="22"/>
                                <w:szCs w:val="22"/>
                              </w:rPr>
                              <w:t>minus</w:t>
                            </w:r>
                            <w:r w:rsidRPr="003131DE">
                              <w:rPr>
                                <w:rFonts w:ascii="Arial" w:hAnsi="Arial" w:cs="Arial"/>
                                <w:i w:val="0"/>
                                <w:iCs w:val="0"/>
                                <w:color w:val="auto"/>
                                <w:sz w:val="22"/>
                                <w:szCs w:val="22"/>
                              </w:rPr>
                              <w:t xml:space="preserve"> placebo). Left: comparison of DBP</w:t>
                            </w:r>
                            <w:r w:rsidRPr="003131DE">
                              <w:rPr>
                                <w:rFonts w:ascii="Arial" w:hAnsi="Arial" w:cs="Arial"/>
                                <w:i w:val="0"/>
                                <w:iCs w:val="0"/>
                                <w:color w:val="auto"/>
                                <w:sz w:val="22"/>
                                <w:szCs w:val="22"/>
                                <w:vertAlign w:val="subscript"/>
                              </w:rPr>
                              <w:t xml:space="preserve">VM2l_rise </w:t>
                            </w:r>
                            <w:r w:rsidRPr="003131DE">
                              <w:rPr>
                                <w:rFonts w:ascii="Arial" w:hAnsi="Arial" w:cs="Arial"/>
                                <w:i w:val="0"/>
                                <w:iCs w:val="0"/>
                                <w:color w:val="auto"/>
                                <w:sz w:val="22"/>
                                <w:szCs w:val="22"/>
                              </w:rPr>
                              <w:t>differences (∆DBP</w:t>
                            </w:r>
                            <w:r w:rsidRPr="003131DE">
                              <w:rPr>
                                <w:rFonts w:ascii="Arial" w:hAnsi="Arial" w:cs="Arial"/>
                                <w:i w:val="0"/>
                                <w:iCs w:val="0"/>
                                <w:color w:val="auto"/>
                                <w:sz w:val="22"/>
                                <w:szCs w:val="22"/>
                                <w:vertAlign w:val="subscript"/>
                              </w:rPr>
                              <w:t>VM2l_rise</w:t>
                            </w:r>
                            <w:r w:rsidRPr="003131DE">
                              <w:rPr>
                                <w:rFonts w:ascii="Arial" w:hAnsi="Arial" w:cs="Arial"/>
                                <w:i w:val="0"/>
                                <w:iCs w:val="0"/>
                                <w:color w:val="auto"/>
                                <w:sz w:val="22"/>
                                <w:szCs w:val="22"/>
                              </w:rPr>
                              <w:t>, p=0.060). Right: comparison of area under the curve of DBP</w:t>
                            </w:r>
                            <w:r w:rsidRPr="003131DE">
                              <w:rPr>
                                <w:rFonts w:ascii="Arial" w:hAnsi="Arial" w:cs="Arial"/>
                                <w:i w:val="0"/>
                                <w:iCs w:val="0"/>
                                <w:color w:val="auto"/>
                                <w:sz w:val="22"/>
                                <w:szCs w:val="22"/>
                                <w:vertAlign w:val="subscript"/>
                              </w:rPr>
                              <w:t xml:space="preserve">VM2l_rise </w:t>
                            </w:r>
                            <w:r w:rsidRPr="003131DE">
                              <w:rPr>
                                <w:rFonts w:ascii="Arial" w:hAnsi="Arial" w:cs="Arial"/>
                                <w:i w:val="0"/>
                                <w:iCs w:val="0"/>
                                <w:color w:val="auto"/>
                                <w:sz w:val="22"/>
                                <w:szCs w:val="22"/>
                              </w:rPr>
                              <w:t>differences (∆AUC DBP</w:t>
                            </w:r>
                            <w:r w:rsidRPr="003131DE">
                              <w:rPr>
                                <w:rFonts w:ascii="Arial" w:hAnsi="Arial" w:cs="Arial"/>
                                <w:i w:val="0"/>
                                <w:iCs w:val="0"/>
                                <w:color w:val="auto"/>
                                <w:sz w:val="22"/>
                                <w:szCs w:val="22"/>
                                <w:vertAlign w:val="subscript"/>
                              </w:rPr>
                              <w:t>VM2l_rise</w:t>
                            </w:r>
                            <w:r w:rsidRPr="003131DE">
                              <w:rPr>
                                <w:rFonts w:ascii="Arial" w:hAnsi="Arial" w:cs="Arial"/>
                                <w:i w:val="0"/>
                                <w:iCs w:val="0"/>
                                <w:color w:val="auto"/>
                                <w:sz w:val="22"/>
                                <w:szCs w:val="22"/>
                              </w:rPr>
                              <w:t>, p=0.090). The box plots represent data between 25</w:t>
                            </w:r>
                            <w:r w:rsidRPr="003131DE">
                              <w:rPr>
                                <w:rFonts w:ascii="Arial" w:hAnsi="Arial" w:cs="Arial"/>
                                <w:i w:val="0"/>
                                <w:iCs w:val="0"/>
                                <w:color w:val="auto"/>
                                <w:sz w:val="22"/>
                                <w:szCs w:val="22"/>
                                <w:vertAlign w:val="superscript"/>
                              </w:rPr>
                              <w:t>th</w:t>
                            </w:r>
                            <w:r w:rsidRPr="003131DE">
                              <w:rPr>
                                <w:rFonts w:ascii="Arial" w:hAnsi="Arial" w:cs="Arial"/>
                                <w:i w:val="0"/>
                                <w:iCs w:val="0"/>
                                <w:color w:val="auto"/>
                                <w:sz w:val="22"/>
                                <w:szCs w:val="22"/>
                              </w:rPr>
                              <w:t xml:space="preserve"> to 75</w:t>
                            </w:r>
                            <w:r w:rsidRPr="003131DE">
                              <w:rPr>
                                <w:rFonts w:ascii="Arial" w:hAnsi="Arial" w:cs="Arial"/>
                                <w:i w:val="0"/>
                                <w:iCs w:val="0"/>
                                <w:color w:val="auto"/>
                                <w:sz w:val="22"/>
                                <w:szCs w:val="22"/>
                                <w:vertAlign w:val="superscript"/>
                              </w:rPr>
                              <w:t>th</w:t>
                            </w:r>
                            <w:r w:rsidRPr="003131DE">
                              <w:rPr>
                                <w:rFonts w:ascii="Arial" w:hAnsi="Arial" w:cs="Arial"/>
                                <w:i w:val="0"/>
                                <w:iCs w:val="0"/>
                                <w:color w:val="auto"/>
                                <w:sz w:val="22"/>
                                <w:szCs w:val="22"/>
                              </w:rPr>
                              <w:t xml:space="preserve"> percentile while the red horizontal line indicates the median. The whiskers extend to the most extreme data points excluding outliers. Outliers are plotted individually using the '+' marker symbol.</w:t>
                            </w:r>
                          </w:p>
                          <w:p w14:paraId="38E938EA" w14:textId="77777777" w:rsidR="001503F4" w:rsidRDefault="001503F4" w:rsidP="001503F4"/>
                        </w:txbxContent>
                      </wps:txbx>
                      <wps:bodyPr rot="0" vert="horz" wrap="square" lIns="91440" tIns="45720" rIns="91440" bIns="45720" anchor="t" anchorCtr="0">
                        <a:noAutofit/>
                      </wps:bodyPr>
                    </wps:wsp>
                  </a:graphicData>
                </a:graphic>
              </wp:inline>
            </w:drawing>
          </mc:Choice>
          <mc:Fallback>
            <w:pict>
              <v:shape w14:anchorId="12DCFC71" id="_x0000_s1028" type="#_x0000_t202" style="width:490.8pt;height:346.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">
                <v:textbox>
                  <w:txbxContent>
                    <w:p w14:paraId="08FF5B13" w14:textId="58C92689" w:rsidR="001503F4" w:rsidRDefault="00EB4B11" w:rsidP="001503F4">
                      <w:pPr>
                        <w:keepNext/>
                      </w:pPr>
                      <w:r>
                        <w:rPr>
                          <w:noProof/>
                        </w:rPr>
                        <w:drawing>
                          <wp:inline distT="0" distB="0" distL="0" distR="0" wp14:anchorId="0AA8B170" wp14:editId="6970C26C">
                            <wp:extent cx="6041390" cy="3004820"/>
                            <wp:effectExtent l="0" t="0" r="0" b="5080"/>
                            <wp:docPr id="558685997" name="Picture 2" descr="A white background with black and re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8685997" name="Picture 2" descr="A white background with black and red lines&#10;&#10;AI-generated content may be incorrect."/>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041390" cy="3004820"/>
                                    </a:xfrm>
                                    <a:prstGeom prst="rect">
                                      <a:avLst/>
                                    </a:prstGeom>
                                    <a:noFill/>
                                    <a:ln>
                                      <a:noFill/>
                                    </a:ln>
                                  </pic:spPr>
                                </pic:pic>
                              </a:graphicData>
                            </a:graphic>
                          </wp:inline>
                        </w:drawing>
                      </w:r>
                    </w:p>
                    <w:p w14:paraId="475592B0" w14:textId="0B959CD1" w:rsidR="001503F4" w:rsidRPr="003131DE" w:rsidRDefault="001503F4" w:rsidP="001503F4">
                      <w:pPr>
                        <w:pStyle w:val="Caption"/>
                        <w:rPr>
                          <w:rFonts w:ascii="Arial" w:hAnsi="Arial" w:cs="Arial"/>
                          <w:i w:val="0"/>
                          <w:iCs w:val="0"/>
                          <w:color w:val="auto"/>
                          <w:sz w:val="22"/>
                          <w:szCs w:val="22"/>
                        </w:rPr>
                      </w:pPr>
                      <w:bookmarkStart w:id="6" w:name="_Ref196921271"/>
                      <w:r w:rsidRPr="003131DE">
                        <w:rPr>
                          <w:rFonts w:ascii="Arial" w:hAnsi="Arial" w:cs="Arial"/>
                          <w:b/>
                          <w:bCs/>
                          <w:i w:val="0"/>
                          <w:iCs w:val="0"/>
                          <w:color w:val="auto"/>
                          <w:sz w:val="22"/>
                          <w:szCs w:val="22"/>
                        </w:rPr>
                        <w:t xml:space="preserve">Figure </w:t>
                      </w:r>
                      <w:bookmarkEnd w:id="6"/>
                      <w:r w:rsidRPr="003131DE">
                        <w:rPr>
                          <w:rFonts w:ascii="Arial" w:hAnsi="Arial" w:cs="Arial"/>
                          <w:b/>
                          <w:bCs/>
                          <w:i w:val="0"/>
                          <w:iCs w:val="0"/>
                          <w:color w:val="auto"/>
                          <w:sz w:val="22"/>
                          <w:szCs w:val="22"/>
                        </w:rPr>
                        <w:t>A2_</w:t>
                      </w:r>
                      <w:r w:rsidR="00754E9C" w:rsidRPr="003131DE">
                        <w:rPr>
                          <w:rFonts w:ascii="Arial" w:hAnsi="Arial" w:cs="Arial"/>
                          <w:b/>
                          <w:bCs/>
                          <w:i w:val="0"/>
                          <w:iCs w:val="0"/>
                          <w:color w:val="auto"/>
                          <w:sz w:val="22"/>
                          <w:szCs w:val="22"/>
                        </w:rPr>
                        <w:t>3</w:t>
                      </w:r>
                      <w:r w:rsidRPr="003131DE">
                        <w:rPr>
                          <w:rFonts w:ascii="Arial" w:hAnsi="Arial" w:cs="Arial"/>
                          <w:i w:val="0"/>
                          <w:iCs w:val="0"/>
                          <w:color w:val="auto"/>
                          <w:sz w:val="22"/>
                          <w:szCs w:val="22"/>
                        </w:rPr>
                        <w:t xml:space="preserve"> Effects of moxonidine on late phase 2 DBP rise (DBP</w:t>
                      </w:r>
                      <w:r w:rsidRPr="003131DE">
                        <w:rPr>
                          <w:rFonts w:ascii="Arial" w:hAnsi="Arial" w:cs="Arial"/>
                          <w:i w:val="0"/>
                          <w:iCs w:val="0"/>
                          <w:color w:val="auto"/>
                          <w:sz w:val="22"/>
                          <w:szCs w:val="22"/>
                          <w:vertAlign w:val="subscript"/>
                        </w:rPr>
                        <w:t>VM2l_rise</w:t>
                      </w:r>
                      <w:r w:rsidRPr="003131DE">
                        <w:rPr>
                          <w:rFonts w:ascii="Arial" w:hAnsi="Arial" w:cs="Arial"/>
                          <w:i w:val="0"/>
                          <w:iCs w:val="0"/>
                          <w:color w:val="auto"/>
                          <w:sz w:val="22"/>
                          <w:szCs w:val="22"/>
                        </w:rPr>
                        <w:t xml:space="preserve">) in </w:t>
                      </w:r>
                      <w:r w:rsidR="00EB4B11">
                        <w:rPr>
                          <w:rFonts w:ascii="Arial" w:hAnsi="Arial" w:cs="Arial"/>
                          <w:i w:val="0"/>
                          <w:iCs w:val="0"/>
                          <w:color w:val="auto"/>
                          <w:sz w:val="22"/>
                          <w:szCs w:val="22"/>
                        </w:rPr>
                        <w:t xml:space="preserve">non-hyperadrenergic </w:t>
                      </w:r>
                      <w:r w:rsidRPr="003131DE">
                        <w:rPr>
                          <w:rFonts w:ascii="Arial" w:hAnsi="Arial" w:cs="Arial"/>
                          <w:i w:val="0"/>
                          <w:iCs w:val="0"/>
                          <w:color w:val="auto"/>
                          <w:sz w:val="22"/>
                          <w:szCs w:val="22"/>
                        </w:rPr>
                        <w:t xml:space="preserve">POTS (n=10) and hyperadrenergic POTS (n=4) when compared to placebo (moxonidine </w:t>
                      </w:r>
                      <w:r w:rsidR="003131DE" w:rsidRPr="003131DE">
                        <w:rPr>
                          <w:rFonts w:ascii="Arial" w:hAnsi="Arial" w:cs="Arial"/>
                          <w:i w:val="0"/>
                          <w:iCs w:val="0"/>
                          <w:color w:val="auto"/>
                          <w:sz w:val="22"/>
                          <w:szCs w:val="22"/>
                        </w:rPr>
                        <w:t>minus</w:t>
                      </w:r>
                      <w:r w:rsidRPr="003131DE">
                        <w:rPr>
                          <w:rFonts w:ascii="Arial" w:hAnsi="Arial" w:cs="Arial"/>
                          <w:i w:val="0"/>
                          <w:iCs w:val="0"/>
                          <w:color w:val="auto"/>
                          <w:sz w:val="22"/>
                          <w:szCs w:val="22"/>
                        </w:rPr>
                        <w:t xml:space="preserve"> placebo). Left: comparison of DBP</w:t>
                      </w:r>
                      <w:r w:rsidRPr="003131DE">
                        <w:rPr>
                          <w:rFonts w:ascii="Arial" w:hAnsi="Arial" w:cs="Arial"/>
                          <w:i w:val="0"/>
                          <w:iCs w:val="0"/>
                          <w:color w:val="auto"/>
                          <w:sz w:val="22"/>
                          <w:szCs w:val="22"/>
                          <w:vertAlign w:val="subscript"/>
                        </w:rPr>
                        <w:t xml:space="preserve">VM2l_rise </w:t>
                      </w:r>
                      <w:r w:rsidRPr="003131DE">
                        <w:rPr>
                          <w:rFonts w:ascii="Arial" w:hAnsi="Arial" w:cs="Arial"/>
                          <w:i w:val="0"/>
                          <w:iCs w:val="0"/>
                          <w:color w:val="auto"/>
                          <w:sz w:val="22"/>
                          <w:szCs w:val="22"/>
                        </w:rPr>
                        <w:t>differences (∆DBP</w:t>
                      </w:r>
                      <w:r w:rsidRPr="003131DE">
                        <w:rPr>
                          <w:rFonts w:ascii="Arial" w:hAnsi="Arial" w:cs="Arial"/>
                          <w:i w:val="0"/>
                          <w:iCs w:val="0"/>
                          <w:color w:val="auto"/>
                          <w:sz w:val="22"/>
                          <w:szCs w:val="22"/>
                          <w:vertAlign w:val="subscript"/>
                        </w:rPr>
                        <w:t>VM2l_rise</w:t>
                      </w:r>
                      <w:r w:rsidRPr="003131DE">
                        <w:rPr>
                          <w:rFonts w:ascii="Arial" w:hAnsi="Arial" w:cs="Arial"/>
                          <w:i w:val="0"/>
                          <w:iCs w:val="0"/>
                          <w:color w:val="auto"/>
                          <w:sz w:val="22"/>
                          <w:szCs w:val="22"/>
                        </w:rPr>
                        <w:t>, p=0.060). Right: comparison of area under the curve of DBP</w:t>
                      </w:r>
                      <w:r w:rsidRPr="003131DE">
                        <w:rPr>
                          <w:rFonts w:ascii="Arial" w:hAnsi="Arial" w:cs="Arial"/>
                          <w:i w:val="0"/>
                          <w:iCs w:val="0"/>
                          <w:color w:val="auto"/>
                          <w:sz w:val="22"/>
                          <w:szCs w:val="22"/>
                          <w:vertAlign w:val="subscript"/>
                        </w:rPr>
                        <w:t xml:space="preserve">VM2l_rise </w:t>
                      </w:r>
                      <w:r w:rsidRPr="003131DE">
                        <w:rPr>
                          <w:rFonts w:ascii="Arial" w:hAnsi="Arial" w:cs="Arial"/>
                          <w:i w:val="0"/>
                          <w:iCs w:val="0"/>
                          <w:color w:val="auto"/>
                          <w:sz w:val="22"/>
                          <w:szCs w:val="22"/>
                        </w:rPr>
                        <w:t>differences (∆AUC DBP</w:t>
                      </w:r>
                      <w:r w:rsidRPr="003131DE">
                        <w:rPr>
                          <w:rFonts w:ascii="Arial" w:hAnsi="Arial" w:cs="Arial"/>
                          <w:i w:val="0"/>
                          <w:iCs w:val="0"/>
                          <w:color w:val="auto"/>
                          <w:sz w:val="22"/>
                          <w:szCs w:val="22"/>
                          <w:vertAlign w:val="subscript"/>
                        </w:rPr>
                        <w:t>VM2l_rise</w:t>
                      </w:r>
                      <w:r w:rsidRPr="003131DE">
                        <w:rPr>
                          <w:rFonts w:ascii="Arial" w:hAnsi="Arial" w:cs="Arial"/>
                          <w:i w:val="0"/>
                          <w:iCs w:val="0"/>
                          <w:color w:val="auto"/>
                          <w:sz w:val="22"/>
                          <w:szCs w:val="22"/>
                        </w:rPr>
                        <w:t>, p=0.090). The box plots represent data between 25</w:t>
                      </w:r>
                      <w:r w:rsidRPr="003131DE">
                        <w:rPr>
                          <w:rFonts w:ascii="Arial" w:hAnsi="Arial" w:cs="Arial"/>
                          <w:i w:val="0"/>
                          <w:iCs w:val="0"/>
                          <w:color w:val="auto"/>
                          <w:sz w:val="22"/>
                          <w:szCs w:val="22"/>
                          <w:vertAlign w:val="superscript"/>
                        </w:rPr>
                        <w:t>th</w:t>
                      </w:r>
                      <w:r w:rsidRPr="003131DE">
                        <w:rPr>
                          <w:rFonts w:ascii="Arial" w:hAnsi="Arial" w:cs="Arial"/>
                          <w:i w:val="0"/>
                          <w:iCs w:val="0"/>
                          <w:color w:val="auto"/>
                          <w:sz w:val="22"/>
                          <w:szCs w:val="22"/>
                        </w:rPr>
                        <w:t xml:space="preserve"> to 75</w:t>
                      </w:r>
                      <w:r w:rsidRPr="003131DE">
                        <w:rPr>
                          <w:rFonts w:ascii="Arial" w:hAnsi="Arial" w:cs="Arial"/>
                          <w:i w:val="0"/>
                          <w:iCs w:val="0"/>
                          <w:color w:val="auto"/>
                          <w:sz w:val="22"/>
                          <w:szCs w:val="22"/>
                          <w:vertAlign w:val="superscript"/>
                        </w:rPr>
                        <w:t>th</w:t>
                      </w:r>
                      <w:r w:rsidRPr="003131DE">
                        <w:rPr>
                          <w:rFonts w:ascii="Arial" w:hAnsi="Arial" w:cs="Arial"/>
                          <w:i w:val="0"/>
                          <w:iCs w:val="0"/>
                          <w:color w:val="auto"/>
                          <w:sz w:val="22"/>
                          <w:szCs w:val="22"/>
                        </w:rPr>
                        <w:t xml:space="preserve"> percentile while the red horizontal line indicates the median. The whiskers extend to the most extreme data points excluding outliers. Outliers are plotted individually using the '+' marker symbol.</w:t>
                      </w:r>
                    </w:p>
                    <w:p w14:paraId="38E938EA" w14:textId="77777777" w:rsidR="001503F4" w:rsidRDefault="001503F4" w:rsidP="001503F4"/>
                  </w:txbxContent>
                </v:textbox>
                <w10:anchorlock/>
              </v:shape>
            </w:pict>
          </mc:Fallback>
        </mc:AlternateContent>
      </w:r>
    </w:p>
    <w:p w14:paraId="3D4CB47B" w14:textId="77777777" w:rsidR="001503F4" w:rsidRDefault="001503F4"/>
    <w:p w14:paraId="0B63A50D" w14:textId="01B81421" w:rsidR="001503F4" w:rsidRPr="00227E64" w:rsidRDefault="001503F4" w:rsidP="001503F4">
      <w:pPr>
        <w:pStyle w:val="Caption"/>
        <w:keepNext/>
        <w:rPr>
          <w:rFonts w:ascii="Arial" w:hAnsi="Arial" w:cs="Arial"/>
          <w:i w:val="0"/>
          <w:iCs w:val="0"/>
          <w:color w:val="auto"/>
          <w:sz w:val="22"/>
          <w:szCs w:val="22"/>
        </w:rPr>
      </w:pPr>
      <w:bookmarkStart w:id="7" w:name="_Ref195523113"/>
      <w:r w:rsidRPr="00227E64">
        <w:rPr>
          <w:rFonts w:ascii="Arial" w:hAnsi="Arial" w:cs="Arial"/>
          <w:b/>
          <w:bCs/>
          <w:i w:val="0"/>
          <w:iCs w:val="0"/>
          <w:color w:val="auto"/>
          <w:sz w:val="22"/>
          <w:szCs w:val="22"/>
        </w:rPr>
        <w:t xml:space="preserve">Table </w:t>
      </w:r>
      <w:bookmarkEnd w:id="7"/>
      <w:r>
        <w:rPr>
          <w:rFonts w:ascii="Arial" w:hAnsi="Arial" w:cs="Arial"/>
          <w:b/>
          <w:bCs/>
          <w:i w:val="0"/>
          <w:iCs w:val="0"/>
          <w:color w:val="auto"/>
          <w:sz w:val="22"/>
          <w:szCs w:val="22"/>
        </w:rPr>
        <w:t>A2_1</w:t>
      </w:r>
      <w:r w:rsidRPr="00227E64">
        <w:rPr>
          <w:rFonts w:ascii="Arial" w:hAnsi="Arial" w:cs="Arial"/>
          <w:i w:val="0"/>
          <w:iCs w:val="0"/>
          <w:color w:val="auto"/>
          <w:sz w:val="22"/>
          <w:szCs w:val="22"/>
        </w:rPr>
        <w:t xml:space="preserve"> Valsalva maneuver responses comparison between POTS having moxonidine versus placebo.</w:t>
      </w:r>
    </w:p>
    <w:tbl>
      <w:tblPr>
        <w:tblStyle w:val="TableGridLight"/>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226"/>
        <w:gridCol w:w="2212"/>
        <w:gridCol w:w="2212"/>
        <w:gridCol w:w="1695"/>
      </w:tblGrid>
      <w:tr w:rsidR="001503F4" w:rsidRPr="00913F31" w14:paraId="5E9B1479" w14:textId="77777777" w:rsidTr="00700912">
        <w:trPr>
          <w:trHeight w:val="518"/>
        </w:trPr>
        <w:tc>
          <w:tcPr>
            <w:tcW w:w="3226" w:type="dxa"/>
            <w:tcBorders>
              <w:top w:val="single" w:sz="4" w:space="0" w:color="auto"/>
              <w:bottom w:val="single" w:sz="4" w:space="0" w:color="auto"/>
            </w:tcBorders>
            <w:vAlign w:val="center"/>
          </w:tcPr>
          <w:p w14:paraId="08BFA2F7" w14:textId="77777777" w:rsidR="001503F4" w:rsidRPr="00913F31" w:rsidRDefault="001503F4" w:rsidP="00700912">
            <w:pPr>
              <w:keepNext/>
              <w:keepLines/>
              <w:spacing w:before="80" w:after="80"/>
              <w:jc w:val="center"/>
              <w:rPr>
                <w:rFonts w:ascii="Arial" w:hAnsi="Arial" w:cs="Arial"/>
                <w:sz w:val="22"/>
                <w:szCs w:val="22"/>
              </w:rPr>
            </w:pPr>
          </w:p>
        </w:tc>
        <w:tc>
          <w:tcPr>
            <w:tcW w:w="2212" w:type="dxa"/>
            <w:tcBorders>
              <w:top w:val="single" w:sz="4" w:space="0" w:color="auto"/>
              <w:bottom w:val="single" w:sz="4" w:space="0" w:color="auto"/>
            </w:tcBorders>
            <w:vAlign w:val="center"/>
          </w:tcPr>
          <w:p w14:paraId="3ADB9CE5" w14:textId="77777777" w:rsidR="001503F4" w:rsidRPr="00913F31" w:rsidRDefault="001503F4" w:rsidP="00700912">
            <w:pPr>
              <w:keepNext/>
              <w:keepLines/>
              <w:spacing w:before="80" w:after="80"/>
              <w:jc w:val="center"/>
              <w:rPr>
                <w:rFonts w:ascii="Arial" w:hAnsi="Arial" w:cs="Arial"/>
                <w:sz w:val="22"/>
                <w:szCs w:val="22"/>
              </w:rPr>
            </w:pPr>
            <w:r w:rsidRPr="00913F31">
              <w:rPr>
                <w:rFonts w:ascii="Arial" w:hAnsi="Arial" w:cs="Arial"/>
                <w:sz w:val="22"/>
                <w:szCs w:val="22"/>
              </w:rPr>
              <w:t>Placebo (n=14)</w:t>
            </w:r>
          </w:p>
          <w:p w14:paraId="161EDBC1" w14:textId="77777777" w:rsidR="001503F4" w:rsidRPr="00756340" w:rsidRDefault="001503F4" w:rsidP="00700912">
            <w:pPr>
              <w:keepNext/>
              <w:keepLines/>
              <w:spacing w:before="80" w:after="80"/>
              <w:jc w:val="center"/>
              <w:rPr>
                <w:rFonts w:ascii="Arial" w:hAnsi="Arial" w:cs="Arial"/>
                <w:sz w:val="16"/>
                <w:szCs w:val="16"/>
              </w:rPr>
            </w:pPr>
            <w:r w:rsidRPr="00756340">
              <w:rPr>
                <w:rFonts w:ascii="Arial" w:hAnsi="Arial" w:cs="Arial"/>
                <w:sz w:val="16"/>
                <w:szCs w:val="16"/>
              </w:rPr>
              <w:t>MSNA related values, n=10</w:t>
            </w:r>
          </w:p>
        </w:tc>
        <w:tc>
          <w:tcPr>
            <w:tcW w:w="2212" w:type="dxa"/>
            <w:tcBorders>
              <w:top w:val="single" w:sz="4" w:space="0" w:color="auto"/>
              <w:bottom w:val="single" w:sz="4" w:space="0" w:color="auto"/>
            </w:tcBorders>
            <w:vAlign w:val="center"/>
          </w:tcPr>
          <w:p w14:paraId="38E1376E" w14:textId="77777777" w:rsidR="001503F4" w:rsidRPr="00913F31" w:rsidRDefault="001503F4" w:rsidP="00700912">
            <w:pPr>
              <w:keepNext/>
              <w:keepLines/>
              <w:spacing w:before="80" w:after="80"/>
              <w:jc w:val="center"/>
              <w:rPr>
                <w:rFonts w:ascii="Arial" w:hAnsi="Arial" w:cs="Arial"/>
                <w:sz w:val="22"/>
                <w:szCs w:val="22"/>
              </w:rPr>
            </w:pPr>
            <w:r w:rsidRPr="00913F31">
              <w:rPr>
                <w:rFonts w:ascii="Arial" w:hAnsi="Arial" w:cs="Arial"/>
                <w:sz w:val="22"/>
                <w:szCs w:val="22"/>
              </w:rPr>
              <w:t>Moxonidine (n=14)</w:t>
            </w:r>
          </w:p>
          <w:p w14:paraId="33185945" w14:textId="77777777" w:rsidR="001503F4" w:rsidRPr="00756340" w:rsidRDefault="001503F4" w:rsidP="00700912">
            <w:pPr>
              <w:keepNext/>
              <w:keepLines/>
              <w:spacing w:before="80" w:after="80"/>
              <w:jc w:val="center"/>
              <w:rPr>
                <w:rFonts w:ascii="Arial" w:hAnsi="Arial" w:cs="Arial"/>
                <w:sz w:val="16"/>
                <w:szCs w:val="16"/>
              </w:rPr>
            </w:pPr>
            <w:r w:rsidRPr="00756340">
              <w:rPr>
                <w:rFonts w:ascii="Arial" w:hAnsi="Arial" w:cs="Arial"/>
                <w:sz w:val="16"/>
                <w:szCs w:val="16"/>
              </w:rPr>
              <w:t>MSNA related values, n=10</w:t>
            </w:r>
          </w:p>
        </w:tc>
        <w:tc>
          <w:tcPr>
            <w:tcW w:w="1695" w:type="dxa"/>
            <w:tcBorders>
              <w:top w:val="single" w:sz="4" w:space="0" w:color="auto"/>
              <w:bottom w:val="single" w:sz="4" w:space="0" w:color="auto"/>
            </w:tcBorders>
            <w:vAlign w:val="center"/>
          </w:tcPr>
          <w:p w14:paraId="48256B88" w14:textId="77777777" w:rsidR="001503F4" w:rsidRPr="00913F31" w:rsidRDefault="001503F4" w:rsidP="00700912">
            <w:pPr>
              <w:keepNext/>
              <w:keepLines/>
              <w:spacing w:before="80" w:after="80"/>
              <w:jc w:val="center"/>
              <w:rPr>
                <w:rFonts w:ascii="Arial" w:hAnsi="Arial" w:cs="Arial"/>
                <w:sz w:val="22"/>
                <w:szCs w:val="22"/>
              </w:rPr>
            </w:pPr>
            <w:r w:rsidRPr="00913F31">
              <w:rPr>
                <w:rFonts w:ascii="Arial" w:hAnsi="Arial" w:cs="Arial"/>
                <w:sz w:val="22"/>
                <w:szCs w:val="22"/>
              </w:rPr>
              <w:t>p-value</w:t>
            </w:r>
          </w:p>
        </w:tc>
      </w:tr>
      <w:tr w:rsidR="001503F4" w:rsidRPr="00913F31" w14:paraId="694965AE" w14:textId="77777777" w:rsidTr="00700912">
        <w:trPr>
          <w:trHeight w:val="518"/>
        </w:trPr>
        <w:tc>
          <w:tcPr>
            <w:tcW w:w="3226" w:type="dxa"/>
            <w:tcBorders>
              <w:top w:val="single" w:sz="4" w:space="0" w:color="auto"/>
            </w:tcBorders>
            <w:vAlign w:val="center"/>
          </w:tcPr>
          <w:p w14:paraId="7E6D5E83" w14:textId="77777777" w:rsidR="001503F4" w:rsidRPr="00913F31" w:rsidRDefault="001503F4" w:rsidP="00700912">
            <w:pPr>
              <w:keepNext/>
              <w:keepLines/>
              <w:spacing w:before="80" w:after="80"/>
              <w:jc w:val="center"/>
              <w:rPr>
                <w:rFonts w:ascii="Arial" w:hAnsi="Arial" w:cs="Arial"/>
                <w:sz w:val="22"/>
                <w:szCs w:val="22"/>
                <w:u w:val="single"/>
              </w:rPr>
            </w:pPr>
            <w:r>
              <w:rPr>
                <w:rFonts w:ascii="Arial" w:hAnsi="Arial" w:cs="Arial"/>
                <w:sz w:val="22"/>
                <w:szCs w:val="22"/>
                <w:u w:val="single"/>
              </w:rPr>
              <w:t xml:space="preserve">Valsalva </w:t>
            </w:r>
            <w:r w:rsidRPr="00913F31">
              <w:rPr>
                <w:rFonts w:ascii="Arial" w:hAnsi="Arial" w:cs="Arial"/>
                <w:sz w:val="22"/>
                <w:szCs w:val="22"/>
                <w:u w:val="single"/>
              </w:rPr>
              <w:t>Baseline</w:t>
            </w:r>
            <w:r>
              <w:rPr>
                <w:rFonts w:ascii="Arial" w:hAnsi="Arial" w:cs="Arial"/>
                <w:sz w:val="22"/>
                <w:szCs w:val="22"/>
                <w:u w:val="single"/>
              </w:rPr>
              <w:t xml:space="preserve"> </w:t>
            </w:r>
          </w:p>
        </w:tc>
        <w:tc>
          <w:tcPr>
            <w:tcW w:w="2212" w:type="dxa"/>
            <w:tcBorders>
              <w:top w:val="single" w:sz="4" w:space="0" w:color="auto"/>
            </w:tcBorders>
            <w:vAlign w:val="center"/>
          </w:tcPr>
          <w:p w14:paraId="44CFD1C2" w14:textId="77777777" w:rsidR="001503F4" w:rsidRPr="00913F31" w:rsidRDefault="001503F4" w:rsidP="00700912">
            <w:pPr>
              <w:keepNext/>
              <w:keepLines/>
              <w:spacing w:before="80" w:after="80"/>
              <w:jc w:val="center"/>
              <w:rPr>
                <w:rFonts w:ascii="Arial" w:hAnsi="Arial" w:cs="Arial"/>
                <w:sz w:val="22"/>
                <w:szCs w:val="22"/>
              </w:rPr>
            </w:pPr>
          </w:p>
        </w:tc>
        <w:tc>
          <w:tcPr>
            <w:tcW w:w="2212" w:type="dxa"/>
            <w:tcBorders>
              <w:top w:val="single" w:sz="4" w:space="0" w:color="auto"/>
            </w:tcBorders>
            <w:vAlign w:val="center"/>
          </w:tcPr>
          <w:p w14:paraId="73AED737" w14:textId="77777777" w:rsidR="001503F4" w:rsidRPr="00913F31" w:rsidRDefault="001503F4" w:rsidP="00700912">
            <w:pPr>
              <w:keepNext/>
              <w:keepLines/>
              <w:spacing w:before="80" w:after="80"/>
              <w:jc w:val="center"/>
              <w:rPr>
                <w:rFonts w:ascii="Arial" w:hAnsi="Arial" w:cs="Arial"/>
                <w:sz w:val="22"/>
                <w:szCs w:val="22"/>
              </w:rPr>
            </w:pPr>
          </w:p>
        </w:tc>
        <w:tc>
          <w:tcPr>
            <w:tcW w:w="1695" w:type="dxa"/>
            <w:tcBorders>
              <w:top w:val="single" w:sz="4" w:space="0" w:color="auto"/>
            </w:tcBorders>
            <w:vAlign w:val="center"/>
          </w:tcPr>
          <w:p w14:paraId="15834DB9" w14:textId="77777777" w:rsidR="001503F4" w:rsidRPr="00913F31" w:rsidRDefault="001503F4" w:rsidP="00700912">
            <w:pPr>
              <w:keepNext/>
              <w:keepLines/>
              <w:spacing w:before="80" w:after="80"/>
              <w:jc w:val="center"/>
              <w:rPr>
                <w:rFonts w:ascii="Arial" w:hAnsi="Arial" w:cs="Arial"/>
                <w:sz w:val="22"/>
                <w:szCs w:val="22"/>
              </w:rPr>
            </w:pPr>
          </w:p>
        </w:tc>
      </w:tr>
      <w:tr w:rsidR="001503F4" w:rsidRPr="00913F31" w14:paraId="48ED9C04" w14:textId="77777777" w:rsidTr="00700912">
        <w:trPr>
          <w:trHeight w:val="518"/>
        </w:trPr>
        <w:tc>
          <w:tcPr>
            <w:tcW w:w="3226" w:type="dxa"/>
            <w:noWrap/>
            <w:vAlign w:val="center"/>
            <w:hideMark/>
          </w:tcPr>
          <w:p w14:paraId="3FCEBC3F" w14:textId="77777777" w:rsidR="001503F4" w:rsidRPr="00913F31" w:rsidRDefault="001503F4" w:rsidP="00700912">
            <w:pP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SBP (mmHg)</w:t>
            </w:r>
          </w:p>
        </w:tc>
        <w:tc>
          <w:tcPr>
            <w:tcW w:w="2212" w:type="dxa"/>
            <w:noWrap/>
            <w:vAlign w:val="center"/>
          </w:tcPr>
          <w:p w14:paraId="79189646" w14:textId="77777777" w:rsidR="001503F4" w:rsidRPr="00913F31" w:rsidRDefault="001503F4" w:rsidP="00700912">
            <w:pPr>
              <w:jc w:val="cente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110±14</w:t>
            </w:r>
          </w:p>
        </w:tc>
        <w:tc>
          <w:tcPr>
            <w:tcW w:w="2212" w:type="dxa"/>
            <w:noWrap/>
            <w:vAlign w:val="center"/>
          </w:tcPr>
          <w:p w14:paraId="3F49F005" w14:textId="77777777" w:rsidR="001503F4" w:rsidRPr="00913F31" w:rsidRDefault="001503F4" w:rsidP="00700912">
            <w:pPr>
              <w:jc w:val="cente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104±16</w:t>
            </w:r>
          </w:p>
        </w:tc>
        <w:tc>
          <w:tcPr>
            <w:tcW w:w="1695" w:type="dxa"/>
            <w:noWrap/>
            <w:vAlign w:val="center"/>
          </w:tcPr>
          <w:p w14:paraId="1289BB92" w14:textId="77777777" w:rsidR="001503F4" w:rsidRPr="00913F31" w:rsidRDefault="001503F4" w:rsidP="00700912">
            <w:pPr>
              <w:jc w:val="cente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0.042</w:t>
            </w:r>
          </w:p>
        </w:tc>
      </w:tr>
      <w:tr w:rsidR="001503F4" w:rsidRPr="00913F31" w14:paraId="302B339E" w14:textId="77777777" w:rsidTr="00700912">
        <w:trPr>
          <w:trHeight w:val="518"/>
        </w:trPr>
        <w:tc>
          <w:tcPr>
            <w:tcW w:w="3226" w:type="dxa"/>
            <w:noWrap/>
            <w:vAlign w:val="center"/>
            <w:hideMark/>
          </w:tcPr>
          <w:p w14:paraId="5E872655" w14:textId="77777777" w:rsidR="001503F4" w:rsidRPr="00913F31" w:rsidRDefault="001503F4" w:rsidP="00700912">
            <w:pP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DBP (mmHg)</w:t>
            </w:r>
          </w:p>
        </w:tc>
        <w:tc>
          <w:tcPr>
            <w:tcW w:w="2212" w:type="dxa"/>
            <w:noWrap/>
            <w:vAlign w:val="center"/>
          </w:tcPr>
          <w:p w14:paraId="01D685C4" w14:textId="77777777" w:rsidR="001503F4" w:rsidRPr="00913F31" w:rsidRDefault="001503F4" w:rsidP="00700912">
            <w:pPr>
              <w:jc w:val="cente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71±10</w:t>
            </w:r>
          </w:p>
        </w:tc>
        <w:tc>
          <w:tcPr>
            <w:tcW w:w="2212" w:type="dxa"/>
            <w:noWrap/>
            <w:vAlign w:val="center"/>
          </w:tcPr>
          <w:p w14:paraId="1DD65F7C" w14:textId="77777777" w:rsidR="001503F4" w:rsidRPr="00913F31" w:rsidRDefault="001503F4" w:rsidP="00700912">
            <w:pPr>
              <w:jc w:val="cente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67±10</w:t>
            </w:r>
          </w:p>
        </w:tc>
        <w:tc>
          <w:tcPr>
            <w:tcW w:w="1695" w:type="dxa"/>
            <w:noWrap/>
            <w:vAlign w:val="center"/>
          </w:tcPr>
          <w:p w14:paraId="4419E321" w14:textId="77777777" w:rsidR="001503F4" w:rsidRPr="00913F31" w:rsidRDefault="001503F4" w:rsidP="00700912">
            <w:pPr>
              <w:jc w:val="cente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0.036</w:t>
            </w:r>
          </w:p>
        </w:tc>
      </w:tr>
      <w:tr w:rsidR="001503F4" w:rsidRPr="00913F31" w14:paraId="117D7544" w14:textId="77777777" w:rsidTr="00700912">
        <w:trPr>
          <w:trHeight w:val="518"/>
        </w:trPr>
        <w:tc>
          <w:tcPr>
            <w:tcW w:w="3226" w:type="dxa"/>
            <w:noWrap/>
            <w:vAlign w:val="center"/>
            <w:hideMark/>
          </w:tcPr>
          <w:p w14:paraId="04680AF2" w14:textId="77777777" w:rsidR="001503F4" w:rsidRPr="00913F31" w:rsidRDefault="001503F4" w:rsidP="00700912">
            <w:pP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HR (beat/min)</w:t>
            </w:r>
          </w:p>
        </w:tc>
        <w:tc>
          <w:tcPr>
            <w:tcW w:w="2212" w:type="dxa"/>
            <w:noWrap/>
            <w:vAlign w:val="center"/>
          </w:tcPr>
          <w:p w14:paraId="26789186" w14:textId="77777777" w:rsidR="001503F4" w:rsidRPr="00913F31" w:rsidRDefault="001503F4" w:rsidP="00700912">
            <w:pPr>
              <w:jc w:val="cente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75±12</w:t>
            </w:r>
          </w:p>
        </w:tc>
        <w:tc>
          <w:tcPr>
            <w:tcW w:w="2212" w:type="dxa"/>
            <w:noWrap/>
            <w:vAlign w:val="center"/>
          </w:tcPr>
          <w:p w14:paraId="7A739093" w14:textId="77777777" w:rsidR="001503F4" w:rsidRPr="00913F31" w:rsidRDefault="001503F4" w:rsidP="00700912">
            <w:pPr>
              <w:jc w:val="cente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78±16</w:t>
            </w:r>
          </w:p>
        </w:tc>
        <w:tc>
          <w:tcPr>
            <w:tcW w:w="1695" w:type="dxa"/>
            <w:noWrap/>
            <w:vAlign w:val="center"/>
          </w:tcPr>
          <w:p w14:paraId="3E7E61DF" w14:textId="77777777" w:rsidR="001503F4" w:rsidRPr="00913F31" w:rsidRDefault="001503F4" w:rsidP="00700912">
            <w:pPr>
              <w:jc w:val="cente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0.078</w:t>
            </w:r>
          </w:p>
        </w:tc>
      </w:tr>
      <w:tr w:rsidR="001503F4" w:rsidRPr="00913F31" w14:paraId="52F95B8B" w14:textId="77777777" w:rsidTr="00700912">
        <w:trPr>
          <w:trHeight w:val="518"/>
        </w:trPr>
        <w:tc>
          <w:tcPr>
            <w:tcW w:w="3226" w:type="dxa"/>
            <w:noWrap/>
            <w:vAlign w:val="center"/>
            <w:hideMark/>
          </w:tcPr>
          <w:p w14:paraId="15086F99" w14:textId="77777777" w:rsidR="001503F4" w:rsidRPr="00913F31" w:rsidRDefault="001503F4" w:rsidP="00700912">
            <w:pP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MSNA spike rate (spike/s)</w:t>
            </w:r>
          </w:p>
        </w:tc>
        <w:tc>
          <w:tcPr>
            <w:tcW w:w="2212" w:type="dxa"/>
            <w:noWrap/>
            <w:vAlign w:val="center"/>
          </w:tcPr>
          <w:p w14:paraId="7FADF567" w14:textId="77777777" w:rsidR="001503F4" w:rsidRPr="00913F31" w:rsidRDefault="001503F4" w:rsidP="00700912">
            <w:pPr>
              <w:jc w:val="cente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13.57±6.49</w:t>
            </w:r>
          </w:p>
        </w:tc>
        <w:tc>
          <w:tcPr>
            <w:tcW w:w="2212" w:type="dxa"/>
            <w:noWrap/>
            <w:vAlign w:val="center"/>
          </w:tcPr>
          <w:p w14:paraId="4FAC72CB" w14:textId="77777777" w:rsidR="001503F4" w:rsidRPr="00913F31" w:rsidRDefault="001503F4" w:rsidP="00700912">
            <w:pPr>
              <w:jc w:val="cente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13.77±6.72</w:t>
            </w:r>
          </w:p>
        </w:tc>
        <w:tc>
          <w:tcPr>
            <w:tcW w:w="1695" w:type="dxa"/>
            <w:noWrap/>
            <w:vAlign w:val="center"/>
          </w:tcPr>
          <w:p w14:paraId="25BCB1AF" w14:textId="77777777" w:rsidR="001503F4" w:rsidRPr="00913F31" w:rsidRDefault="001503F4" w:rsidP="00700912">
            <w:pPr>
              <w:jc w:val="cente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0.849</w:t>
            </w:r>
          </w:p>
        </w:tc>
      </w:tr>
      <w:tr w:rsidR="001503F4" w:rsidRPr="00913F31" w14:paraId="611D1238" w14:textId="77777777" w:rsidTr="00700912">
        <w:trPr>
          <w:trHeight w:val="518"/>
        </w:trPr>
        <w:tc>
          <w:tcPr>
            <w:tcW w:w="3226" w:type="dxa"/>
            <w:noWrap/>
            <w:vAlign w:val="center"/>
          </w:tcPr>
          <w:p w14:paraId="4339BC96" w14:textId="77777777" w:rsidR="001503F4" w:rsidRPr="00913F31" w:rsidRDefault="001503F4" w:rsidP="00700912">
            <w:pPr>
              <w:jc w:val="center"/>
              <w:rPr>
                <w:rFonts w:ascii="Arial" w:eastAsia="Times New Roman" w:hAnsi="Arial" w:cs="Arial"/>
                <w:kern w:val="0"/>
                <w:sz w:val="22"/>
                <w:szCs w:val="22"/>
                <w14:ligatures w14:val="none"/>
              </w:rPr>
            </w:pPr>
            <w:r w:rsidRPr="00913F31">
              <w:rPr>
                <w:rFonts w:ascii="Arial" w:hAnsi="Arial" w:cs="Arial"/>
                <w:sz w:val="22"/>
                <w:szCs w:val="22"/>
                <w:u w:val="single"/>
              </w:rPr>
              <w:t>Phase 2</w:t>
            </w:r>
          </w:p>
        </w:tc>
        <w:tc>
          <w:tcPr>
            <w:tcW w:w="2212" w:type="dxa"/>
            <w:noWrap/>
            <w:vAlign w:val="center"/>
          </w:tcPr>
          <w:p w14:paraId="19049F36" w14:textId="77777777" w:rsidR="001503F4" w:rsidRPr="00913F31" w:rsidRDefault="001503F4" w:rsidP="00700912">
            <w:pPr>
              <w:jc w:val="center"/>
              <w:rPr>
                <w:rFonts w:ascii="Arial" w:eastAsia="Times New Roman" w:hAnsi="Arial" w:cs="Arial"/>
                <w:kern w:val="0"/>
                <w:sz w:val="22"/>
                <w:szCs w:val="22"/>
                <w14:ligatures w14:val="none"/>
              </w:rPr>
            </w:pPr>
          </w:p>
        </w:tc>
        <w:tc>
          <w:tcPr>
            <w:tcW w:w="2212" w:type="dxa"/>
            <w:noWrap/>
            <w:vAlign w:val="center"/>
          </w:tcPr>
          <w:p w14:paraId="615C907D" w14:textId="77777777" w:rsidR="001503F4" w:rsidRPr="00913F31" w:rsidRDefault="001503F4" w:rsidP="00700912">
            <w:pPr>
              <w:jc w:val="center"/>
              <w:rPr>
                <w:rFonts w:ascii="Arial" w:eastAsia="Times New Roman" w:hAnsi="Arial" w:cs="Arial"/>
                <w:kern w:val="0"/>
                <w:sz w:val="22"/>
                <w:szCs w:val="22"/>
                <w14:ligatures w14:val="none"/>
              </w:rPr>
            </w:pPr>
          </w:p>
        </w:tc>
        <w:tc>
          <w:tcPr>
            <w:tcW w:w="1695" w:type="dxa"/>
            <w:noWrap/>
            <w:vAlign w:val="center"/>
          </w:tcPr>
          <w:p w14:paraId="371FFC41" w14:textId="77777777" w:rsidR="001503F4" w:rsidRPr="00913F31" w:rsidRDefault="001503F4" w:rsidP="00700912">
            <w:pPr>
              <w:jc w:val="center"/>
              <w:rPr>
                <w:rFonts w:ascii="Arial" w:eastAsia="Times New Roman" w:hAnsi="Arial" w:cs="Arial"/>
                <w:kern w:val="0"/>
                <w:sz w:val="22"/>
                <w:szCs w:val="22"/>
                <w14:ligatures w14:val="none"/>
              </w:rPr>
            </w:pPr>
          </w:p>
        </w:tc>
      </w:tr>
      <w:tr w:rsidR="001503F4" w:rsidRPr="00913F31" w14:paraId="2C56DAEA" w14:textId="77777777" w:rsidTr="00700912">
        <w:trPr>
          <w:trHeight w:val="518"/>
        </w:trPr>
        <w:tc>
          <w:tcPr>
            <w:tcW w:w="3226" w:type="dxa"/>
            <w:noWrap/>
            <w:vAlign w:val="center"/>
            <w:hideMark/>
          </w:tcPr>
          <w:p w14:paraId="3350C88F" w14:textId="77777777" w:rsidR="001503F4" w:rsidRPr="00913F31" w:rsidRDefault="001503F4" w:rsidP="00700912">
            <w:pPr>
              <w:rPr>
                <w:rFonts w:ascii="Arial" w:hAnsi="Arial" w:cs="Arial"/>
                <w:sz w:val="22"/>
                <w:szCs w:val="22"/>
              </w:rPr>
            </w:pPr>
            <w:r w:rsidRPr="00913F31">
              <w:rPr>
                <w:rFonts w:ascii="Arial" w:eastAsia="Times New Roman" w:hAnsi="Arial" w:cs="Arial"/>
                <w:kern w:val="0"/>
                <w:sz w:val="22"/>
                <w:szCs w:val="22"/>
                <w14:ligatures w14:val="none"/>
              </w:rPr>
              <w:t>SBP</w:t>
            </w:r>
            <w:r w:rsidRPr="00913F31">
              <w:rPr>
                <w:rFonts w:ascii="Arial" w:eastAsia="Times New Roman" w:hAnsi="Arial" w:cs="Arial"/>
                <w:kern w:val="0"/>
                <w:sz w:val="22"/>
                <w:szCs w:val="22"/>
                <w:vertAlign w:val="subscript"/>
                <w14:ligatures w14:val="none"/>
              </w:rPr>
              <w:t>endVM2e</w:t>
            </w:r>
            <w:r w:rsidRPr="00913F31">
              <w:rPr>
                <w:rFonts w:ascii="Arial" w:hAnsi="Arial" w:cs="Arial"/>
                <w:sz w:val="22"/>
                <w:szCs w:val="22"/>
              </w:rPr>
              <w:t xml:space="preserve"> (mmHg)</w:t>
            </w:r>
          </w:p>
        </w:tc>
        <w:tc>
          <w:tcPr>
            <w:tcW w:w="2212" w:type="dxa"/>
            <w:noWrap/>
            <w:vAlign w:val="center"/>
          </w:tcPr>
          <w:p w14:paraId="3D2AE41A" w14:textId="77777777" w:rsidR="001503F4" w:rsidRPr="00913F31" w:rsidRDefault="001503F4" w:rsidP="00700912">
            <w:pPr>
              <w:jc w:val="cente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79±10</w:t>
            </w:r>
          </w:p>
        </w:tc>
        <w:tc>
          <w:tcPr>
            <w:tcW w:w="2212" w:type="dxa"/>
            <w:noWrap/>
            <w:vAlign w:val="center"/>
          </w:tcPr>
          <w:p w14:paraId="317D7E3B" w14:textId="77777777" w:rsidR="001503F4" w:rsidRPr="00913F31" w:rsidRDefault="001503F4" w:rsidP="00700912">
            <w:pPr>
              <w:jc w:val="cente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74±10</w:t>
            </w:r>
          </w:p>
        </w:tc>
        <w:tc>
          <w:tcPr>
            <w:tcW w:w="1695" w:type="dxa"/>
            <w:noWrap/>
            <w:vAlign w:val="center"/>
          </w:tcPr>
          <w:p w14:paraId="36606D88" w14:textId="77777777" w:rsidR="001503F4" w:rsidRPr="00913F31" w:rsidRDefault="001503F4" w:rsidP="00700912">
            <w:pPr>
              <w:jc w:val="cente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0.088</w:t>
            </w:r>
          </w:p>
        </w:tc>
      </w:tr>
      <w:tr w:rsidR="001503F4" w:rsidRPr="00913F31" w14:paraId="1AFBFA01" w14:textId="77777777" w:rsidTr="00700912">
        <w:trPr>
          <w:trHeight w:val="518"/>
        </w:trPr>
        <w:tc>
          <w:tcPr>
            <w:tcW w:w="3226" w:type="dxa"/>
            <w:noWrap/>
            <w:vAlign w:val="center"/>
            <w:hideMark/>
          </w:tcPr>
          <w:p w14:paraId="1B191B0D" w14:textId="77777777" w:rsidR="001503F4" w:rsidRPr="00913F31" w:rsidRDefault="001503F4" w:rsidP="00700912">
            <w:pPr>
              <w:rPr>
                <w:rFonts w:ascii="Arial" w:hAnsi="Arial" w:cs="Arial"/>
                <w:sz w:val="22"/>
                <w:szCs w:val="22"/>
              </w:rPr>
            </w:pPr>
            <w:r w:rsidRPr="00913F31">
              <w:rPr>
                <w:rFonts w:ascii="Arial" w:eastAsia="Times New Roman" w:hAnsi="Arial" w:cs="Arial"/>
                <w:kern w:val="0"/>
                <w:sz w:val="22"/>
                <w:szCs w:val="22"/>
                <w14:ligatures w14:val="none"/>
              </w:rPr>
              <w:lastRenderedPageBreak/>
              <w:t>DBP</w:t>
            </w:r>
            <w:r w:rsidRPr="00913F31">
              <w:rPr>
                <w:rFonts w:ascii="Arial" w:eastAsia="Times New Roman" w:hAnsi="Arial" w:cs="Arial"/>
                <w:kern w:val="0"/>
                <w:sz w:val="22"/>
                <w:szCs w:val="22"/>
                <w:vertAlign w:val="subscript"/>
                <w14:ligatures w14:val="none"/>
              </w:rPr>
              <w:t xml:space="preserve">endVM2e </w:t>
            </w:r>
            <w:r w:rsidRPr="00913F31">
              <w:rPr>
                <w:rFonts w:ascii="Arial" w:hAnsi="Arial" w:cs="Arial"/>
                <w:sz w:val="22"/>
                <w:szCs w:val="22"/>
              </w:rPr>
              <w:t>(mmHg)</w:t>
            </w:r>
          </w:p>
        </w:tc>
        <w:tc>
          <w:tcPr>
            <w:tcW w:w="2212" w:type="dxa"/>
            <w:noWrap/>
            <w:vAlign w:val="center"/>
          </w:tcPr>
          <w:p w14:paraId="2D2F859C" w14:textId="77777777" w:rsidR="001503F4" w:rsidRPr="00913F31" w:rsidRDefault="001503F4" w:rsidP="00700912">
            <w:pPr>
              <w:jc w:val="cente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64±10</w:t>
            </w:r>
          </w:p>
        </w:tc>
        <w:tc>
          <w:tcPr>
            <w:tcW w:w="2212" w:type="dxa"/>
            <w:noWrap/>
            <w:vAlign w:val="center"/>
          </w:tcPr>
          <w:p w14:paraId="13257AE1" w14:textId="77777777" w:rsidR="001503F4" w:rsidRPr="00913F31" w:rsidRDefault="001503F4" w:rsidP="00700912">
            <w:pPr>
              <w:jc w:val="cente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58±7</w:t>
            </w:r>
          </w:p>
        </w:tc>
        <w:tc>
          <w:tcPr>
            <w:tcW w:w="1695" w:type="dxa"/>
            <w:noWrap/>
            <w:vAlign w:val="center"/>
          </w:tcPr>
          <w:p w14:paraId="1FE7CEF9" w14:textId="77777777" w:rsidR="001503F4" w:rsidRPr="00913F31" w:rsidRDefault="001503F4" w:rsidP="00700912">
            <w:pPr>
              <w:jc w:val="cente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0.058</w:t>
            </w:r>
          </w:p>
        </w:tc>
      </w:tr>
      <w:tr w:rsidR="001503F4" w:rsidRPr="00913F31" w14:paraId="26FA174D" w14:textId="77777777" w:rsidTr="00700912">
        <w:trPr>
          <w:trHeight w:val="518"/>
        </w:trPr>
        <w:tc>
          <w:tcPr>
            <w:tcW w:w="3226" w:type="dxa"/>
            <w:noWrap/>
            <w:vAlign w:val="center"/>
            <w:hideMark/>
          </w:tcPr>
          <w:p w14:paraId="4FB2C025" w14:textId="77777777" w:rsidR="001503F4" w:rsidRPr="00913F31" w:rsidRDefault="001503F4" w:rsidP="00700912">
            <w:pPr>
              <w:rPr>
                <w:rFonts w:ascii="Arial" w:hAnsi="Arial" w:cs="Arial"/>
                <w:sz w:val="22"/>
                <w:szCs w:val="22"/>
              </w:rPr>
            </w:pPr>
            <w:r w:rsidRPr="00913F31">
              <w:rPr>
                <w:rFonts w:ascii="Arial" w:eastAsia="Times New Roman" w:hAnsi="Arial" w:cs="Arial"/>
                <w:kern w:val="0"/>
                <w:sz w:val="22"/>
                <w:szCs w:val="22"/>
                <w14:ligatures w14:val="none"/>
              </w:rPr>
              <w:t>HR</w:t>
            </w:r>
            <w:r w:rsidRPr="00913F31">
              <w:rPr>
                <w:rFonts w:ascii="Arial" w:eastAsia="Times New Roman" w:hAnsi="Arial" w:cs="Arial"/>
                <w:kern w:val="0"/>
                <w:sz w:val="22"/>
                <w:szCs w:val="22"/>
                <w:vertAlign w:val="subscript"/>
                <w14:ligatures w14:val="none"/>
              </w:rPr>
              <w:t xml:space="preserve">endVM2e </w:t>
            </w:r>
            <w:r w:rsidRPr="00913F31">
              <w:rPr>
                <w:rFonts w:ascii="Arial" w:hAnsi="Arial" w:cs="Arial"/>
                <w:sz w:val="22"/>
                <w:szCs w:val="22"/>
              </w:rPr>
              <w:t>(beat/min)</w:t>
            </w:r>
          </w:p>
        </w:tc>
        <w:tc>
          <w:tcPr>
            <w:tcW w:w="2212" w:type="dxa"/>
            <w:noWrap/>
            <w:vAlign w:val="center"/>
          </w:tcPr>
          <w:p w14:paraId="178225BC" w14:textId="77777777" w:rsidR="001503F4" w:rsidRPr="00913F31" w:rsidRDefault="001503F4" w:rsidP="00700912">
            <w:pPr>
              <w:jc w:val="cente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98±16</w:t>
            </w:r>
          </w:p>
        </w:tc>
        <w:tc>
          <w:tcPr>
            <w:tcW w:w="2212" w:type="dxa"/>
            <w:noWrap/>
            <w:vAlign w:val="center"/>
          </w:tcPr>
          <w:p w14:paraId="76EE4C0D" w14:textId="77777777" w:rsidR="001503F4" w:rsidRPr="00913F31" w:rsidRDefault="001503F4" w:rsidP="00700912">
            <w:pPr>
              <w:jc w:val="cente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100±21</w:t>
            </w:r>
          </w:p>
        </w:tc>
        <w:tc>
          <w:tcPr>
            <w:tcW w:w="1695" w:type="dxa"/>
            <w:noWrap/>
            <w:vAlign w:val="center"/>
          </w:tcPr>
          <w:p w14:paraId="2EE875C0" w14:textId="77777777" w:rsidR="001503F4" w:rsidRPr="00913F31" w:rsidRDefault="001503F4" w:rsidP="00700912">
            <w:pPr>
              <w:jc w:val="cente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0.450</w:t>
            </w:r>
          </w:p>
        </w:tc>
      </w:tr>
      <w:tr w:rsidR="001503F4" w:rsidRPr="00913F31" w14:paraId="0EF49C67" w14:textId="77777777" w:rsidTr="00700912">
        <w:trPr>
          <w:trHeight w:val="518"/>
        </w:trPr>
        <w:tc>
          <w:tcPr>
            <w:tcW w:w="3226" w:type="dxa"/>
            <w:noWrap/>
            <w:vAlign w:val="center"/>
            <w:hideMark/>
          </w:tcPr>
          <w:p w14:paraId="635CA290" w14:textId="77777777" w:rsidR="001503F4" w:rsidRPr="00913F31" w:rsidRDefault="001503F4" w:rsidP="00700912">
            <w:pPr>
              <w:rPr>
                <w:rFonts w:ascii="Arial" w:hAnsi="Arial" w:cs="Arial"/>
                <w:sz w:val="22"/>
                <w:szCs w:val="22"/>
              </w:rPr>
            </w:pPr>
            <w:r w:rsidRPr="00913F31">
              <w:rPr>
                <w:rFonts w:ascii="Arial" w:eastAsia="Times New Roman" w:hAnsi="Arial" w:cs="Arial"/>
                <w:kern w:val="0"/>
                <w:sz w:val="22"/>
                <w:szCs w:val="22"/>
                <w14:ligatures w14:val="none"/>
              </w:rPr>
              <w:t>MSNA spike rate</w:t>
            </w:r>
            <w:r w:rsidRPr="00913F31">
              <w:rPr>
                <w:rFonts w:ascii="Arial" w:eastAsia="Times New Roman" w:hAnsi="Arial" w:cs="Arial"/>
                <w:kern w:val="0"/>
                <w:sz w:val="22"/>
                <w:szCs w:val="22"/>
                <w:vertAlign w:val="subscript"/>
                <w14:ligatures w14:val="none"/>
              </w:rPr>
              <w:t>meanVM2e</w:t>
            </w:r>
            <w:r w:rsidRPr="00913F31">
              <w:rPr>
                <w:rFonts w:ascii="Arial" w:hAnsi="Arial" w:cs="Arial"/>
                <w:sz w:val="22"/>
                <w:szCs w:val="22"/>
              </w:rPr>
              <w:t xml:space="preserve"> (spike/s)</w:t>
            </w:r>
          </w:p>
        </w:tc>
        <w:tc>
          <w:tcPr>
            <w:tcW w:w="2212" w:type="dxa"/>
            <w:noWrap/>
            <w:vAlign w:val="center"/>
          </w:tcPr>
          <w:p w14:paraId="73D553FD" w14:textId="77777777" w:rsidR="001503F4" w:rsidRPr="00913F31" w:rsidRDefault="001503F4" w:rsidP="00700912">
            <w:pPr>
              <w:jc w:val="cente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26.45±13.99</w:t>
            </w:r>
          </w:p>
        </w:tc>
        <w:tc>
          <w:tcPr>
            <w:tcW w:w="2212" w:type="dxa"/>
            <w:noWrap/>
            <w:vAlign w:val="center"/>
          </w:tcPr>
          <w:p w14:paraId="5A03FD68" w14:textId="77777777" w:rsidR="001503F4" w:rsidRPr="00913F31" w:rsidRDefault="001503F4" w:rsidP="00700912">
            <w:pPr>
              <w:jc w:val="cente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27.14±12.08</w:t>
            </w:r>
          </w:p>
        </w:tc>
        <w:tc>
          <w:tcPr>
            <w:tcW w:w="1695" w:type="dxa"/>
            <w:noWrap/>
            <w:vAlign w:val="center"/>
          </w:tcPr>
          <w:p w14:paraId="661D5938" w14:textId="77777777" w:rsidR="001503F4" w:rsidRPr="00913F31" w:rsidRDefault="001503F4" w:rsidP="00700912">
            <w:pPr>
              <w:jc w:val="cente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1.000</w:t>
            </w:r>
          </w:p>
        </w:tc>
      </w:tr>
      <w:tr w:rsidR="001503F4" w:rsidRPr="00913F31" w14:paraId="13F2E103" w14:textId="77777777" w:rsidTr="00700912">
        <w:trPr>
          <w:trHeight w:val="518"/>
        </w:trPr>
        <w:tc>
          <w:tcPr>
            <w:tcW w:w="3226" w:type="dxa"/>
            <w:noWrap/>
            <w:vAlign w:val="center"/>
            <w:hideMark/>
          </w:tcPr>
          <w:p w14:paraId="5920D3D6" w14:textId="77777777" w:rsidR="001503F4" w:rsidRPr="00913F31" w:rsidRDefault="001503F4" w:rsidP="00700912">
            <w:pPr>
              <w:rPr>
                <w:rFonts w:ascii="Arial" w:hAnsi="Arial" w:cs="Arial"/>
                <w:sz w:val="22"/>
                <w:szCs w:val="22"/>
              </w:rPr>
            </w:pPr>
            <w:r w:rsidRPr="00913F31">
              <w:rPr>
                <w:rFonts w:ascii="Arial" w:eastAsia="Times New Roman" w:hAnsi="Arial" w:cs="Arial"/>
                <w:kern w:val="0"/>
                <w:sz w:val="22"/>
                <w:szCs w:val="22"/>
                <w14:ligatures w14:val="none"/>
              </w:rPr>
              <w:t>SBP</w:t>
            </w:r>
            <w:r w:rsidRPr="00913F31">
              <w:rPr>
                <w:rFonts w:ascii="Arial" w:eastAsia="Times New Roman" w:hAnsi="Arial" w:cs="Arial"/>
                <w:kern w:val="0"/>
                <w:sz w:val="22"/>
                <w:szCs w:val="22"/>
                <w:vertAlign w:val="subscript"/>
                <w14:ligatures w14:val="none"/>
              </w:rPr>
              <w:t xml:space="preserve">VM2e_deltabsl </w:t>
            </w:r>
            <w:r w:rsidRPr="00913F31">
              <w:rPr>
                <w:rFonts w:ascii="Arial" w:hAnsi="Arial" w:cs="Arial"/>
                <w:sz w:val="22"/>
                <w:szCs w:val="22"/>
              </w:rPr>
              <w:t>(mmHg)</w:t>
            </w:r>
          </w:p>
        </w:tc>
        <w:tc>
          <w:tcPr>
            <w:tcW w:w="2212" w:type="dxa"/>
            <w:noWrap/>
            <w:vAlign w:val="center"/>
          </w:tcPr>
          <w:p w14:paraId="5B6BB054" w14:textId="77777777" w:rsidR="001503F4" w:rsidRPr="00913F31" w:rsidRDefault="001503F4" w:rsidP="00700912">
            <w:pPr>
              <w:jc w:val="cente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-31±8</w:t>
            </w:r>
          </w:p>
        </w:tc>
        <w:tc>
          <w:tcPr>
            <w:tcW w:w="2212" w:type="dxa"/>
            <w:noWrap/>
            <w:vAlign w:val="center"/>
          </w:tcPr>
          <w:p w14:paraId="4D585C75" w14:textId="77777777" w:rsidR="001503F4" w:rsidRPr="00913F31" w:rsidRDefault="001503F4" w:rsidP="00700912">
            <w:pPr>
              <w:jc w:val="cente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-30±10</w:t>
            </w:r>
          </w:p>
        </w:tc>
        <w:tc>
          <w:tcPr>
            <w:tcW w:w="1695" w:type="dxa"/>
            <w:noWrap/>
            <w:vAlign w:val="center"/>
          </w:tcPr>
          <w:p w14:paraId="51DFDB74" w14:textId="77777777" w:rsidR="001503F4" w:rsidRPr="00913F31" w:rsidRDefault="001503F4" w:rsidP="00700912">
            <w:pPr>
              <w:jc w:val="cente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0.684</w:t>
            </w:r>
          </w:p>
        </w:tc>
      </w:tr>
      <w:tr w:rsidR="001503F4" w:rsidRPr="00913F31" w14:paraId="793D09DE" w14:textId="77777777" w:rsidTr="00700912">
        <w:trPr>
          <w:trHeight w:val="518"/>
        </w:trPr>
        <w:tc>
          <w:tcPr>
            <w:tcW w:w="3226" w:type="dxa"/>
            <w:noWrap/>
            <w:vAlign w:val="center"/>
            <w:hideMark/>
          </w:tcPr>
          <w:p w14:paraId="67AEEAD5" w14:textId="77777777" w:rsidR="001503F4" w:rsidRPr="00913F31" w:rsidRDefault="001503F4" w:rsidP="00700912">
            <w:pPr>
              <w:rPr>
                <w:rFonts w:ascii="Arial" w:hAnsi="Arial" w:cs="Arial"/>
                <w:sz w:val="22"/>
                <w:szCs w:val="22"/>
              </w:rPr>
            </w:pPr>
            <w:r w:rsidRPr="00913F31">
              <w:rPr>
                <w:rFonts w:ascii="Arial" w:eastAsia="Times New Roman" w:hAnsi="Arial" w:cs="Arial"/>
                <w:kern w:val="0"/>
                <w:sz w:val="22"/>
                <w:szCs w:val="22"/>
                <w14:ligatures w14:val="none"/>
              </w:rPr>
              <w:t>DBP</w:t>
            </w:r>
            <w:r w:rsidRPr="00913F31">
              <w:rPr>
                <w:rFonts w:ascii="Arial" w:eastAsia="Times New Roman" w:hAnsi="Arial" w:cs="Arial"/>
                <w:kern w:val="0"/>
                <w:sz w:val="22"/>
                <w:szCs w:val="22"/>
                <w:vertAlign w:val="subscript"/>
                <w14:ligatures w14:val="none"/>
              </w:rPr>
              <w:t xml:space="preserve">VM2e_deltabsl </w:t>
            </w:r>
            <w:r w:rsidRPr="00913F31">
              <w:rPr>
                <w:rFonts w:ascii="Arial" w:hAnsi="Arial" w:cs="Arial"/>
                <w:sz w:val="22"/>
                <w:szCs w:val="22"/>
              </w:rPr>
              <w:t>(mmHg)</w:t>
            </w:r>
          </w:p>
        </w:tc>
        <w:tc>
          <w:tcPr>
            <w:tcW w:w="2212" w:type="dxa"/>
            <w:noWrap/>
            <w:vAlign w:val="center"/>
          </w:tcPr>
          <w:p w14:paraId="3C73D6CE" w14:textId="77777777" w:rsidR="001503F4" w:rsidRPr="00913F31" w:rsidRDefault="001503F4" w:rsidP="00700912">
            <w:pPr>
              <w:jc w:val="cente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-8±6</w:t>
            </w:r>
          </w:p>
        </w:tc>
        <w:tc>
          <w:tcPr>
            <w:tcW w:w="2212" w:type="dxa"/>
            <w:noWrap/>
            <w:vAlign w:val="center"/>
          </w:tcPr>
          <w:p w14:paraId="4304661E" w14:textId="77777777" w:rsidR="001503F4" w:rsidRPr="00913F31" w:rsidRDefault="001503F4" w:rsidP="00700912">
            <w:pPr>
              <w:jc w:val="cente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-10±6</w:t>
            </w:r>
          </w:p>
        </w:tc>
        <w:tc>
          <w:tcPr>
            <w:tcW w:w="1695" w:type="dxa"/>
            <w:noWrap/>
            <w:vAlign w:val="center"/>
          </w:tcPr>
          <w:p w14:paraId="1ACE591A" w14:textId="77777777" w:rsidR="001503F4" w:rsidRPr="00913F31" w:rsidRDefault="001503F4" w:rsidP="00700912">
            <w:pPr>
              <w:jc w:val="cente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0.274</w:t>
            </w:r>
          </w:p>
        </w:tc>
      </w:tr>
      <w:tr w:rsidR="001503F4" w:rsidRPr="00913F31" w14:paraId="7C3154CA" w14:textId="77777777" w:rsidTr="00700912">
        <w:trPr>
          <w:trHeight w:val="518"/>
        </w:trPr>
        <w:tc>
          <w:tcPr>
            <w:tcW w:w="3226" w:type="dxa"/>
            <w:noWrap/>
            <w:vAlign w:val="center"/>
            <w:hideMark/>
          </w:tcPr>
          <w:p w14:paraId="35B0782B" w14:textId="77777777" w:rsidR="001503F4" w:rsidRPr="00913F31" w:rsidRDefault="001503F4" w:rsidP="00700912">
            <w:pPr>
              <w:rPr>
                <w:rFonts w:ascii="Arial" w:hAnsi="Arial" w:cs="Arial"/>
                <w:sz w:val="22"/>
                <w:szCs w:val="22"/>
              </w:rPr>
            </w:pPr>
            <w:r w:rsidRPr="00913F31">
              <w:rPr>
                <w:rFonts w:ascii="Arial" w:eastAsia="Times New Roman" w:hAnsi="Arial" w:cs="Arial"/>
                <w:kern w:val="0"/>
                <w:sz w:val="22"/>
                <w:szCs w:val="22"/>
                <w14:ligatures w14:val="none"/>
              </w:rPr>
              <w:t>Duration</w:t>
            </w:r>
            <w:r w:rsidRPr="00913F31">
              <w:rPr>
                <w:rFonts w:ascii="Arial" w:eastAsia="Times New Roman" w:hAnsi="Arial" w:cs="Arial"/>
                <w:kern w:val="0"/>
                <w:sz w:val="22"/>
                <w:szCs w:val="22"/>
                <w:vertAlign w:val="subscript"/>
                <w14:ligatures w14:val="none"/>
              </w:rPr>
              <w:t xml:space="preserve">VM2e </w:t>
            </w:r>
            <w:r w:rsidRPr="00913F31">
              <w:rPr>
                <w:rFonts w:ascii="Arial" w:hAnsi="Arial" w:cs="Arial"/>
                <w:sz w:val="22"/>
                <w:szCs w:val="22"/>
              </w:rPr>
              <w:t>(s)</w:t>
            </w:r>
          </w:p>
        </w:tc>
        <w:tc>
          <w:tcPr>
            <w:tcW w:w="2212" w:type="dxa"/>
            <w:noWrap/>
            <w:vAlign w:val="center"/>
          </w:tcPr>
          <w:p w14:paraId="4DFEE076" w14:textId="77777777" w:rsidR="001503F4" w:rsidRPr="00913F31" w:rsidRDefault="001503F4" w:rsidP="00700912">
            <w:pPr>
              <w:jc w:val="cente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7.65±2.22</w:t>
            </w:r>
          </w:p>
        </w:tc>
        <w:tc>
          <w:tcPr>
            <w:tcW w:w="2212" w:type="dxa"/>
            <w:noWrap/>
            <w:vAlign w:val="center"/>
          </w:tcPr>
          <w:p w14:paraId="45F5FCB6" w14:textId="77777777" w:rsidR="001503F4" w:rsidRPr="00913F31" w:rsidRDefault="001503F4" w:rsidP="00700912">
            <w:pPr>
              <w:jc w:val="cente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8.14±2.79</w:t>
            </w:r>
          </w:p>
        </w:tc>
        <w:tc>
          <w:tcPr>
            <w:tcW w:w="1695" w:type="dxa"/>
            <w:noWrap/>
            <w:vAlign w:val="center"/>
          </w:tcPr>
          <w:p w14:paraId="08ECB6E6" w14:textId="77777777" w:rsidR="001503F4" w:rsidRPr="00913F31" w:rsidRDefault="001503F4" w:rsidP="00700912">
            <w:pPr>
              <w:jc w:val="cente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0.715</w:t>
            </w:r>
          </w:p>
        </w:tc>
      </w:tr>
      <w:tr w:rsidR="001503F4" w:rsidRPr="00913F31" w14:paraId="1E11D564" w14:textId="77777777" w:rsidTr="00700912">
        <w:trPr>
          <w:trHeight w:val="518"/>
        </w:trPr>
        <w:tc>
          <w:tcPr>
            <w:tcW w:w="3226" w:type="dxa"/>
            <w:noWrap/>
            <w:vAlign w:val="center"/>
            <w:hideMark/>
          </w:tcPr>
          <w:p w14:paraId="0B8ED547" w14:textId="77777777" w:rsidR="001503F4" w:rsidRPr="00913F31" w:rsidRDefault="001503F4" w:rsidP="00700912">
            <w:pPr>
              <w:rPr>
                <w:rFonts w:ascii="Arial" w:hAnsi="Arial" w:cs="Arial"/>
                <w:sz w:val="22"/>
                <w:szCs w:val="22"/>
              </w:rPr>
            </w:pPr>
            <w:r w:rsidRPr="00913F31">
              <w:rPr>
                <w:rFonts w:ascii="Arial" w:eastAsia="Times New Roman" w:hAnsi="Arial" w:cs="Arial"/>
                <w:kern w:val="0"/>
                <w:sz w:val="22"/>
                <w:szCs w:val="22"/>
                <w14:ligatures w14:val="none"/>
              </w:rPr>
              <w:t>SBP slope</w:t>
            </w:r>
            <w:r w:rsidRPr="00913F31">
              <w:rPr>
                <w:rFonts w:ascii="Arial" w:eastAsia="Times New Roman" w:hAnsi="Arial" w:cs="Arial"/>
                <w:kern w:val="0"/>
                <w:sz w:val="22"/>
                <w:szCs w:val="22"/>
                <w:vertAlign w:val="subscript"/>
                <w14:ligatures w14:val="none"/>
              </w:rPr>
              <w:t xml:space="preserve">VM2e </w:t>
            </w:r>
            <w:r w:rsidRPr="00913F31">
              <w:rPr>
                <w:rFonts w:ascii="Arial" w:hAnsi="Arial" w:cs="Arial"/>
                <w:sz w:val="22"/>
                <w:szCs w:val="22"/>
              </w:rPr>
              <w:t>(mmHg/s)</w:t>
            </w:r>
          </w:p>
        </w:tc>
        <w:tc>
          <w:tcPr>
            <w:tcW w:w="2212" w:type="dxa"/>
            <w:noWrap/>
            <w:vAlign w:val="center"/>
          </w:tcPr>
          <w:p w14:paraId="0198BD11" w14:textId="77777777" w:rsidR="001503F4" w:rsidRPr="00913F31" w:rsidRDefault="001503F4" w:rsidP="00700912">
            <w:pPr>
              <w:jc w:val="cente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-4.46±1.98</w:t>
            </w:r>
          </w:p>
        </w:tc>
        <w:tc>
          <w:tcPr>
            <w:tcW w:w="2212" w:type="dxa"/>
            <w:noWrap/>
            <w:vAlign w:val="center"/>
          </w:tcPr>
          <w:p w14:paraId="5B99F876" w14:textId="77777777" w:rsidR="001503F4" w:rsidRPr="00913F31" w:rsidRDefault="001503F4" w:rsidP="00700912">
            <w:pPr>
              <w:jc w:val="cente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-4.35±2.53</w:t>
            </w:r>
          </w:p>
        </w:tc>
        <w:tc>
          <w:tcPr>
            <w:tcW w:w="1695" w:type="dxa"/>
            <w:noWrap/>
            <w:vAlign w:val="center"/>
          </w:tcPr>
          <w:p w14:paraId="3CDDA50E" w14:textId="77777777" w:rsidR="001503F4" w:rsidRPr="00913F31" w:rsidRDefault="001503F4" w:rsidP="00700912">
            <w:pPr>
              <w:jc w:val="cente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0.812</w:t>
            </w:r>
          </w:p>
        </w:tc>
      </w:tr>
      <w:tr w:rsidR="001503F4" w:rsidRPr="00913F31" w14:paraId="11E54F92" w14:textId="77777777" w:rsidTr="00700912">
        <w:trPr>
          <w:trHeight w:val="518"/>
        </w:trPr>
        <w:tc>
          <w:tcPr>
            <w:tcW w:w="3226" w:type="dxa"/>
            <w:noWrap/>
            <w:vAlign w:val="center"/>
          </w:tcPr>
          <w:p w14:paraId="2D3425DC" w14:textId="77777777" w:rsidR="001503F4" w:rsidRPr="00913F31" w:rsidRDefault="001503F4" w:rsidP="00700912">
            <w:pP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Cardiovagal BRS</w:t>
            </w:r>
            <w:r w:rsidRPr="00913F31">
              <w:rPr>
                <w:rFonts w:ascii="Arial" w:eastAsia="Times New Roman" w:hAnsi="Arial" w:cs="Arial"/>
                <w:kern w:val="0"/>
                <w:sz w:val="22"/>
                <w:szCs w:val="22"/>
                <w:vertAlign w:val="subscript"/>
                <w14:ligatures w14:val="none"/>
              </w:rPr>
              <w:t>VM2e</w:t>
            </w:r>
            <w:r w:rsidRPr="00913F31">
              <w:rPr>
                <w:rFonts w:ascii="Arial" w:eastAsia="Times New Roman" w:hAnsi="Arial" w:cs="Arial"/>
                <w:kern w:val="0"/>
                <w:sz w:val="22"/>
                <w:szCs w:val="22"/>
                <w14:ligatures w14:val="none"/>
              </w:rPr>
              <w:t xml:space="preserve"> (ms/mmHg)</w:t>
            </w:r>
          </w:p>
        </w:tc>
        <w:tc>
          <w:tcPr>
            <w:tcW w:w="2212" w:type="dxa"/>
            <w:noWrap/>
            <w:vAlign w:val="center"/>
          </w:tcPr>
          <w:p w14:paraId="449D3C2B" w14:textId="77777777" w:rsidR="001503F4" w:rsidRPr="00913F31" w:rsidRDefault="001503F4" w:rsidP="00700912">
            <w:pPr>
              <w:jc w:val="center"/>
              <w:rPr>
                <w:rFonts w:ascii="Arial" w:eastAsia="Times New Roman" w:hAnsi="Arial" w:cs="Arial"/>
                <w:kern w:val="0"/>
                <w:sz w:val="22"/>
                <w:szCs w:val="22"/>
                <w14:ligatures w14:val="none"/>
              </w:rPr>
            </w:pPr>
            <w:r>
              <w:rPr>
                <w:rFonts w:ascii="Arial" w:eastAsia="Times New Roman" w:hAnsi="Arial" w:cs="Arial"/>
                <w:kern w:val="0"/>
                <w:sz w:val="22"/>
                <w:szCs w:val="22"/>
                <w14:ligatures w14:val="none"/>
              </w:rPr>
              <w:t>5.53</w:t>
            </w:r>
            <w:r w:rsidRPr="00913F31">
              <w:rPr>
                <w:rFonts w:ascii="Arial" w:eastAsia="Times New Roman" w:hAnsi="Arial" w:cs="Arial"/>
                <w:kern w:val="0"/>
                <w:sz w:val="22"/>
                <w:szCs w:val="22"/>
                <w14:ligatures w14:val="none"/>
              </w:rPr>
              <w:t>±</w:t>
            </w:r>
            <w:r>
              <w:rPr>
                <w:rFonts w:ascii="Arial" w:eastAsia="Times New Roman" w:hAnsi="Arial" w:cs="Arial"/>
                <w:kern w:val="0"/>
                <w:sz w:val="22"/>
                <w:szCs w:val="22"/>
                <w14:ligatures w14:val="none"/>
              </w:rPr>
              <w:t>3.56</w:t>
            </w:r>
          </w:p>
        </w:tc>
        <w:tc>
          <w:tcPr>
            <w:tcW w:w="2212" w:type="dxa"/>
            <w:noWrap/>
            <w:vAlign w:val="center"/>
          </w:tcPr>
          <w:p w14:paraId="5F1A0FE4" w14:textId="77777777" w:rsidR="001503F4" w:rsidRPr="00913F31" w:rsidRDefault="001503F4" w:rsidP="00700912">
            <w:pPr>
              <w:jc w:val="center"/>
              <w:rPr>
                <w:rFonts w:ascii="Arial" w:eastAsia="Times New Roman" w:hAnsi="Arial" w:cs="Arial"/>
                <w:kern w:val="0"/>
                <w:sz w:val="22"/>
                <w:szCs w:val="22"/>
                <w14:ligatures w14:val="none"/>
              </w:rPr>
            </w:pPr>
            <w:r>
              <w:rPr>
                <w:rFonts w:ascii="Arial" w:eastAsia="Times New Roman" w:hAnsi="Arial" w:cs="Arial"/>
                <w:kern w:val="0"/>
                <w:sz w:val="22"/>
                <w:szCs w:val="22"/>
                <w14:ligatures w14:val="none"/>
              </w:rPr>
              <w:t>5.52</w:t>
            </w:r>
            <w:r w:rsidRPr="00913F31">
              <w:rPr>
                <w:rFonts w:ascii="Arial" w:eastAsia="Times New Roman" w:hAnsi="Arial" w:cs="Arial"/>
                <w:kern w:val="0"/>
                <w:sz w:val="22"/>
                <w:szCs w:val="22"/>
                <w14:ligatures w14:val="none"/>
              </w:rPr>
              <w:t>±</w:t>
            </w:r>
            <w:r>
              <w:rPr>
                <w:rFonts w:ascii="Arial" w:eastAsia="Times New Roman" w:hAnsi="Arial" w:cs="Arial"/>
                <w:kern w:val="0"/>
                <w:sz w:val="22"/>
                <w:szCs w:val="22"/>
                <w14:ligatures w14:val="none"/>
              </w:rPr>
              <w:t>4.26</w:t>
            </w:r>
          </w:p>
        </w:tc>
        <w:tc>
          <w:tcPr>
            <w:tcW w:w="1695" w:type="dxa"/>
            <w:noWrap/>
            <w:vAlign w:val="center"/>
          </w:tcPr>
          <w:p w14:paraId="05E0889B" w14:textId="77777777" w:rsidR="001503F4" w:rsidRPr="00913F31" w:rsidRDefault="001503F4" w:rsidP="00700912">
            <w:pPr>
              <w:jc w:val="cente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0.</w:t>
            </w:r>
            <w:r>
              <w:rPr>
                <w:rFonts w:ascii="Arial" w:eastAsia="Times New Roman" w:hAnsi="Arial" w:cs="Arial"/>
                <w:kern w:val="0"/>
                <w:sz w:val="22"/>
                <w:szCs w:val="22"/>
                <w14:ligatures w14:val="none"/>
              </w:rPr>
              <w:t>808</w:t>
            </w:r>
          </w:p>
        </w:tc>
      </w:tr>
      <w:tr w:rsidR="001503F4" w:rsidRPr="00913F31" w14:paraId="38224ADA" w14:textId="77777777" w:rsidTr="00700912">
        <w:trPr>
          <w:trHeight w:val="518"/>
        </w:trPr>
        <w:tc>
          <w:tcPr>
            <w:tcW w:w="3226" w:type="dxa"/>
            <w:noWrap/>
            <w:vAlign w:val="center"/>
            <w:hideMark/>
          </w:tcPr>
          <w:p w14:paraId="252A3C6D" w14:textId="77777777" w:rsidR="001503F4" w:rsidRPr="00913F31" w:rsidRDefault="001503F4" w:rsidP="00700912">
            <w:pPr>
              <w:rPr>
                <w:rFonts w:ascii="Arial" w:hAnsi="Arial" w:cs="Arial"/>
                <w:sz w:val="22"/>
                <w:szCs w:val="22"/>
              </w:rPr>
            </w:pPr>
            <w:r w:rsidRPr="00913F31">
              <w:rPr>
                <w:rFonts w:ascii="Arial" w:eastAsia="Times New Roman" w:hAnsi="Arial" w:cs="Arial"/>
                <w:kern w:val="0"/>
                <w:sz w:val="22"/>
                <w:szCs w:val="22"/>
                <w14:ligatures w14:val="none"/>
              </w:rPr>
              <w:t>SBP</w:t>
            </w:r>
            <w:r w:rsidRPr="00913F31">
              <w:rPr>
                <w:rFonts w:ascii="Arial" w:eastAsia="Times New Roman" w:hAnsi="Arial" w:cs="Arial"/>
                <w:kern w:val="0"/>
                <w:sz w:val="22"/>
                <w:szCs w:val="22"/>
                <w:vertAlign w:val="subscript"/>
                <w14:ligatures w14:val="none"/>
              </w:rPr>
              <w:t xml:space="preserve">endVM2l </w:t>
            </w:r>
            <w:r w:rsidRPr="00913F31">
              <w:rPr>
                <w:rFonts w:ascii="Arial" w:hAnsi="Arial" w:cs="Arial"/>
                <w:sz w:val="22"/>
                <w:szCs w:val="22"/>
              </w:rPr>
              <w:t>(mmHg)</w:t>
            </w:r>
          </w:p>
        </w:tc>
        <w:tc>
          <w:tcPr>
            <w:tcW w:w="2212" w:type="dxa"/>
            <w:noWrap/>
            <w:vAlign w:val="center"/>
          </w:tcPr>
          <w:p w14:paraId="605CF7C3" w14:textId="77777777" w:rsidR="001503F4" w:rsidRPr="00913F31" w:rsidRDefault="001503F4" w:rsidP="00700912">
            <w:pPr>
              <w:jc w:val="cente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98±26</w:t>
            </w:r>
          </w:p>
        </w:tc>
        <w:tc>
          <w:tcPr>
            <w:tcW w:w="2212" w:type="dxa"/>
            <w:noWrap/>
            <w:vAlign w:val="center"/>
          </w:tcPr>
          <w:p w14:paraId="6999EFB2" w14:textId="77777777" w:rsidR="001503F4" w:rsidRPr="00913F31" w:rsidRDefault="001503F4" w:rsidP="00700912">
            <w:pPr>
              <w:jc w:val="cente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87±22</w:t>
            </w:r>
          </w:p>
        </w:tc>
        <w:tc>
          <w:tcPr>
            <w:tcW w:w="1695" w:type="dxa"/>
            <w:noWrap/>
            <w:vAlign w:val="center"/>
          </w:tcPr>
          <w:p w14:paraId="518D632B" w14:textId="77777777" w:rsidR="001503F4" w:rsidRPr="00913F31" w:rsidRDefault="001503F4" w:rsidP="00700912">
            <w:pPr>
              <w:jc w:val="cente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0.056</w:t>
            </w:r>
          </w:p>
        </w:tc>
      </w:tr>
      <w:tr w:rsidR="001503F4" w:rsidRPr="00913F31" w14:paraId="4CD369D8" w14:textId="77777777" w:rsidTr="00700912">
        <w:trPr>
          <w:trHeight w:val="518"/>
        </w:trPr>
        <w:tc>
          <w:tcPr>
            <w:tcW w:w="3226" w:type="dxa"/>
            <w:noWrap/>
            <w:vAlign w:val="center"/>
            <w:hideMark/>
          </w:tcPr>
          <w:p w14:paraId="169E6C0F" w14:textId="77777777" w:rsidR="001503F4" w:rsidRPr="00913F31" w:rsidRDefault="001503F4" w:rsidP="00700912">
            <w:pPr>
              <w:rPr>
                <w:rFonts w:ascii="Arial" w:hAnsi="Arial" w:cs="Arial"/>
                <w:sz w:val="22"/>
                <w:szCs w:val="22"/>
              </w:rPr>
            </w:pPr>
            <w:r w:rsidRPr="00913F31">
              <w:rPr>
                <w:rFonts w:ascii="Arial" w:eastAsia="Times New Roman" w:hAnsi="Arial" w:cs="Arial"/>
                <w:kern w:val="0"/>
                <w:sz w:val="22"/>
                <w:szCs w:val="22"/>
                <w14:ligatures w14:val="none"/>
              </w:rPr>
              <w:t>DBP</w:t>
            </w:r>
            <w:r w:rsidRPr="00913F31">
              <w:rPr>
                <w:rFonts w:ascii="Arial" w:eastAsia="Times New Roman" w:hAnsi="Arial" w:cs="Arial"/>
                <w:kern w:val="0"/>
                <w:sz w:val="22"/>
                <w:szCs w:val="22"/>
                <w:vertAlign w:val="subscript"/>
                <w14:ligatures w14:val="none"/>
              </w:rPr>
              <w:t xml:space="preserve">endVM2l </w:t>
            </w:r>
            <w:r w:rsidRPr="00913F31">
              <w:rPr>
                <w:rFonts w:ascii="Arial" w:hAnsi="Arial" w:cs="Arial"/>
                <w:sz w:val="22"/>
                <w:szCs w:val="22"/>
              </w:rPr>
              <w:t>(mmHg)</w:t>
            </w:r>
          </w:p>
        </w:tc>
        <w:tc>
          <w:tcPr>
            <w:tcW w:w="2212" w:type="dxa"/>
            <w:noWrap/>
            <w:vAlign w:val="center"/>
          </w:tcPr>
          <w:p w14:paraId="56A42D47" w14:textId="77777777" w:rsidR="001503F4" w:rsidRPr="00913F31" w:rsidRDefault="001503F4" w:rsidP="00700912">
            <w:pPr>
              <w:jc w:val="cente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76±16</w:t>
            </w:r>
          </w:p>
        </w:tc>
        <w:tc>
          <w:tcPr>
            <w:tcW w:w="2212" w:type="dxa"/>
            <w:noWrap/>
            <w:vAlign w:val="center"/>
          </w:tcPr>
          <w:p w14:paraId="7369CE9D" w14:textId="77777777" w:rsidR="001503F4" w:rsidRPr="00913F31" w:rsidRDefault="001503F4" w:rsidP="00700912">
            <w:pPr>
              <w:jc w:val="cente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70±15</w:t>
            </w:r>
          </w:p>
        </w:tc>
        <w:tc>
          <w:tcPr>
            <w:tcW w:w="1695" w:type="dxa"/>
            <w:noWrap/>
            <w:vAlign w:val="center"/>
          </w:tcPr>
          <w:p w14:paraId="3D28445D" w14:textId="77777777" w:rsidR="001503F4" w:rsidRPr="00913F31" w:rsidRDefault="001503F4" w:rsidP="00700912">
            <w:pPr>
              <w:jc w:val="cente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0.114</w:t>
            </w:r>
          </w:p>
        </w:tc>
      </w:tr>
      <w:tr w:rsidR="001503F4" w:rsidRPr="00913F31" w14:paraId="26B3C2D5" w14:textId="77777777" w:rsidTr="00700912">
        <w:trPr>
          <w:trHeight w:val="518"/>
        </w:trPr>
        <w:tc>
          <w:tcPr>
            <w:tcW w:w="3226" w:type="dxa"/>
            <w:noWrap/>
            <w:vAlign w:val="center"/>
            <w:hideMark/>
          </w:tcPr>
          <w:p w14:paraId="659056F0" w14:textId="77777777" w:rsidR="001503F4" w:rsidRPr="00913F31" w:rsidRDefault="001503F4" w:rsidP="00700912">
            <w:pPr>
              <w:rPr>
                <w:rFonts w:ascii="Arial" w:hAnsi="Arial" w:cs="Arial"/>
                <w:sz w:val="22"/>
                <w:szCs w:val="22"/>
              </w:rPr>
            </w:pPr>
            <w:r w:rsidRPr="00913F31">
              <w:rPr>
                <w:rFonts w:ascii="Arial" w:eastAsia="Times New Roman" w:hAnsi="Arial" w:cs="Arial"/>
                <w:kern w:val="0"/>
                <w:sz w:val="22"/>
                <w:szCs w:val="22"/>
                <w14:ligatures w14:val="none"/>
              </w:rPr>
              <w:t>HR</w:t>
            </w:r>
            <w:r w:rsidRPr="00913F31">
              <w:rPr>
                <w:rFonts w:ascii="Arial" w:eastAsia="Times New Roman" w:hAnsi="Arial" w:cs="Arial"/>
                <w:kern w:val="0"/>
                <w:sz w:val="22"/>
                <w:szCs w:val="22"/>
                <w:vertAlign w:val="subscript"/>
                <w14:ligatures w14:val="none"/>
              </w:rPr>
              <w:t xml:space="preserve">endVM2l </w:t>
            </w:r>
            <w:r w:rsidRPr="00913F31">
              <w:rPr>
                <w:rFonts w:ascii="Arial" w:hAnsi="Arial" w:cs="Arial"/>
                <w:sz w:val="22"/>
                <w:szCs w:val="22"/>
              </w:rPr>
              <w:t>(beat/min)</w:t>
            </w:r>
          </w:p>
        </w:tc>
        <w:tc>
          <w:tcPr>
            <w:tcW w:w="2212" w:type="dxa"/>
            <w:noWrap/>
            <w:vAlign w:val="center"/>
          </w:tcPr>
          <w:p w14:paraId="6D641C5C" w14:textId="77777777" w:rsidR="001503F4" w:rsidRPr="00913F31" w:rsidRDefault="001503F4" w:rsidP="00700912">
            <w:pPr>
              <w:jc w:val="cente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108±19</w:t>
            </w:r>
          </w:p>
        </w:tc>
        <w:tc>
          <w:tcPr>
            <w:tcW w:w="2212" w:type="dxa"/>
            <w:noWrap/>
            <w:vAlign w:val="center"/>
          </w:tcPr>
          <w:p w14:paraId="34A0FA32" w14:textId="77777777" w:rsidR="001503F4" w:rsidRPr="00913F31" w:rsidRDefault="001503F4" w:rsidP="00700912">
            <w:pPr>
              <w:jc w:val="cente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113±24</w:t>
            </w:r>
          </w:p>
        </w:tc>
        <w:tc>
          <w:tcPr>
            <w:tcW w:w="1695" w:type="dxa"/>
            <w:noWrap/>
            <w:vAlign w:val="center"/>
          </w:tcPr>
          <w:p w14:paraId="1EAB24E9" w14:textId="77777777" w:rsidR="001503F4" w:rsidRPr="00913F31" w:rsidRDefault="001503F4" w:rsidP="00700912">
            <w:pPr>
              <w:jc w:val="cente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0.305</w:t>
            </w:r>
          </w:p>
        </w:tc>
      </w:tr>
      <w:tr w:rsidR="001503F4" w:rsidRPr="00913F31" w14:paraId="29AFC7B6" w14:textId="77777777" w:rsidTr="00700912">
        <w:trPr>
          <w:trHeight w:val="518"/>
        </w:trPr>
        <w:tc>
          <w:tcPr>
            <w:tcW w:w="3226" w:type="dxa"/>
            <w:noWrap/>
            <w:vAlign w:val="center"/>
            <w:hideMark/>
          </w:tcPr>
          <w:p w14:paraId="59462418" w14:textId="77777777" w:rsidR="001503F4" w:rsidRPr="00913F31" w:rsidRDefault="001503F4" w:rsidP="00700912">
            <w:pP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MSNA spike rate</w:t>
            </w:r>
            <w:r w:rsidRPr="00913F31">
              <w:rPr>
                <w:rFonts w:ascii="Arial" w:eastAsia="Times New Roman" w:hAnsi="Arial" w:cs="Arial"/>
                <w:kern w:val="0"/>
                <w:sz w:val="22"/>
                <w:szCs w:val="22"/>
                <w:vertAlign w:val="subscript"/>
                <w14:ligatures w14:val="none"/>
              </w:rPr>
              <w:t>meanVM2l</w:t>
            </w:r>
            <w:r w:rsidRPr="00913F31">
              <w:rPr>
                <w:rFonts w:ascii="Arial" w:hAnsi="Arial" w:cs="Arial"/>
                <w:sz w:val="22"/>
                <w:szCs w:val="22"/>
              </w:rPr>
              <w:t xml:space="preserve"> (spike/s)</w:t>
            </w:r>
          </w:p>
        </w:tc>
        <w:tc>
          <w:tcPr>
            <w:tcW w:w="2212" w:type="dxa"/>
            <w:noWrap/>
            <w:vAlign w:val="center"/>
          </w:tcPr>
          <w:p w14:paraId="72E387D4" w14:textId="77777777" w:rsidR="001503F4" w:rsidRPr="00913F31" w:rsidRDefault="001503F4" w:rsidP="00700912">
            <w:pPr>
              <w:jc w:val="cente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37.55±15.88</w:t>
            </w:r>
          </w:p>
        </w:tc>
        <w:tc>
          <w:tcPr>
            <w:tcW w:w="2212" w:type="dxa"/>
            <w:noWrap/>
            <w:vAlign w:val="center"/>
          </w:tcPr>
          <w:p w14:paraId="1DDECB6D" w14:textId="77777777" w:rsidR="001503F4" w:rsidRPr="00913F31" w:rsidRDefault="001503F4" w:rsidP="00700912">
            <w:pPr>
              <w:jc w:val="cente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34.72±15.78</w:t>
            </w:r>
          </w:p>
        </w:tc>
        <w:tc>
          <w:tcPr>
            <w:tcW w:w="1695" w:type="dxa"/>
            <w:noWrap/>
            <w:vAlign w:val="center"/>
          </w:tcPr>
          <w:p w14:paraId="072ECE5F" w14:textId="77777777" w:rsidR="001503F4" w:rsidRPr="00913F31" w:rsidRDefault="001503F4" w:rsidP="00700912">
            <w:pPr>
              <w:jc w:val="cente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0.778</w:t>
            </w:r>
          </w:p>
        </w:tc>
      </w:tr>
      <w:tr w:rsidR="001503F4" w:rsidRPr="00913F31" w14:paraId="5AA20F13" w14:textId="77777777" w:rsidTr="00700912">
        <w:trPr>
          <w:trHeight w:val="518"/>
        </w:trPr>
        <w:tc>
          <w:tcPr>
            <w:tcW w:w="3226" w:type="dxa"/>
            <w:noWrap/>
            <w:vAlign w:val="center"/>
            <w:hideMark/>
          </w:tcPr>
          <w:p w14:paraId="578D699B" w14:textId="77777777" w:rsidR="001503F4" w:rsidRPr="00913F31" w:rsidRDefault="001503F4" w:rsidP="00700912">
            <w:pPr>
              <w:rPr>
                <w:rFonts w:ascii="Arial" w:hAnsi="Arial" w:cs="Arial"/>
                <w:sz w:val="22"/>
                <w:szCs w:val="22"/>
              </w:rPr>
            </w:pPr>
            <w:r w:rsidRPr="00913F31">
              <w:rPr>
                <w:rFonts w:ascii="Arial" w:eastAsia="Times New Roman" w:hAnsi="Arial" w:cs="Arial"/>
                <w:kern w:val="0"/>
                <w:sz w:val="22"/>
                <w:szCs w:val="22"/>
                <w14:ligatures w14:val="none"/>
              </w:rPr>
              <w:t>SBP</w:t>
            </w:r>
            <w:r w:rsidRPr="00913F31">
              <w:rPr>
                <w:rFonts w:ascii="Arial" w:eastAsia="Times New Roman" w:hAnsi="Arial" w:cs="Arial"/>
                <w:kern w:val="0"/>
                <w:sz w:val="22"/>
                <w:szCs w:val="22"/>
                <w:vertAlign w:val="subscript"/>
                <w14:ligatures w14:val="none"/>
              </w:rPr>
              <w:t xml:space="preserve">VM2l_rise </w:t>
            </w:r>
            <w:r w:rsidRPr="00913F31">
              <w:rPr>
                <w:rFonts w:ascii="Arial" w:hAnsi="Arial" w:cs="Arial"/>
                <w:sz w:val="22"/>
                <w:szCs w:val="22"/>
              </w:rPr>
              <w:t>(mmHg)</w:t>
            </w:r>
          </w:p>
        </w:tc>
        <w:tc>
          <w:tcPr>
            <w:tcW w:w="2212" w:type="dxa"/>
            <w:noWrap/>
            <w:vAlign w:val="center"/>
          </w:tcPr>
          <w:p w14:paraId="67194D00" w14:textId="77777777" w:rsidR="001503F4" w:rsidRPr="00913F31" w:rsidRDefault="001503F4" w:rsidP="00700912">
            <w:pPr>
              <w:jc w:val="cente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19±19</w:t>
            </w:r>
          </w:p>
        </w:tc>
        <w:tc>
          <w:tcPr>
            <w:tcW w:w="2212" w:type="dxa"/>
            <w:noWrap/>
            <w:vAlign w:val="center"/>
          </w:tcPr>
          <w:p w14:paraId="50ABF634" w14:textId="77777777" w:rsidR="001503F4" w:rsidRPr="00913F31" w:rsidRDefault="001503F4" w:rsidP="00700912">
            <w:pPr>
              <w:jc w:val="cente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15±16</w:t>
            </w:r>
          </w:p>
        </w:tc>
        <w:tc>
          <w:tcPr>
            <w:tcW w:w="1695" w:type="dxa"/>
            <w:noWrap/>
            <w:vAlign w:val="center"/>
          </w:tcPr>
          <w:p w14:paraId="701116BC" w14:textId="77777777" w:rsidR="001503F4" w:rsidRPr="00913F31" w:rsidRDefault="001503F4" w:rsidP="00700912">
            <w:pPr>
              <w:jc w:val="cente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0.358</w:t>
            </w:r>
          </w:p>
        </w:tc>
      </w:tr>
      <w:tr w:rsidR="001503F4" w:rsidRPr="00913F31" w14:paraId="44207D1E" w14:textId="77777777" w:rsidTr="00700912">
        <w:trPr>
          <w:trHeight w:val="518"/>
        </w:trPr>
        <w:tc>
          <w:tcPr>
            <w:tcW w:w="3226" w:type="dxa"/>
            <w:noWrap/>
            <w:vAlign w:val="center"/>
            <w:hideMark/>
          </w:tcPr>
          <w:p w14:paraId="16293195" w14:textId="77777777" w:rsidR="001503F4" w:rsidRPr="00913F31" w:rsidRDefault="001503F4" w:rsidP="00700912">
            <w:pPr>
              <w:rPr>
                <w:rFonts w:ascii="Arial" w:hAnsi="Arial" w:cs="Arial"/>
                <w:sz w:val="22"/>
                <w:szCs w:val="22"/>
              </w:rPr>
            </w:pPr>
            <w:r w:rsidRPr="00913F31">
              <w:rPr>
                <w:rFonts w:ascii="Arial" w:eastAsia="Times New Roman" w:hAnsi="Arial" w:cs="Arial"/>
                <w:kern w:val="0"/>
                <w:sz w:val="22"/>
                <w:szCs w:val="22"/>
                <w14:ligatures w14:val="none"/>
              </w:rPr>
              <w:t>DBP</w:t>
            </w:r>
            <w:r w:rsidRPr="00913F31">
              <w:rPr>
                <w:rFonts w:ascii="Arial" w:eastAsia="Times New Roman" w:hAnsi="Arial" w:cs="Arial"/>
                <w:kern w:val="0"/>
                <w:sz w:val="22"/>
                <w:szCs w:val="22"/>
                <w:vertAlign w:val="subscript"/>
                <w14:ligatures w14:val="none"/>
              </w:rPr>
              <w:t xml:space="preserve">VM2l_rise </w:t>
            </w:r>
            <w:r w:rsidRPr="00913F31">
              <w:rPr>
                <w:rFonts w:ascii="Arial" w:hAnsi="Arial" w:cs="Arial"/>
                <w:sz w:val="22"/>
                <w:szCs w:val="22"/>
              </w:rPr>
              <w:t>(mmHg)</w:t>
            </w:r>
          </w:p>
        </w:tc>
        <w:tc>
          <w:tcPr>
            <w:tcW w:w="2212" w:type="dxa"/>
            <w:noWrap/>
            <w:vAlign w:val="center"/>
          </w:tcPr>
          <w:p w14:paraId="455FE743" w14:textId="77777777" w:rsidR="001503F4" w:rsidRPr="00913F31" w:rsidRDefault="001503F4" w:rsidP="00700912">
            <w:pPr>
              <w:jc w:val="cente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15±12</w:t>
            </w:r>
          </w:p>
        </w:tc>
        <w:tc>
          <w:tcPr>
            <w:tcW w:w="2212" w:type="dxa"/>
            <w:noWrap/>
            <w:vAlign w:val="center"/>
          </w:tcPr>
          <w:p w14:paraId="0B37CFC8" w14:textId="77777777" w:rsidR="001503F4" w:rsidRPr="00913F31" w:rsidRDefault="001503F4" w:rsidP="00700912">
            <w:pPr>
              <w:jc w:val="cente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14±13</w:t>
            </w:r>
          </w:p>
        </w:tc>
        <w:tc>
          <w:tcPr>
            <w:tcW w:w="1695" w:type="dxa"/>
            <w:noWrap/>
            <w:vAlign w:val="center"/>
          </w:tcPr>
          <w:p w14:paraId="772AE858" w14:textId="77777777" w:rsidR="001503F4" w:rsidRPr="00913F31" w:rsidRDefault="001503F4" w:rsidP="00700912">
            <w:pPr>
              <w:jc w:val="cente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0.855</w:t>
            </w:r>
          </w:p>
        </w:tc>
      </w:tr>
      <w:tr w:rsidR="001503F4" w:rsidRPr="00913F31" w14:paraId="52919D15" w14:textId="77777777" w:rsidTr="00700912">
        <w:trPr>
          <w:trHeight w:val="518"/>
        </w:trPr>
        <w:tc>
          <w:tcPr>
            <w:tcW w:w="3226" w:type="dxa"/>
            <w:noWrap/>
            <w:vAlign w:val="center"/>
            <w:hideMark/>
          </w:tcPr>
          <w:p w14:paraId="2D6CB932" w14:textId="77777777" w:rsidR="001503F4" w:rsidRPr="00913F31" w:rsidRDefault="001503F4" w:rsidP="00700912">
            <w:pP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DBP slope</w:t>
            </w:r>
            <w:r w:rsidRPr="00913F31">
              <w:rPr>
                <w:rFonts w:ascii="Arial" w:eastAsia="Times New Roman" w:hAnsi="Arial" w:cs="Arial"/>
                <w:kern w:val="0"/>
                <w:sz w:val="22"/>
                <w:szCs w:val="22"/>
                <w:vertAlign w:val="subscript"/>
                <w14:ligatures w14:val="none"/>
              </w:rPr>
              <w:t xml:space="preserve">VM2l </w:t>
            </w:r>
            <w:r w:rsidRPr="00913F31">
              <w:rPr>
                <w:rFonts w:ascii="Arial" w:hAnsi="Arial" w:cs="Arial"/>
                <w:sz w:val="22"/>
                <w:szCs w:val="22"/>
              </w:rPr>
              <w:t>(mmHg/s)</w:t>
            </w:r>
          </w:p>
        </w:tc>
        <w:tc>
          <w:tcPr>
            <w:tcW w:w="2212" w:type="dxa"/>
            <w:noWrap/>
            <w:vAlign w:val="center"/>
          </w:tcPr>
          <w:p w14:paraId="3F099013" w14:textId="77777777" w:rsidR="001503F4" w:rsidRPr="00913F31" w:rsidRDefault="001503F4" w:rsidP="00700912">
            <w:pPr>
              <w:jc w:val="center"/>
              <w:rPr>
                <w:rFonts w:ascii="Arial" w:hAnsi="Arial" w:cs="Arial"/>
                <w:sz w:val="22"/>
                <w:szCs w:val="22"/>
              </w:rPr>
            </w:pPr>
            <w:r w:rsidRPr="00913F31">
              <w:rPr>
                <w:rFonts w:ascii="Arial" w:hAnsi="Arial" w:cs="Arial"/>
                <w:sz w:val="22"/>
                <w:szCs w:val="22"/>
              </w:rPr>
              <w:t>3.02</w:t>
            </w:r>
            <w:r w:rsidRPr="00913F31">
              <w:rPr>
                <w:rFonts w:ascii="Arial" w:eastAsia="Times New Roman" w:hAnsi="Arial" w:cs="Arial"/>
                <w:kern w:val="0"/>
                <w:sz w:val="22"/>
                <w:szCs w:val="22"/>
                <w14:ligatures w14:val="none"/>
              </w:rPr>
              <w:t>±2.17</w:t>
            </w:r>
          </w:p>
        </w:tc>
        <w:tc>
          <w:tcPr>
            <w:tcW w:w="2212" w:type="dxa"/>
            <w:noWrap/>
            <w:vAlign w:val="center"/>
          </w:tcPr>
          <w:p w14:paraId="6CE90BBB" w14:textId="77777777" w:rsidR="001503F4" w:rsidRPr="00913F31" w:rsidRDefault="001503F4" w:rsidP="00700912">
            <w:pPr>
              <w:jc w:val="center"/>
              <w:rPr>
                <w:rFonts w:ascii="Arial" w:hAnsi="Arial" w:cs="Arial"/>
                <w:sz w:val="22"/>
                <w:szCs w:val="22"/>
              </w:rPr>
            </w:pPr>
            <w:r w:rsidRPr="00913F31">
              <w:rPr>
                <w:rFonts w:ascii="Arial" w:hAnsi="Arial" w:cs="Arial"/>
                <w:sz w:val="22"/>
                <w:szCs w:val="22"/>
              </w:rPr>
              <w:t>2.27</w:t>
            </w:r>
            <w:r w:rsidRPr="00913F31">
              <w:rPr>
                <w:rFonts w:ascii="Arial" w:eastAsia="Times New Roman" w:hAnsi="Arial" w:cs="Arial"/>
                <w:kern w:val="0"/>
                <w:sz w:val="22"/>
                <w:szCs w:val="22"/>
                <w14:ligatures w14:val="none"/>
              </w:rPr>
              <w:t>±1.55</w:t>
            </w:r>
          </w:p>
        </w:tc>
        <w:tc>
          <w:tcPr>
            <w:tcW w:w="1695" w:type="dxa"/>
            <w:noWrap/>
            <w:vAlign w:val="center"/>
          </w:tcPr>
          <w:p w14:paraId="4373F52D" w14:textId="77777777" w:rsidR="001503F4" w:rsidRPr="00913F31" w:rsidRDefault="001503F4" w:rsidP="00700912">
            <w:pPr>
              <w:jc w:val="cente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0.252</w:t>
            </w:r>
          </w:p>
        </w:tc>
      </w:tr>
      <w:tr w:rsidR="001503F4" w:rsidRPr="00913F31" w14:paraId="3E0B9D94" w14:textId="77777777" w:rsidTr="00700912">
        <w:trPr>
          <w:trHeight w:val="518"/>
        </w:trPr>
        <w:tc>
          <w:tcPr>
            <w:tcW w:w="3226" w:type="dxa"/>
            <w:noWrap/>
            <w:vAlign w:val="center"/>
          </w:tcPr>
          <w:p w14:paraId="37441163" w14:textId="77777777" w:rsidR="001503F4" w:rsidRPr="00913F31" w:rsidRDefault="001503F4" w:rsidP="00700912">
            <w:pP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 xml:space="preserve">csBRS </w:t>
            </w:r>
            <w:r w:rsidRPr="00913F31">
              <w:rPr>
                <w:rFonts w:ascii="Arial" w:eastAsiaTheme="minorEastAsia" w:hAnsi="Arial" w:cs="Arial"/>
                <w:sz w:val="22"/>
                <w:szCs w:val="22"/>
              </w:rPr>
              <w:t>(spike∙s</w:t>
            </w:r>
            <w:r w:rsidRPr="00913F31">
              <w:rPr>
                <w:rFonts w:ascii="Arial" w:eastAsiaTheme="minorEastAsia" w:hAnsi="Arial" w:cs="Arial"/>
                <w:sz w:val="22"/>
                <w:szCs w:val="22"/>
                <w:vertAlign w:val="superscript"/>
              </w:rPr>
              <w:t>-1</w:t>
            </w:r>
            <w:r w:rsidRPr="00913F31">
              <w:rPr>
                <w:rFonts w:ascii="Arial" w:eastAsiaTheme="minorEastAsia" w:hAnsi="Arial" w:cs="Arial"/>
                <w:sz w:val="22"/>
                <w:szCs w:val="22"/>
              </w:rPr>
              <w:t>/mmHg)</w:t>
            </w:r>
          </w:p>
        </w:tc>
        <w:tc>
          <w:tcPr>
            <w:tcW w:w="2212" w:type="dxa"/>
            <w:noWrap/>
            <w:vAlign w:val="center"/>
          </w:tcPr>
          <w:p w14:paraId="495BC5E0" w14:textId="3FC8969A" w:rsidR="001503F4" w:rsidRPr="00913F31" w:rsidRDefault="00696CA9" w:rsidP="00700912">
            <w:pPr>
              <w:jc w:val="center"/>
              <w:rPr>
                <w:rFonts w:ascii="Arial" w:eastAsia="Times New Roman" w:hAnsi="Arial" w:cs="Arial"/>
                <w:kern w:val="0"/>
                <w:sz w:val="22"/>
                <w:szCs w:val="22"/>
                <w14:ligatures w14:val="none"/>
              </w:rPr>
            </w:pPr>
            <w:r>
              <w:rPr>
                <w:rFonts w:ascii="Arial" w:eastAsia="Times New Roman" w:hAnsi="Arial" w:cs="Arial"/>
                <w:kern w:val="0"/>
                <w:sz w:val="22"/>
                <w:szCs w:val="22"/>
                <w14:ligatures w14:val="none"/>
              </w:rPr>
              <w:t>1.34</w:t>
            </w:r>
            <w:r w:rsidR="001503F4" w:rsidRPr="00913F31">
              <w:rPr>
                <w:rFonts w:ascii="Arial" w:eastAsia="Times New Roman" w:hAnsi="Arial" w:cs="Arial"/>
                <w:kern w:val="0"/>
                <w:sz w:val="22"/>
                <w:szCs w:val="22"/>
                <w14:ligatures w14:val="none"/>
              </w:rPr>
              <w:t>±</w:t>
            </w:r>
            <w:r>
              <w:rPr>
                <w:rFonts w:ascii="Arial" w:eastAsia="Times New Roman" w:hAnsi="Arial" w:cs="Arial"/>
                <w:kern w:val="0"/>
                <w:sz w:val="22"/>
                <w:szCs w:val="22"/>
                <w14:ligatures w14:val="none"/>
              </w:rPr>
              <w:t>1.41</w:t>
            </w:r>
          </w:p>
        </w:tc>
        <w:tc>
          <w:tcPr>
            <w:tcW w:w="2212" w:type="dxa"/>
            <w:noWrap/>
            <w:vAlign w:val="center"/>
          </w:tcPr>
          <w:p w14:paraId="60C30414" w14:textId="7BEF6030" w:rsidR="001503F4" w:rsidRPr="00913F31" w:rsidRDefault="00696CA9" w:rsidP="00700912">
            <w:pPr>
              <w:jc w:val="center"/>
              <w:rPr>
                <w:rFonts w:ascii="Arial" w:eastAsia="Times New Roman" w:hAnsi="Arial" w:cs="Arial"/>
                <w:kern w:val="0"/>
                <w:sz w:val="22"/>
                <w:szCs w:val="22"/>
                <w14:ligatures w14:val="none"/>
              </w:rPr>
            </w:pPr>
            <w:r>
              <w:rPr>
                <w:rFonts w:ascii="Arial" w:eastAsia="Times New Roman" w:hAnsi="Arial" w:cs="Arial"/>
                <w:kern w:val="0"/>
                <w:sz w:val="22"/>
                <w:szCs w:val="22"/>
                <w14:ligatures w14:val="none"/>
              </w:rPr>
              <w:t>2.21</w:t>
            </w:r>
            <w:r w:rsidR="001503F4" w:rsidRPr="00913F31">
              <w:rPr>
                <w:rFonts w:ascii="Arial" w:eastAsia="Times New Roman" w:hAnsi="Arial" w:cs="Arial"/>
                <w:kern w:val="0"/>
                <w:sz w:val="22"/>
                <w:szCs w:val="22"/>
                <w14:ligatures w14:val="none"/>
              </w:rPr>
              <w:t>±</w:t>
            </w:r>
            <w:r>
              <w:rPr>
                <w:rFonts w:ascii="Arial" w:eastAsia="Times New Roman" w:hAnsi="Arial" w:cs="Arial"/>
                <w:kern w:val="0"/>
                <w:sz w:val="22"/>
                <w:szCs w:val="22"/>
                <w14:ligatures w14:val="none"/>
              </w:rPr>
              <w:t>2.32</w:t>
            </w:r>
          </w:p>
        </w:tc>
        <w:tc>
          <w:tcPr>
            <w:tcW w:w="1695" w:type="dxa"/>
            <w:noWrap/>
            <w:vAlign w:val="center"/>
          </w:tcPr>
          <w:p w14:paraId="34806E13" w14:textId="6EFE82AB" w:rsidR="001503F4" w:rsidRPr="00913F31" w:rsidRDefault="001503F4" w:rsidP="00700912">
            <w:pPr>
              <w:jc w:val="cente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0.</w:t>
            </w:r>
            <w:r w:rsidR="00696CA9">
              <w:rPr>
                <w:rFonts w:ascii="Arial" w:eastAsia="Times New Roman" w:hAnsi="Arial" w:cs="Arial"/>
                <w:kern w:val="0"/>
                <w:sz w:val="22"/>
                <w:szCs w:val="22"/>
                <w14:ligatures w14:val="none"/>
              </w:rPr>
              <w:t>922</w:t>
            </w:r>
          </w:p>
        </w:tc>
      </w:tr>
      <w:tr w:rsidR="001503F4" w:rsidRPr="00913F31" w14:paraId="29B1C3D8" w14:textId="77777777" w:rsidTr="00700912">
        <w:trPr>
          <w:trHeight w:val="518"/>
        </w:trPr>
        <w:tc>
          <w:tcPr>
            <w:tcW w:w="3226" w:type="dxa"/>
            <w:noWrap/>
            <w:vAlign w:val="center"/>
          </w:tcPr>
          <w:p w14:paraId="5EA905F7" w14:textId="77777777" w:rsidR="001503F4" w:rsidRPr="00913F31" w:rsidRDefault="001503F4" w:rsidP="00700912">
            <w:pPr>
              <w:rPr>
                <w:rFonts w:ascii="Arial" w:eastAsia="Times New Roman" w:hAnsi="Arial" w:cs="Arial"/>
                <w:kern w:val="0"/>
                <w:sz w:val="22"/>
                <w:szCs w:val="22"/>
                <w14:ligatures w14:val="none"/>
              </w:rPr>
            </w:pPr>
            <w:r w:rsidRPr="00913F31">
              <w:rPr>
                <w:rFonts w:ascii="Arial" w:eastAsiaTheme="minorEastAsia" w:hAnsi="Arial" w:cs="Arial"/>
                <w:sz w:val="22"/>
                <w:szCs w:val="22"/>
              </w:rPr>
              <w:t>psNVT (mmHg/spike∙s</w:t>
            </w:r>
            <w:r w:rsidRPr="00913F31">
              <w:rPr>
                <w:rFonts w:ascii="Arial" w:eastAsiaTheme="minorEastAsia" w:hAnsi="Arial" w:cs="Arial"/>
                <w:sz w:val="22"/>
                <w:szCs w:val="22"/>
                <w:vertAlign w:val="superscript"/>
              </w:rPr>
              <w:t>-1</w:t>
            </w:r>
            <w:r w:rsidRPr="00913F31">
              <w:rPr>
                <w:rFonts w:ascii="Arial" w:eastAsiaTheme="minorEastAsia" w:hAnsi="Arial" w:cs="Arial"/>
                <w:sz w:val="22"/>
                <w:szCs w:val="22"/>
              </w:rPr>
              <w:t>)</w:t>
            </w:r>
          </w:p>
        </w:tc>
        <w:tc>
          <w:tcPr>
            <w:tcW w:w="2212" w:type="dxa"/>
            <w:noWrap/>
            <w:vAlign w:val="center"/>
          </w:tcPr>
          <w:p w14:paraId="1556AE59" w14:textId="77777777" w:rsidR="001503F4" w:rsidRPr="00913F31" w:rsidRDefault="001503F4" w:rsidP="00700912">
            <w:pPr>
              <w:jc w:val="cente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1.30±0.94</w:t>
            </w:r>
          </w:p>
        </w:tc>
        <w:tc>
          <w:tcPr>
            <w:tcW w:w="2212" w:type="dxa"/>
            <w:noWrap/>
            <w:vAlign w:val="center"/>
          </w:tcPr>
          <w:p w14:paraId="396B4919" w14:textId="77777777" w:rsidR="001503F4" w:rsidRPr="00913F31" w:rsidRDefault="001503F4" w:rsidP="00700912">
            <w:pPr>
              <w:jc w:val="cente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1.76±1.83</w:t>
            </w:r>
          </w:p>
        </w:tc>
        <w:tc>
          <w:tcPr>
            <w:tcW w:w="1695" w:type="dxa"/>
            <w:noWrap/>
            <w:vAlign w:val="center"/>
          </w:tcPr>
          <w:p w14:paraId="63E029D5" w14:textId="77777777" w:rsidR="001503F4" w:rsidRPr="00913F31" w:rsidRDefault="001503F4" w:rsidP="00700912">
            <w:pPr>
              <w:jc w:val="cente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0.475</w:t>
            </w:r>
          </w:p>
        </w:tc>
      </w:tr>
      <w:tr w:rsidR="001503F4" w:rsidRPr="00913F31" w14:paraId="12850CDB" w14:textId="77777777" w:rsidTr="00700912">
        <w:trPr>
          <w:trHeight w:val="518"/>
        </w:trPr>
        <w:tc>
          <w:tcPr>
            <w:tcW w:w="3226" w:type="dxa"/>
            <w:noWrap/>
            <w:vAlign w:val="center"/>
          </w:tcPr>
          <w:p w14:paraId="23B30BCA" w14:textId="77777777" w:rsidR="001503F4" w:rsidRPr="00913F31" w:rsidRDefault="001503F4" w:rsidP="00700912">
            <w:pPr>
              <w:jc w:val="center"/>
              <w:rPr>
                <w:rFonts w:ascii="Arial" w:eastAsia="Times New Roman" w:hAnsi="Arial" w:cs="Arial"/>
                <w:kern w:val="0"/>
                <w:sz w:val="22"/>
                <w:szCs w:val="22"/>
                <w:u w:val="single"/>
                <w14:ligatures w14:val="none"/>
              </w:rPr>
            </w:pPr>
            <w:r w:rsidRPr="00913F31">
              <w:rPr>
                <w:rFonts w:ascii="Arial" w:eastAsia="Times New Roman" w:hAnsi="Arial" w:cs="Arial"/>
                <w:kern w:val="0"/>
                <w:sz w:val="22"/>
                <w:szCs w:val="22"/>
                <w:u w:val="single"/>
                <w14:ligatures w14:val="none"/>
              </w:rPr>
              <w:t>Phase 3</w:t>
            </w:r>
          </w:p>
        </w:tc>
        <w:tc>
          <w:tcPr>
            <w:tcW w:w="2212" w:type="dxa"/>
            <w:noWrap/>
            <w:vAlign w:val="center"/>
          </w:tcPr>
          <w:p w14:paraId="26D80174" w14:textId="77777777" w:rsidR="001503F4" w:rsidRPr="00913F31" w:rsidRDefault="001503F4" w:rsidP="00700912">
            <w:pPr>
              <w:jc w:val="center"/>
              <w:rPr>
                <w:rFonts w:ascii="Arial" w:eastAsia="Times New Roman" w:hAnsi="Arial" w:cs="Arial"/>
                <w:kern w:val="0"/>
                <w:sz w:val="22"/>
                <w:szCs w:val="22"/>
                <w14:ligatures w14:val="none"/>
              </w:rPr>
            </w:pPr>
          </w:p>
        </w:tc>
        <w:tc>
          <w:tcPr>
            <w:tcW w:w="2212" w:type="dxa"/>
            <w:noWrap/>
            <w:vAlign w:val="center"/>
          </w:tcPr>
          <w:p w14:paraId="47BC740A" w14:textId="77777777" w:rsidR="001503F4" w:rsidRPr="00913F31" w:rsidRDefault="001503F4" w:rsidP="00700912">
            <w:pPr>
              <w:jc w:val="center"/>
              <w:rPr>
                <w:rFonts w:ascii="Arial" w:eastAsia="Times New Roman" w:hAnsi="Arial" w:cs="Arial"/>
                <w:kern w:val="0"/>
                <w:sz w:val="22"/>
                <w:szCs w:val="22"/>
                <w14:ligatures w14:val="none"/>
              </w:rPr>
            </w:pPr>
          </w:p>
        </w:tc>
        <w:tc>
          <w:tcPr>
            <w:tcW w:w="1695" w:type="dxa"/>
            <w:noWrap/>
            <w:vAlign w:val="center"/>
          </w:tcPr>
          <w:p w14:paraId="23BC869D" w14:textId="77777777" w:rsidR="001503F4" w:rsidRPr="00913F31" w:rsidRDefault="001503F4" w:rsidP="00700912">
            <w:pPr>
              <w:jc w:val="center"/>
              <w:rPr>
                <w:rFonts w:ascii="Arial" w:eastAsia="Times New Roman" w:hAnsi="Arial" w:cs="Arial"/>
                <w:kern w:val="0"/>
                <w:sz w:val="22"/>
                <w:szCs w:val="22"/>
                <w14:ligatures w14:val="none"/>
              </w:rPr>
            </w:pPr>
          </w:p>
        </w:tc>
      </w:tr>
      <w:tr w:rsidR="001503F4" w:rsidRPr="00913F31" w14:paraId="12F10BC8" w14:textId="77777777" w:rsidTr="00700912">
        <w:trPr>
          <w:trHeight w:val="518"/>
        </w:trPr>
        <w:tc>
          <w:tcPr>
            <w:tcW w:w="3226" w:type="dxa"/>
            <w:noWrap/>
            <w:vAlign w:val="center"/>
            <w:hideMark/>
          </w:tcPr>
          <w:p w14:paraId="154ADC8B" w14:textId="77777777" w:rsidR="001503F4" w:rsidRPr="00913F31" w:rsidRDefault="001503F4" w:rsidP="00700912">
            <w:pP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SBP</w:t>
            </w:r>
            <w:r w:rsidRPr="00913F31">
              <w:rPr>
                <w:rFonts w:ascii="Arial" w:eastAsia="Times New Roman" w:hAnsi="Arial" w:cs="Arial"/>
                <w:kern w:val="0"/>
                <w:sz w:val="22"/>
                <w:szCs w:val="22"/>
                <w:vertAlign w:val="subscript"/>
                <w14:ligatures w14:val="none"/>
              </w:rPr>
              <w:t>endVM3</w:t>
            </w:r>
            <w:r w:rsidRPr="00913F31">
              <w:rPr>
                <w:rFonts w:ascii="Arial" w:hAnsi="Arial" w:cs="Arial"/>
                <w:sz w:val="22"/>
                <w:szCs w:val="22"/>
              </w:rPr>
              <w:t xml:space="preserve"> (mmHg)</w:t>
            </w:r>
          </w:p>
        </w:tc>
        <w:tc>
          <w:tcPr>
            <w:tcW w:w="2212" w:type="dxa"/>
            <w:noWrap/>
            <w:vAlign w:val="center"/>
          </w:tcPr>
          <w:p w14:paraId="73FB6FB3" w14:textId="77777777" w:rsidR="001503F4" w:rsidRPr="00913F31" w:rsidRDefault="001503F4" w:rsidP="00700912">
            <w:pPr>
              <w:jc w:val="cente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84±22</w:t>
            </w:r>
          </w:p>
        </w:tc>
        <w:tc>
          <w:tcPr>
            <w:tcW w:w="2212" w:type="dxa"/>
            <w:noWrap/>
            <w:vAlign w:val="center"/>
          </w:tcPr>
          <w:p w14:paraId="0FF91081" w14:textId="77777777" w:rsidR="001503F4" w:rsidRPr="00913F31" w:rsidRDefault="001503F4" w:rsidP="00700912">
            <w:pPr>
              <w:jc w:val="cente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75±16</w:t>
            </w:r>
          </w:p>
        </w:tc>
        <w:tc>
          <w:tcPr>
            <w:tcW w:w="1695" w:type="dxa"/>
            <w:noWrap/>
            <w:vAlign w:val="center"/>
          </w:tcPr>
          <w:p w14:paraId="60FADCAF" w14:textId="77777777" w:rsidR="001503F4" w:rsidRPr="00913F31" w:rsidRDefault="001503F4" w:rsidP="00700912">
            <w:pPr>
              <w:jc w:val="cente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0.047</w:t>
            </w:r>
          </w:p>
        </w:tc>
      </w:tr>
      <w:tr w:rsidR="001503F4" w:rsidRPr="00913F31" w14:paraId="0FFF61B4" w14:textId="77777777" w:rsidTr="00700912">
        <w:trPr>
          <w:trHeight w:val="518"/>
        </w:trPr>
        <w:tc>
          <w:tcPr>
            <w:tcW w:w="3226" w:type="dxa"/>
            <w:noWrap/>
            <w:vAlign w:val="center"/>
            <w:hideMark/>
          </w:tcPr>
          <w:p w14:paraId="445DA1D7" w14:textId="77777777" w:rsidR="001503F4" w:rsidRPr="00913F31" w:rsidRDefault="001503F4" w:rsidP="00700912">
            <w:pP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DBP</w:t>
            </w:r>
            <w:r w:rsidRPr="00913F31">
              <w:rPr>
                <w:rFonts w:ascii="Arial" w:eastAsia="Times New Roman" w:hAnsi="Arial" w:cs="Arial"/>
                <w:kern w:val="0"/>
                <w:sz w:val="22"/>
                <w:szCs w:val="22"/>
                <w:vertAlign w:val="subscript"/>
                <w14:ligatures w14:val="none"/>
              </w:rPr>
              <w:t>endVM3</w:t>
            </w:r>
            <w:r w:rsidRPr="00913F31">
              <w:rPr>
                <w:rFonts w:ascii="Arial" w:hAnsi="Arial" w:cs="Arial"/>
                <w:sz w:val="22"/>
                <w:szCs w:val="22"/>
              </w:rPr>
              <w:t xml:space="preserve"> (mmHg)</w:t>
            </w:r>
          </w:p>
        </w:tc>
        <w:tc>
          <w:tcPr>
            <w:tcW w:w="2212" w:type="dxa"/>
            <w:noWrap/>
            <w:vAlign w:val="center"/>
          </w:tcPr>
          <w:p w14:paraId="5716990F" w14:textId="77777777" w:rsidR="001503F4" w:rsidRPr="00913F31" w:rsidRDefault="001503F4" w:rsidP="00700912">
            <w:pPr>
              <w:jc w:val="cente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67±16</w:t>
            </w:r>
          </w:p>
        </w:tc>
        <w:tc>
          <w:tcPr>
            <w:tcW w:w="2212" w:type="dxa"/>
            <w:noWrap/>
            <w:vAlign w:val="center"/>
          </w:tcPr>
          <w:p w14:paraId="18FABA21" w14:textId="77777777" w:rsidR="001503F4" w:rsidRPr="00913F31" w:rsidRDefault="001503F4" w:rsidP="00700912">
            <w:pPr>
              <w:jc w:val="cente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61±11</w:t>
            </w:r>
          </w:p>
        </w:tc>
        <w:tc>
          <w:tcPr>
            <w:tcW w:w="1695" w:type="dxa"/>
            <w:noWrap/>
            <w:vAlign w:val="center"/>
          </w:tcPr>
          <w:p w14:paraId="65C34A1F" w14:textId="77777777" w:rsidR="001503F4" w:rsidRPr="00913F31" w:rsidRDefault="001503F4" w:rsidP="00700912">
            <w:pPr>
              <w:jc w:val="cente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0.060</w:t>
            </w:r>
          </w:p>
        </w:tc>
      </w:tr>
      <w:tr w:rsidR="001503F4" w:rsidRPr="00913F31" w14:paraId="14F60954" w14:textId="77777777" w:rsidTr="00700912">
        <w:trPr>
          <w:trHeight w:val="518"/>
        </w:trPr>
        <w:tc>
          <w:tcPr>
            <w:tcW w:w="3226" w:type="dxa"/>
            <w:noWrap/>
            <w:vAlign w:val="center"/>
            <w:hideMark/>
          </w:tcPr>
          <w:p w14:paraId="5353F315" w14:textId="77777777" w:rsidR="001503F4" w:rsidRPr="00913F31" w:rsidRDefault="001503F4" w:rsidP="00700912">
            <w:pP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HR</w:t>
            </w:r>
            <w:r w:rsidRPr="00913F31">
              <w:rPr>
                <w:rFonts w:ascii="Arial" w:eastAsia="Times New Roman" w:hAnsi="Arial" w:cs="Arial"/>
                <w:kern w:val="0"/>
                <w:sz w:val="22"/>
                <w:szCs w:val="22"/>
                <w:vertAlign w:val="subscript"/>
                <w14:ligatures w14:val="none"/>
              </w:rPr>
              <w:t xml:space="preserve">endVM3 </w:t>
            </w:r>
            <w:r w:rsidRPr="00913F31">
              <w:rPr>
                <w:rFonts w:ascii="Arial" w:hAnsi="Arial" w:cs="Arial"/>
                <w:sz w:val="22"/>
                <w:szCs w:val="22"/>
              </w:rPr>
              <w:t>(beat/min)</w:t>
            </w:r>
          </w:p>
        </w:tc>
        <w:tc>
          <w:tcPr>
            <w:tcW w:w="2212" w:type="dxa"/>
            <w:noWrap/>
            <w:vAlign w:val="center"/>
          </w:tcPr>
          <w:p w14:paraId="56A14B6A" w14:textId="77777777" w:rsidR="001503F4" w:rsidRPr="00913F31" w:rsidRDefault="001503F4" w:rsidP="00700912">
            <w:pPr>
              <w:jc w:val="cente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110±18</w:t>
            </w:r>
          </w:p>
        </w:tc>
        <w:tc>
          <w:tcPr>
            <w:tcW w:w="2212" w:type="dxa"/>
            <w:noWrap/>
            <w:vAlign w:val="center"/>
          </w:tcPr>
          <w:p w14:paraId="04D6F2BC" w14:textId="77777777" w:rsidR="001503F4" w:rsidRPr="00913F31" w:rsidRDefault="001503F4" w:rsidP="00700912">
            <w:pPr>
              <w:jc w:val="cente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114±22</w:t>
            </w:r>
          </w:p>
        </w:tc>
        <w:tc>
          <w:tcPr>
            <w:tcW w:w="1695" w:type="dxa"/>
            <w:noWrap/>
            <w:vAlign w:val="center"/>
          </w:tcPr>
          <w:p w14:paraId="452AC5E0" w14:textId="77777777" w:rsidR="001503F4" w:rsidRPr="00913F31" w:rsidRDefault="001503F4" w:rsidP="00700912">
            <w:pPr>
              <w:jc w:val="cente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0.343</w:t>
            </w:r>
          </w:p>
        </w:tc>
      </w:tr>
      <w:tr w:rsidR="001503F4" w:rsidRPr="00913F31" w14:paraId="4C98948D" w14:textId="77777777" w:rsidTr="00700912">
        <w:trPr>
          <w:trHeight w:val="518"/>
        </w:trPr>
        <w:tc>
          <w:tcPr>
            <w:tcW w:w="3226" w:type="dxa"/>
            <w:noWrap/>
            <w:vAlign w:val="center"/>
          </w:tcPr>
          <w:p w14:paraId="3DD0A505" w14:textId="77777777" w:rsidR="001503F4" w:rsidRPr="00913F31" w:rsidRDefault="001503F4" w:rsidP="00700912">
            <w:pPr>
              <w:jc w:val="center"/>
              <w:rPr>
                <w:rFonts w:ascii="Arial" w:eastAsia="Times New Roman" w:hAnsi="Arial" w:cs="Arial"/>
                <w:kern w:val="0"/>
                <w:sz w:val="22"/>
                <w:szCs w:val="22"/>
                <w14:ligatures w14:val="none"/>
              </w:rPr>
            </w:pPr>
            <w:r w:rsidRPr="00913F31">
              <w:rPr>
                <w:rFonts w:ascii="Arial" w:hAnsi="Arial" w:cs="Arial"/>
                <w:sz w:val="22"/>
                <w:szCs w:val="22"/>
                <w:u w:val="single"/>
              </w:rPr>
              <w:t>Phase 4</w:t>
            </w:r>
          </w:p>
        </w:tc>
        <w:tc>
          <w:tcPr>
            <w:tcW w:w="2212" w:type="dxa"/>
            <w:noWrap/>
            <w:vAlign w:val="center"/>
          </w:tcPr>
          <w:p w14:paraId="085791ED" w14:textId="77777777" w:rsidR="001503F4" w:rsidRPr="00913F31" w:rsidRDefault="001503F4" w:rsidP="00700912">
            <w:pPr>
              <w:jc w:val="center"/>
              <w:rPr>
                <w:rFonts w:ascii="Arial" w:eastAsia="Times New Roman" w:hAnsi="Arial" w:cs="Arial"/>
                <w:kern w:val="0"/>
                <w:sz w:val="22"/>
                <w:szCs w:val="22"/>
                <w14:ligatures w14:val="none"/>
              </w:rPr>
            </w:pPr>
          </w:p>
        </w:tc>
        <w:tc>
          <w:tcPr>
            <w:tcW w:w="2212" w:type="dxa"/>
            <w:noWrap/>
            <w:vAlign w:val="center"/>
          </w:tcPr>
          <w:p w14:paraId="2285F429" w14:textId="77777777" w:rsidR="001503F4" w:rsidRPr="00913F31" w:rsidRDefault="001503F4" w:rsidP="00700912">
            <w:pPr>
              <w:jc w:val="center"/>
              <w:rPr>
                <w:rFonts w:ascii="Arial" w:eastAsia="Times New Roman" w:hAnsi="Arial" w:cs="Arial"/>
                <w:kern w:val="0"/>
                <w:sz w:val="22"/>
                <w:szCs w:val="22"/>
                <w14:ligatures w14:val="none"/>
              </w:rPr>
            </w:pPr>
          </w:p>
        </w:tc>
        <w:tc>
          <w:tcPr>
            <w:tcW w:w="1695" w:type="dxa"/>
            <w:noWrap/>
            <w:vAlign w:val="center"/>
          </w:tcPr>
          <w:p w14:paraId="07F4922E" w14:textId="77777777" w:rsidR="001503F4" w:rsidRPr="00913F31" w:rsidRDefault="001503F4" w:rsidP="00700912">
            <w:pPr>
              <w:jc w:val="center"/>
              <w:rPr>
                <w:rFonts w:ascii="Arial" w:eastAsia="Times New Roman" w:hAnsi="Arial" w:cs="Arial"/>
                <w:kern w:val="0"/>
                <w:sz w:val="22"/>
                <w:szCs w:val="22"/>
                <w14:ligatures w14:val="none"/>
              </w:rPr>
            </w:pPr>
          </w:p>
        </w:tc>
      </w:tr>
      <w:tr w:rsidR="001503F4" w:rsidRPr="00913F31" w14:paraId="51B1CA78" w14:textId="77777777" w:rsidTr="00700912">
        <w:trPr>
          <w:trHeight w:val="518"/>
        </w:trPr>
        <w:tc>
          <w:tcPr>
            <w:tcW w:w="3226" w:type="dxa"/>
            <w:noWrap/>
            <w:vAlign w:val="center"/>
            <w:hideMark/>
          </w:tcPr>
          <w:p w14:paraId="1487B4A6" w14:textId="77777777" w:rsidR="001503F4" w:rsidRPr="00913F31" w:rsidRDefault="001503F4" w:rsidP="00700912">
            <w:pPr>
              <w:rPr>
                <w:rFonts w:ascii="Arial" w:hAnsi="Arial" w:cs="Arial"/>
                <w:sz w:val="22"/>
                <w:szCs w:val="22"/>
              </w:rPr>
            </w:pPr>
            <w:r w:rsidRPr="00913F31">
              <w:rPr>
                <w:rFonts w:ascii="Arial" w:eastAsia="Times New Roman" w:hAnsi="Arial" w:cs="Arial"/>
                <w:kern w:val="0"/>
                <w:sz w:val="22"/>
                <w:szCs w:val="22"/>
                <w14:ligatures w14:val="none"/>
              </w:rPr>
              <w:t>SBP</w:t>
            </w:r>
            <w:r w:rsidRPr="00C50A6C">
              <w:rPr>
                <w:rFonts w:ascii="Arial" w:eastAsia="Times New Roman" w:hAnsi="Arial" w:cs="Arial"/>
                <w:kern w:val="0"/>
                <w:sz w:val="22"/>
                <w:szCs w:val="22"/>
                <w:vertAlign w:val="subscript"/>
                <w14:ligatures w14:val="none"/>
              </w:rPr>
              <w:t>maxVM4</w:t>
            </w:r>
            <w:r w:rsidRPr="00913F31">
              <w:rPr>
                <w:rFonts w:ascii="Arial" w:eastAsia="Times New Roman" w:hAnsi="Arial" w:cs="Arial"/>
                <w:kern w:val="0"/>
                <w:sz w:val="22"/>
                <w:szCs w:val="22"/>
                <w:vertAlign w:val="subscript"/>
                <w14:ligatures w14:val="none"/>
              </w:rPr>
              <w:t xml:space="preserve"> </w:t>
            </w:r>
            <w:r w:rsidRPr="00913F31">
              <w:rPr>
                <w:rFonts w:ascii="Arial" w:hAnsi="Arial" w:cs="Arial"/>
                <w:sz w:val="22"/>
                <w:szCs w:val="22"/>
              </w:rPr>
              <w:t>(mmHg)</w:t>
            </w:r>
          </w:p>
        </w:tc>
        <w:tc>
          <w:tcPr>
            <w:tcW w:w="2212" w:type="dxa"/>
            <w:noWrap/>
            <w:vAlign w:val="center"/>
          </w:tcPr>
          <w:p w14:paraId="352A0C76" w14:textId="77777777" w:rsidR="001503F4" w:rsidRPr="00913F31" w:rsidRDefault="001503F4" w:rsidP="00700912">
            <w:pPr>
              <w:jc w:val="cente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138±40</w:t>
            </w:r>
          </w:p>
        </w:tc>
        <w:tc>
          <w:tcPr>
            <w:tcW w:w="2212" w:type="dxa"/>
            <w:noWrap/>
            <w:vAlign w:val="center"/>
          </w:tcPr>
          <w:p w14:paraId="292CE1A3" w14:textId="77777777" w:rsidR="001503F4" w:rsidRPr="00913F31" w:rsidRDefault="001503F4" w:rsidP="00700912">
            <w:pPr>
              <w:jc w:val="cente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126±31</w:t>
            </w:r>
          </w:p>
        </w:tc>
        <w:tc>
          <w:tcPr>
            <w:tcW w:w="1695" w:type="dxa"/>
            <w:noWrap/>
            <w:vAlign w:val="center"/>
          </w:tcPr>
          <w:p w14:paraId="39D8EABB" w14:textId="77777777" w:rsidR="001503F4" w:rsidRPr="00913F31" w:rsidRDefault="001503F4" w:rsidP="00700912">
            <w:pPr>
              <w:jc w:val="cente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0.112</w:t>
            </w:r>
          </w:p>
        </w:tc>
      </w:tr>
      <w:tr w:rsidR="001503F4" w:rsidRPr="00913F31" w14:paraId="67301967" w14:textId="77777777" w:rsidTr="00700912">
        <w:trPr>
          <w:trHeight w:val="518"/>
        </w:trPr>
        <w:tc>
          <w:tcPr>
            <w:tcW w:w="3226" w:type="dxa"/>
            <w:noWrap/>
            <w:vAlign w:val="center"/>
            <w:hideMark/>
          </w:tcPr>
          <w:p w14:paraId="2CB142D3" w14:textId="77777777" w:rsidR="001503F4" w:rsidRPr="00913F31" w:rsidRDefault="001503F4" w:rsidP="00700912">
            <w:pPr>
              <w:rPr>
                <w:rFonts w:ascii="Arial" w:hAnsi="Arial" w:cs="Arial"/>
                <w:sz w:val="22"/>
                <w:szCs w:val="22"/>
              </w:rPr>
            </w:pPr>
            <w:r w:rsidRPr="00913F31">
              <w:rPr>
                <w:rFonts w:ascii="Arial" w:eastAsia="Times New Roman" w:hAnsi="Arial" w:cs="Arial"/>
                <w:kern w:val="0"/>
                <w:sz w:val="22"/>
                <w:szCs w:val="22"/>
                <w14:ligatures w14:val="none"/>
              </w:rPr>
              <w:t>DBP</w:t>
            </w:r>
            <w:r w:rsidRPr="00C50A6C">
              <w:rPr>
                <w:rFonts w:ascii="Arial" w:eastAsia="Times New Roman" w:hAnsi="Arial" w:cs="Arial"/>
                <w:kern w:val="0"/>
                <w:sz w:val="22"/>
                <w:szCs w:val="22"/>
                <w:vertAlign w:val="subscript"/>
                <w14:ligatures w14:val="none"/>
              </w:rPr>
              <w:t>maxVM4</w:t>
            </w:r>
            <w:r w:rsidRPr="00913F31">
              <w:rPr>
                <w:rFonts w:ascii="Arial" w:eastAsia="Times New Roman" w:hAnsi="Arial" w:cs="Arial"/>
                <w:kern w:val="0"/>
                <w:sz w:val="22"/>
                <w:szCs w:val="22"/>
                <w:vertAlign w:val="subscript"/>
                <w14:ligatures w14:val="none"/>
              </w:rPr>
              <w:t xml:space="preserve"> </w:t>
            </w:r>
            <w:r w:rsidRPr="00913F31">
              <w:rPr>
                <w:rFonts w:ascii="Arial" w:hAnsi="Arial" w:cs="Arial"/>
                <w:sz w:val="22"/>
                <w:szCs w:val="22"/>
              </w:rPr>
              <w:t>(mmHg)</w:t>
            </w:r>
          </w:p>
        </w:tc>
        <w:tc>
          <w:tcPr>
            <w:tcW w:w="2212" w:type="dxa"/>
            <w:noWrap/>
            <w:vAlign w:val="center"/>
          </w:tcPr>
          <w:p w14:paraId="275D5B57" w14:textId="77777777" w:rsidR="001503F4" w:rsidRPr="00913F31" w:rsidRDefault="001503F4" w:rsidP="00700912">
            <w:pPr>
              <w:jc w:val="cente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88±19</w:t>
            </w:r>
          </w:p>
        </w:tc>
        <w:tc>
          <w:tcPr>
            <w:tcW w:w="2212" w:type="dxa"/>
            <w:noWrap/>
            <w:vAlign w:val="center"/>
          </w:tcPr>
          <w:p w14:paraId="4385E568" w14:textId="77777777" w:rsidR="001503F4" w:rsidRPr="00913F31" w:rsidRDefault="001503F4" w:rsidP="00700912">
            <w:pPr>
              <w:jc w:val="cente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81±17</w:t>
            </w:r>
          </w:p>
        </w:tc>
        <w:tc>
          <w:tcPr>
            <w:tcW w:w="1695" w:type="dxa"/>
            <w:noWrap/>
            <w:vAlign w:val="center"/>
          </w:tcPr>
          <w:p w14:paraId="02BEA798" w14:textId="77777777" w:rsidR="001503F4" w:rsidRPr="00913F31" w:rsidRDefault="001503F4" w:rsidP="00700912">
            <w:pPr>
              <w:jc w:val="cente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0.094</w:t>
            </w:r>
          </w:p>
        </w:tc>
      </w:tr>
      <w:tr w:rsidR="001503F4" w:rsidRPr="00913F31" w14:paraId="249AE464" w14:textId="77777777" w:rsidTr="00700912">
        <w:trPr>
          <w:trHeight w:val="518"/>
        </w:trPr>
        <w:tc>
          <w:tcPr>
            <w:tcW w:w="3226" w:type="dxa"/>
            <w:noWrap/>
            <w:vAlign w:val="center"/>
            <w:hideMark/>
          </w:tcPr>
          <w:p w14:paraId="3B4B848C" w14:textId="77777777" w:rsidR="001503F4" w:rsidRPr="00913F31" w:rsidRDefault="001503F4" w:rsidP="00700912">
            <w:pP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VM ratio</w:t>
            </w:r>
          </w:p>
        </w:tc>
        <w:tc>
          <w:tcPr>
            <w:tcW w:w="2212" w:type="dxa"/>
            <w:noWrap/>
            <w:vAlign w:val="center"/>
          </w:tcPr>
          <w:p w14:paraId="5B28D091" w14:textId="77777777" w:rsidR="001503F4" w:rsidRPr="00913F31" w:rsidRDefault="001503F4" w:rsidP="00700912">
            <w:pPr>
              <w:jc w:val="cente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2.11±0.39</w:t>
            </w:r>
          </w:p>
        </w:tc>
        <w:tc>
          <w:tcPr>
            <w:tcW w:w="2212" w:type="dxa"/>
            <w:noWrap/>
            <w:vAlign w:val="center"/>
          </w:tcPr>
          <w:p w14:paraId="47D61F1F" w14:textId="77777777" w:rsidR="001503F4" w:rsidRPr="00913F31" w:rsidRDefault="001503F4" w:rsidP="00700912">
            <w:pPr>
              <w:jc w:val="cente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2.06±0.46</w:t>
            </w:r>
          </w:p>
        </w:tc>
        <w:tc>
          <w:tcPr>
            <w:tcW w:w="1695" w:type="dxa"/>
            <w:noWrap/>
            <w:vAlign w:val="center"/>
          </w:tcPr>
          <w:p w14:paraId="7C74B6EF" w14:textId="77777777" w:rsidR="001503F4" w:rsidRPr="00913F31" w:rsidRDefault="001503F4" w:rsidP="00700912">
            <w:pPr>
              <w:jc w:val="cente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0.567</w:t>
            </w:r>
          </w:p>
        </w:tc>
      </w:tr>
      <w:tr w:rsidR="001503F4" w:rsidRPr="00913F31" w14:paraId="23FE1D24" w14:textId="77777777" w:rsidTr="00700912">
        <w:trPr>
          <w:trHeight w:val="518"/>
        </w:trPr>
        <w:tc>
          <w:tcPr>
            <w:tcW w:w="3226" w:type="dxa"/>
            <w:noWrap/>
            <w:vAlign w:val="center"/>
          </w:tcPr>
          <w:p w14:paraId="653883A7" w14:textId="77777777" w:rsidR="001503F4" w:rsidRPr="00913F31" w:rsidRDefault="001503F4" w:rsidP="00700912">
            <w:pP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lastRenderedPageBreak/>
              <w:t>PRT (s)</w:t>
            </w:r>
          </w:p>
        </w:tc>
        <w:tc>
          <w:tcPr>
            <w:tcW w:w="2212" w:type="dxa"/>
            <w:noWrap/>
            <w:vAlign w:val="center"/>
          </w:tcPr>
          <w:p w14:paraId="441F87C4" w14:textId="77777777" w:rsidR="001503F4" w:rsidRPr="00913F31" w:rsidRDefault="001503F4" w:rsidP="00700912">
            <w:pPr>
              <w:jc w:val="cente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2.78±3.34</w:t>
            </w:r>
          </w:p>
        </w:tc>
        <w:tc>
          <w:tcPr>
            <w:tcW w:w="2212" w:type="dxa"/>
            <w:noWrap/>
            <w:vAlign w:val="center"/>
          </w:tcPr>
          <w:p w14:paraId="08A84BD7" w14:textId="77777777" w:rsidR="001503F4" w:rsidRPr="00913F31" w:rsidRDefault="001503F4" w:rsidP="00700912">
            <w:pPr>
              <w:jc w:val="cente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4.60±8.28</w:t>
            </w:r>
          </w:p>
        </w:tc>
        <w:tc>
          <w:tcPr>
            <w:tcW w:w="1695" w:type="dxa"/>
            <w:noWrap/>
            <w:vAlign w:val="center"/>
          </w:tcPr>
          <w:p w14:paraId="3B721E38" w14:textId="77777777" w:rsidR="001503F4" w:rsidRPr="00913F31" w:rsidRDefault="001503F4" w:rsidP="00700912">
            <w:pPr>
              <w:jc w:val="cente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0.001</w:t>
            </w:r>
          </w:p>
        </w:tc>
      </w:tr>
      <w:tr w:rsidR="001503F4" w:rsidRPr="00913F31" w14:paraId="439B6750" w14:textId="77777777" w:rsidTr="00700912">
        <w:trPr>
          <w:trHeight w:val="518"/>
        </w:trPr>
        <w:tc>
          <w:tcPr>
            <w:tcW w:w="3226" w:type="dxa"/>
            <w:noWrap/>
            <w:vAlign w:val="center"/>
          </w:tcPr>
          <w:p w14:paraId="66B0BCE7" w14:textId="77777777" w:rsidR="001503F4" w:rsidRPr="00913F31" w:rsidRDefault="001503F4" w:rsidP="00700912">
            <w:pP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SBP overshoot (mmHg)</w:t>
            </w:r>
          </w:p>
        </w:tc>
        <w:tc>
          <w:tcPr>
            <w:tcW w:w="2212" w:type="dxa"/>
            <w:noWrap/>
            <w:vAlign w:val="center"/>
          </w:tcPr>
          <w:p w14:paraId="254BC70E" w14:textId="77777777" w:rsidR="001503F4" w:rsidRPr="00913F31" w:rsidRDefault="001503F4" w:rsidP="00700912">
            <w:pPr>
              <w:jc w:val="cente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28±28</w:t>
            </w:r>
          </w:p>
        </w:tc>
        <w:tc>
          <w:tcPr>
            <w:tcW w:w="2212" w:type="dxa"/>
            <w:noWrap/>
            <w:vAlign w:val="center"/>
          </w:tcPr>
          <w:p w14:paraId="67203575" w14:textId="77777777" w:rsidR="001503F4" w:rsidRPr="00913F31" w:rsidRDefault="001503F4" w:rsidP="00700912">
            <w:pPr>
              <w:jc w:val="cente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22±18</w:t>
            </w:r>
          </w:p>
        </w:tc>
        <w:tc>
          <w:tcPr>
            <w:tcW w:w="1695" w:type="dxa"/>
            <w:noWrap/>
            <w:vAlign w:val="center"/>
          </w:tcPr>
          <w:p w14:paraId="59AFAD62" w14:textId="77777777" w:rsidR="001503F4" w:rsidRPr="00913F31" w:rsidRDefault="001503F4" w:rsidP="00700912">
            <w:pPr>
              <w:jc w:val="cente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0.303</w:t>
            </w:r>
          </w:p>
        </w:tc>
      </w:tr>
      <w:tr w:rsidR="001503F4" w:rsidRPr="00913F31" w14:paraId="0C46108A" w14:textId="77777777" w:rsidTr="00700912">
        <w:trPr>
          <w:trHeight w:val="518"/>
        </w:trPr>
        <w:tc>
          <w:tcPr>
            <w:tcW w:w="3226" w:type="dxa"/>
            <w:tcBorders>
              <w:bottom w:val="single" w:sz="4" w:space="0" w:color="auto"/>
            </w:tcBorders>
            <w:noWrap/>
            <w:vAlign w:val="center"/>
          </w:tcPr>
          <w:p w14:paraId="3BD73251" w14:textId="77777777" w:rsidR="001503F4" w:rsidRPr="00913F31" w:rsidRDefault="001503F4" w:rsidP="00700912">
            <w:pP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Cardiovagal BRS</w:t>
            </w:r>
            <w:r w:rsidRPr="00913F31">
              <w:rPr>
                <w:rFonts w:ascii="Arial" w:eastAsia="Times New Roman" w:hAnsi="Arial" w:cs="Arial"/>
                <w:kern w:val="0"/>
                <w:sz w:val="22"/>
                <w:szCs w:val="22"/>
                <w:vertAlign w:val="subscript"/>
                <w14:ligatures w14:val="none"/>
              </w:rPr>
              <w:t>VM4</w:t>
            </w:r>
            <w:r w:rsidRPr="00913F31">
              <w:rPr>
                <w:rFonts w:ascii="Arial" w:eastAsia="Times New Roman" w:hAnsi="Arial" w:cs="Arial"/>
                <w:kern w:val="0"/>
                <w:sz w:val="22"/>
                <w:szCs w:val="22"/>
                <w14:ligatures w14:val="none"/>
              </w:rPr>
              <w:t xml:space="preserve"> (ms/mmHg)</w:t>
            </w:r>
          </w:p>
        </w:tc>
        <w:tc>
          <w:tcPr>
            <w:tcW w:w="2212" w:type="dxa"/>
            <w:tcBorders>
              <w:bottom w:val="single" w:sz="4" w:space="0" w:color="auto"/>
            </w:tcBorders>
            <w:noWrap/>
            <w:vAlign w:val="center"/>
          </w:tcPr>
          <w:p w14:paraId="49B2277D" w14:textId="77777777" w:rsidR="001503F4" w:rsidRPr="00913F31" w:rsidRDefault="001503F4" w:rsidP="00700912">
            <w:pPr>
              <w:jc w:val="center"/>
              <w:rPr>
                <w:rFonts w:ascii="Arial" w:eastAsia="Times New Roman" w:hAnsi="Arial" w:cs="Arial"/>
                <w:kern w:val="0"/>
                <w:sz w:val="22"/>
                <w:szCs w:val="22"/>
                <w14:ligatures w14:val="none"/>
              </w:rPr>
            </w:pPr>
            <w:r>
              <w:rPr>
                <w:rFonts w:ascii="Arial" w:eastAsia="Times New Roman" w:hAnsi="Arial" w:cs="Arial"/>
                <w:kern w:val="0"/>
                <w:sz w:val="22"/>
                <w:szCs w:val="22"/>
                <w14:ligatures w14:val="none"/>
              </w:rPr>
              <w:t>12.16</w:t>
            </w:r>
            <w:r w:rsidRPr="00913F31">
              <w:rPr>
                <w:rFonts w:ascii="Arial" w:eastAsia="Times New Roman" w:hAnsi="Arial" w:cs="Arial"/>
                <w:kern w:val="0"/>
                <w:sz w:val="22"/>
                <w:szCs w:val="22"/>
                <w14:ligatures w14:val="none"/>
              </w:rPr>
              <w:t>±</w:t>
            </w:r>
            <w:r>
              <w:rPr>
                <w:rFonts w:ascii="Arial" w:eastAsia="Times New Roman" w:hAnsi="Arial" w:cs="Arial"/>
                <w:kern w:val="0"/>
                <w:sz w:val="22"/>
                <w:szCs w:val="22"/>
                <w14:ligatures w14:val="none"/>
              </w:rPr>
              <w:t>4.38</w:t>
            </w:r>
          </w:p>
        </w:tc>
        <w:tc>
          <w:tcPr>
            <w:tcW w:w="2212" w:type="dxa"/>
            <w:tcBorders>
              <w:bottom w:val="single" w:sz="4" w:space="0" w:color="auto"/>
            </w:tcBorders>
            <w:noWrap/>
            <w:vAlign w:val="center"/>
          </w:tcPr>
          <w:p w14:paraId="52A1CCFC" w14:textId="77777777" w:rsidR="001503F4" w:rsidRPr="00913F31" w:rsidRDefault="001503F4" w:rsidP="00700912">
            <w:pPr>
              <w:jc w:val="cente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1</w:t>
            </w:r>
            <w:r>
              <w:rPr>
                <w:rFonts w:ascii="Arial" w:eastAsia="Times New Roman" w:hAnsi="Arial" w:cs="Arial"/>
                <w:kern w:val="0"/>
                <w:sz w:val="22"/>
                <w:szCs w:val="22"/>
                <w14:ligatures w14:val="none"/>
              </w:rPr>
              <w:t>1.29</w:t>
            </w:r>
            <w:r w:rsidRPr="00913F31">
              <w:rPr>
                <w:rFonts w:ascii="Arial" w:eastAsia="Times New Roman" w:hAnsi="Arial" w:cs="Arial"/>
                <w:kern w:val="0"/>
                <w:sz w:val="22"/>
                <w:szCs w:val="22"/>
                <w14:ligatures w14:val="none"/>
              </w:rPr>
              <w:t>±</w:t>
            </w:r>
            <w:r>
              <w:rPr>
                <w:rFonts w:ascii="Arial" w:eastAsia="Times New Roman" w:hAnsi="Arial" w:cs="Arial"/>
                <w:kern w:val="0"/>
                <w:sz w:val="22"/>
                <w:szCs w:val="22"/>
                <w14:ligatures w14:val="none"/>
              </w:rPr>
              <w:t>3.97</w:t>
            </w:r>
          </w:p>
        </w:tc>
        <w:tc>
          <w:tcPr>
            <w:tcW w:w="1695" w:type="dxa"/>
            <w:tcBorders>
              <w:bottom w:val="single" w:sz="4" w:space="0" w:color="auto"/>
            </w:tcBorders>
            <w:noWrap/>
            <w:vAlign w:val="center"/>
          </w:tcPr>
          <w:p w14:paraId="2441D2F0" w14:textId="77777777" w:rsidR="001503F4" w:rsidRPr="00913F31" w:rsidRDefault="001503F4" w:rsidP="00700912">
            <w:pPr>
              <w:jc w:val="center"/>
              <w:rPr>
                <w:rFonts w:ascii="Arial" w:eastAsia="Times New Roman" w:hAnsi="Arial" w:cs="Arial"/>
                <w:kern w:val="0"/>
                <w:sz w:val="22"/>
                <w:szCs w:val="22"/>
                <w14:ligatures w14:val="none"/>
              </w:rPr>
            </w:pPr>
            <w:r w:rsidRPr="00913F31">
              <w:rPr>
                <w:rFonts w:ascii="Arial" w:eastAsia="Times New Roman" w:hAnsi="Arial" w:cs="Arial"/>
                <w:kern w:val="0"/>
                <w:sz w:val="22"/>
                <w:szCs w:val="22"/>
                <w14:ligatures w14:val="none"/>
              </w:rPr>
              <w:t>0.</w:t>
            </w:r>
            <w:r>
              <w:rPr>
                <w:rFonts w:ascii="Arial" w:eastAsia="Times New Roman" w:hAnsi="Arial" w:cs="Arial"/>
                <w:kern w:val="0"/>
                <w:sz w:val="22"/>
                <w:szCs w:val="22"/>
                <w14:ligatures w14:val="none"/>
              </w:rPr>
              <w:t>416</w:t>
            </w:r>
          </w:p>
        </w:tc>
      </w:tr>
    </w:tbl>
    <w:p w14:paraId="76F53F51" w14:textId="77777777" w:rsidR="001503F4" w:rsidRDefault="001503F4" w:rsidP="001503F4">
      <w:pPr>
        <w:rPr>
          <w:rFonts w:ascii="Arial" w:hAnsi="Arial" w:cs="Arial"/>
          <w:sz w:val="22"/>
          <w:szCs w:val="22"/>
        </w:rPr>
      </w:pPr>
      <w:r w:rsidRPr="00913F31">
        <w:rPr>
          <w:rFonts w:ascii="Arial" w:hAnsi="Arial" w:cs="Arial"/>
          <w:sz w:val="22"/>
          <w:szCs w:val="22"/>
        </w:rPr>
        <w:t>Values presented as mean ± SD; SBP, systolic blood pressure; DBP, diastolic blood pressure; HR, heart rate</w:t>
      </w:r>
      <w:r>
        <w:rPr>
          <w:rFonts w:ascii="Arial" w:hAnsi="Arial" w:cs="Arial"/>
          <w:sz w:val="22"/>
          <w:szCs w:val="22"/>
        </w:rPr>
        <w:t>; MSNA, muscle sympathetic nerve activity; BRS, baroreflex sensitivity; csBRS, central sympathetic baroreflex sensitivity; psNVT, peripheral sympathetic neurovascular transduction; VM ratio, Valsalva ratio; PRT, pressure recovery time; deltabsl, difference from baseline; VM2e, VM2l, VM3, VM4 stand for Valsalva early phase 2, late phase 2, phase 3, and phase 4, respectively.</w:t>
      </w:r>
    </w:p>
    <w:p w14:paraId="612948EA" w14:textId="77777777" w:rsidR="00C53B76" w:rsidRDefault="00C53B76" w:rsidP="001503F4">
      <w:pPr>
        <w:rPr>
          <w:rFonts w:ascii="Arial" w:hAnsi="Arial" w:cs="Arial"/>
          <w:sz w:val="22"/>
          <w:szCs w:val="22"/>
        </w:rPr>
      </w:pPr>
    </w:p>
    <w:p w14:paraId="15BA4B4C" w14:textId="4EC42FBF" w:rsidR="00C53B76" w:rsidRPr="00FA1A57" w:rsidRDefault="00C53B76" w:rsidP="001503F4">
      <w:pPr>
        <w:rPr>
          <w:rFonts w:ascii="Arial" w:hAnsi="Arial" w:cs="Arial"/>
          <w:b/>
          <w:bCs/>
          <w:sz w:val="22"/>
          <w:szCs w:val="22"/>
        </w:rPr>
      </w:pPr>
      <w:r w:rsidRPr="00FA1A57">
        <w:rPr>
          <w:rFonts w:ascii="Arial" w:hAnsi="Arial" w:cs="Arial"/>
          <w:b/>
          <w:bCs/>
          <w:sz w:val="22"/>
          <w:szCs w:val="22"/>
        </w:rPr>
        <w:t>Discussion</w:t>
      </w:r>
    </w:p>
    <w:p w14:paraId="290F173E" w14:textId="33B39B6D" w:rsidR="0061095B" w:rsidRPr="00FA1A57" w:rsidRDefault="00C53B76" w:rsidP="00C53B76">
      <w:pPr>
        <w:rPr>
          <w:rFonts w:ascii="Arial" w:hAnsi="Arial" w:cs="Arial"/>
          <w:sz w:val="22"/>
          <w:szCs w:val="22"/>
        </w:rPr>
      </w:pPr>
      <w:r w:rsidRPr="00FA1A57">
        <w:rPr>
          <w:rFonts w:ascii="Arial" w:hAnsi="Arial" w:cs="Arial"/>
          <w:sz w:val="22"/>
          <w:szCs w:val="22"/>
        </w:rPr>
        <w:tab/>
        <w:t>In the whole group of patients with POTS, moxonidine decreases Valsalva baseline BP, but the Valsalva responses are not different from placebo, except for longer PRT (</w:t>
      </w:r>
      <w:r w:rsidRPr="00FA1A57">
        <w:rPr>
          <w:rFonts w:ascii="Arial" w:hAnsi="Arial" w:cs="Arial"/>
          <w:sz w:val="22"/>
          <w:szCs w:val="22"/>
        </w:rPr>
        <w:fldChar w:fldCharType="begin"/>
      </w:r>
      <w:r w:rsidRPr="00FA1A57">
        <w:rPr>
          <w:rFonts w:ascii="Arial" w:hAnsi="Arial" w:cs="Arial"/>
          <w:sz w:val="22"/>
          <w:szCs w:val="22"/>
        </w:rPr>
        <w:instrText xml:space="preserve"> REF _Ref190765591 \h  \* MERGEFORMAT </w:instrText>
      </w:r>
      <w:r w:rsidRPr="00FA1A57">
        <w:rPr>
          <w:rFonts w:ascii="Arial" w:hAnsi="Arial" w:cs="Arial"/>
          <w:sz w:val="22"/>
          <w:szCs w:val="22"/>
        </w:rPr>
      </w:r>
      <w:r w:rsidR="00000000">
        <w:rPr>
          <w:rFonts w:ascii="Arial" w:hAnsi="Arial" w:cs="Arial"/>
          <w:sz w:val="22"/>
          <w:szCs w:val="22"/>
        </w:rPr>
        <w:fldChar w:fldCharType="separate"/>
      </w:r>
      <w:r w:rsidRPr="00FA1A57">
        <w:rPr>
          <w:rFonts w:ascii="Arial" w:hAnsi="Arial" w:cs="Arial"/>
          <w:sz w:val="22"/>
          <w:szCs w:val="22"/>
        </w:rPr>
        <w:fldChar w:fldCharType="end"/>
      </w:r>
      <w:r w:rsidR="0061095B" w:rsidRPr="00FA1A57">
        <w:rPr>
          <w:rFonts w:ascii="Arial" w:hAnsi="Arial" w:cs="Arial"/>
          <w:sz w:val="22"/>
          <w:szCs w:val="22"/>
        </w:rPr>
        <w:t>Table A2_1</w:t>
      </w:r>
      <w:r w:rsidRPr="00FA1A57">
        <w:rPr>
          <w:rFonts w:ascii="Arial" w:hAnsi="Arial" w:cs="Arial"/>
          <w:sz w:val="22"/>
          <w:szCs w:val="22"/>
        </w:rPr>
        <w:t>). A previous study has shown that moxonidine can reduce BP in hypertensive patients despite insignificant MSNA burst rate reduction, similar to our results</w:t>
      </w:r>
      <w:r w:rsidRPr="00FA1A57">
        <w:rPr>
          <w:rFonts w:ascii="Arial" w:hAnsi="Arial" w:cs="Arial"/>
          <w:sz w:val="22"/>
          <w:szCs w:val="22"/>
        </w:rPr>
        <w:fldChar w:fldCharType="begin"/>
      </w:r>
      <w:r w:rsidR="005D7B3D" w:rsidRPr="00FA1A57">
        <w:rPr>
          <w:rFonts w:ascii="Arial" w:hAnsi="Arial" w:cs="Arial"/>
          <w:sz w:val="22"/>
          <w:szCs w:val="22"/>
        </w:rPr>
        <w:instrText xml:space="preserve"> ADDIN ZOTERO_ITEM CSL_CITATION {"citationID":"lfSxC28e","properties":{"formattedCitation":"\\super [2]\\nosupersub{}","plainCitation":"[2]","noteIndex":0},"citationItems":[{"id":1565,"uris":["http://zotero.org/groups/5150409/items/ZAET3KUP"],"itemData":{"id":1565,"type":"article-journal","abstract":"Abstract\n              —Moxonidine is an I\n              1\n              -imidazoline receptor agonist that reduces blood pressure in hypertensives. Experimental data suggest that moxonidine inhibits central sympathetic activity. However, whether such a mechanism is involved in vivo in humans is still unclear. We investigated the effects of 0.4 mg moxonidine orally on muscle sympathetic nerve activity and heart rate in an open study in 8 healthy volunteers. Furthermore, we studied the effects of 0.4 mg moxonidine on muscle sympathetic nerve activity, heart rate, blood pressure, 24-hour blood pressure profile, and hormone plasma levels in 25 untreated hypertensives in a double-blind, placebo-controlled study. Moxonidine decreased muscle sympathetic nerve activity in both healthy volunteers (\n              P\n              &lt;0.05 versus baseline) and hypertensives (\n              P\n              &lt;0.02 versus placebo). Plasma norepinephrine also decreased (\n              P\n              &lt;0.01), whereas plasma epinephrine and renin levels did not change (\n              P\n              =NS). Furthermore, moxonidine decreased systolic (\n              P\n              &lt;0.0001) and diastolic (\n              P\n              &lt;0.001) blood pressure. Heart rate decreased after moxonidine in healthy subjects (\n              P\n              &lt;0.05); in hypertensives, heart rate decreased during the night hours (\n              P\n              &lt;0.05) but not during daytime (\n              P\n              =NS). Plasma levels of LDL, HDL, and total cholesterol were not influenced by the drug (\n              P\n              =NS). Moxonidine decreases systolic and diastolic blood pressure by inhibiting central nervous sympathetic activity. This makes this new drug suitable for the treatment of human hypertension and possibly for other cardiovascular diseases with increased sympathetic nerve activity, ie, ischemic heart disease and heart failure.","container-title":"Hypertension","DOI":"10.1161/01.HYP.32.6.1022","ISSN":"0194-911X, 1524-4563","issue":"6","journalAbbreviation":"Hypertension","language":"en","page":"1022-1027","source":"DOI.org (Crossref)","title":"I&lt;sub&gt;1&lt;/sub&gt; -Imidazoline Agonist Moxonidine Decreases Sympathetic Nerve Activity and Blood Pressure in Hypertensives","volume":"32","author":[{"family":"Wenzel","given":"René Roland"},{"family":"Spieker","given":"Lukas"},{"family":"Qui","given":"Su"},{"family":"Shaw","given":"Sidney"},{"family":"Lüscher","given":"Thomas Felix"},{"family":"Noll","given":"Georg"}],"issued":{"date-parts":[["1998",12]]}}}],"schema":"https://github.com/citation-style-language/schema/raw/master/csl-citation.json"} </w:instrText>
      </w:r>
      <w:r w:rsidRPr="00FA1A57">
        <w:rPr>
          <w:rFonts w:ascii="Arial" w:hAnsi="Arial" w:cs="Arial"/>
          <w:sz w:val="22"/>
          <w:szCs w:val="22"/>
        </w:rPr>
        <w:fldChar w:fldCharType="separate"/>
      </w:r>
      <w:r w:rsidR="005D7B3D" w:rsidRPr="00FA1A57">
        <w:rPr>
          <w:rFonts w:ascii="Arial" w:hAnsi="Arial" w:cs="Arial"/>
          <w:kern w:val="0"/>
          <w:sz w:val="22"/>
          <w:szCs w:val="22"/>
          <w:vertAlign w:val="superscript"/>
        </w:rPr>
        <w:t>[2]</w:t>
      </w:r>
      <w:r w:rsidRPr="00FA1A57">
        <w:rPr>
          <w:rFonts w:ascii="Arial" w:hAnsi="Arial" w:cs="Arial"/>
          <w:sz w:val="22"/>
          <w:szCs w:val="22"/>
        </w:rPr>
        <w:fldChar w:fldCharType="end"/>
      </w:r>
      <w:r w:rsidRPr="00FA1A57">
        <w:rPr>
          <w:rFonts w:ascii="Arial" w:hAnsi="Arial" w:cs="Arial"/>
          <w:sz w:val="22"/>
          <w:szCs w:val="22"/>
        </w:rPr>
        <w:t xml:space="preserve">. Negative results between moxonidine and placebo may be due to heterogeneous POTS subtypes. </w:t>
      </w:r>
    </w:p>
    <w:p w14:paraId="13284734" w14:textId="5FE8C933" w:rsidR="00C53B76" w:rsidRPr="00FA1A57" w:rsidRDefault="0061095B" w:rsidP="0061095B">
      <w:pPr>
        <w:ind w:firstLine="720"/>
        <w:rPr>
          <w:rFonts w:ascii="Arial" w:hAnsi="Arial" w:cs="Arial"/>
          <w:sz w:val="22"/>
          <w:szCs w:val="22"/>
        </w:rPr>
      </w:pPr>
      <w:r w:rsidRPr="00FA1A57">
        <w:rPr>
          <w:rFonts w:ascii="Arial" w:hAnsi="Arial" w:cs="Arial"/>
          <w:sz w:val="22"/>
          <w:szCs w:val="22"/>
        </w:rPr>
        <w:t>W</w:t>
      </w:r>
      <w:r w:rsidR="00C53B76" w:rsidRPr="00FA1A57">
        <w:rPr>
          <w:rFonts w:ascii="Arial" w:hAnsi="Arial" w:cs="Arial"/>
          <w:sz w:val="22"/>
          <w:szCs w:val="22"/>
        </w:rPr>
        <w:t>e performed subgroup analysis only in hyperadrenergic POTS, identified by our proposed DBP</w:t>
      </w:r>
      <w:r w:rsidR="00C53B76" w:rsidRPr="00FA1A57">
        <w:rPr>
          <w:rFonts w:ascii="Arial" w:hAnsi="Arial" w:cs="Arial"/>
          <w:sz w:val="22"/>
          <w:szCs w:val="22"/>
          <w:vertAlign w:val="subscript"/>
        </w:rPr>
        <w:t>VM2l_rise</w:t>
      </w:r>
      <w:r w:rsidR="00C53B76" w:rsidRPr="00FA1A57">
        <w:rPr>
          <w:rFonts w:ascii="Arial" w:hAnsi="Arial" w:cs="Arial"/>
          <w:sz w:val="22"/>
          <w:szCs w:val="22"/>
        </w:rPr>
        <w:t xml:space="preserve"> ≥ 15 mmHg, which could be a target group for sympatholytic treatment. Moxonidine seems to effectively suppress sympathetic activity in hyperadrenergic POTS, as shown by reduced Valsalva baseline SBP, decreased SBP overshoot, prolonged PRT, and most importantly, lower DBP</w:t>
      </w:r>
      <w:r w:rsidR="00C53B76" w:rsidRPr="00FA1A57">
        <w:rPr>
          <w:rFonts w:ascii="Arial" w:hAnsi="Arial" w:cs="Arial"/>
          <w:sz w:val="22"/>
          <w:szCs w:val="22"/>
          <w:vertAlign w:val="subscript"/>
        </w:rPr>
        <w:t>VM2l_rise</w:t>
      </w:r>
      <w:r w:rsidR="00C53B76" w:rsidRPr="00FA1A57">
        <w:rPr>
          <w:rFonts w:ascii="Arial" w:hAnsi="Arial" w:cs="Arial"/>
          <w:sz w:val="22"/>
          <w:szCs w:val="22"/>
        </w:rPr>
        <w:t>. The magnitude of changes of these sympathetic markers also tend</w:t>
      </w:r>
      <w:r w:rsidR="00CE3596" w:rsidRPr="00FA1A57">
        <w:rPr>
          <w:rFonts w:ascii="Arial" w:hAnsi="Arial" w:cs="Arial"/>
          <w:sz w:val="22"/>
          <w:szCs w:val="22"/>
        </w:rPr>
        <w:t>ed</w:t>
      </w:r>
      <w:r w:rsidR="00C53B76" w:rsidRPr="00FA1A57">
        <w:rPr>
          <w:rFonts w:ascii="Arial" w:hAnsi="Arial" w:cs="Arial"/>
          <w:sz w:val="22"/>
          <w:szCs w:val="22"/>
        </w:rPr>
        <w:t xml:space="preserve"> to be larger in the hyperadrenergic group. Moxonidine reduce</w:t>
      </w:r>
      <w:r w:rsidR="00CE3596" w:rsidRPr="00FA1A57">
        <w:rPr>
          <w:rFonts w:ascii="Arial" w:hAnsi="Arial" w:cs="Arial"/>
          <w:sz w:val="22"/>
          <w:szCs w:val="22"/>
        </w:rPr>
        <w:t>d</w:t>
      </w:r>
      <w:r w:rsidR="00C53B76" w:rsidRPr="00FA1A57">
        <w:rPr>
          <w:rFonts w:ascii="Arial" w:hAnsi="Arial" w:cs="Arial"/>
          <w:sz w:val="22"/>
          <w:szCs w:val="22"/>
        </w:rPr>
        <w:t xml:space="preserve"> the DBP</w:t>
      </w:r>
      <w:r w:rsidR="00C53B76" w:rsidRPr="00FA1A57">
        <w:rPr>
          <w:rFonts w:ascii="Arial" w:hAnsi="Arial" w:cs="Arial"/>
          <w:sz w:val="22"/>
          <w:szCs w:val="22"/>
          <w:vertAlign w:val="subscript"/>
        </w:rPr>
        <w:t>VM2l_rise</w:t>
      </w:r>
      <w:r w:rsidR="00C53B76" w:rsidRPr="00FA1A57">
        <w:rPr>
          <w:rFonts w:ascii="Arial" w:hAnsi="Arial" w:cs="Arial"/>
          <w:sz w:val="22"/>
          <w:szCs w:val="22"/>
        </w:rPr>
        <w:t xml:space="preserve"> and the area under the curve of the DBP</w:t>
      </w:r>
      <w:r w:rsidR="00C53B76" w:rsidRPr="00FA1A57">
        <w:rPr>
          <w:rFonts w:ascii="Arial" w:hAnsi="Arial" w:cs="Arial"/>
          <w:sz w:val="22"/>
          <w:szCs w:val="22"/>
          <w:vertAlign w:val="subscript"/>
        </w:rPr>
        <w:t>VM2l_rise</w:t>
      </w:r>
      <w:r w:rsidR="00C53B76" w:rsidRPr="00FA1A57">
        <w:rPr>
          <w:rFonts w:ascii="Arial" w:hAnsi="Arial" w:cs="Arial"/>
          <w:sz w:val="22"/>
          <w:szCs w:val="22"/>
        </w:rPr>
        <w:t xml:space="preserve"> only in the hyperadrenergic group (</w:t>
      </w:r>
      <w:r w:rsidR="00754E9C" w:rsidRPr="00FA1A57">
        <w:rPr>
          <w:rFonts w:ascii="Arial" w:hAnsi="Arial" w:cs="Arial"/>
          <w:sz w:val="22"/>
          <w:szCs w:val="22"/>
        </w:rPr>
        <w:t>Figure A2_3</w:t>
      </w:r>
      <w:r w:rsidR="00C53B76" w:rsidRPr="00FA1A57">
        <w:rPr>
          <w:rFonts w:ascii="Arial" w:hAnsi="Arial" w:cs="Arial"/>
          <w:sz w:val="22"/>
          <w:szCs w:val="22"/>
        </w:rPr>
        <w:t>), but this did not reach statistical significance due to the small sample size of hyperadrenergic POTS. Our preliminary results confirm the hyperadrenergic state of POTS with high DBP</w:t>
      </w:r>
      <w:r w:rsidR="00C53B76" w:rsidRPr="00FA1A57">
        <w:rPr>
          <w:rFonts w:ascii="Arial" w:hAnsi="Arial" w:cs="Arial"/>
          <w:sz w:val="22"/>
          <w:szCs w:val="22"/>
          <w:vertAlign w:val="subscript"/>
        </w:rPr>
        <w:t>VM2l_rise</w:t>
      </w:r>
      <w:r w:rsidR="00C53B76" w:rsidRPr="00FA1A57">
        <w:rPr>
          <w:rFonts w:ascii="Arial" w:hAnsi="Arial" w:cs="Arial"/>
          <w:sz w:val="22"/>
          <w:szCs w:val="22"/>
        </w:rPr>
        <w:t xml:space="preserve"> and suggest that moxonidine could selectively benefit hyperadrenergic POTS</w:t>
      </w:r>
      <w:r w:rsidR="003B717A" w:rsidRPr="00FA1A57">
        <w:rPr>
          <w:rFonts w:ascii="Arial" w:hAnsi="Arial" w:cs="Arial"/>
          <w:sz w:val="22"/>
          <w:szCs w:val="22"/>
        </w:rPr>
        <w:t>.</w:t>
      </w:r>
    </w:p>
    <w:p w14:paraId="12709ACC" w14:textId="77777777" w:rsidR="0052353B" w:rsidRPr="00FA1A57" w:rsidRDefault="0052353B" w:rsidP="0061095B">
      <w:pPr>
        <w:ind w:firstLine="720"/>
        <w:rPr>
          <w:rFonts w:ascii="Arial" w:hAnsi="Arial" w:cs="Arial"/>
          <w:sz w:val="22"/>
          <w:szCs w:val="22"/>
        </w:rPr>
      </w:pPr>
    </w:p>
    <w:p w14:paraId="6507662C" w14:textId="77777777" w:rsidR="003B717A" w:rsidRPr="00FA1A57" w:rsidRDefault="003B717A" w:rsidP="003B717A">
      <w:pPr>
        <w:rPr>
          <w:rFonts w:ascii="Arial" w:hAnsi="Arial" w:cs="Arial"/>
          <w:b/>
          <w:bCs/>
          <w:sz w:val="22"/>
          <w:szCs w:val="22"/>
        </w:rPr>
      </w:pPr>
      <w:r w:rsidRPr="00FA1A57">
        <w:rPr>
          <w:rFonts w:ascii="Arial" w:hAnsi="Arial" w:cs="Arial"/>
          <w:b/>
          <w:bCs/>
          <w:sz w:val="22"/>
          <w:szCs w:val="22"/>
        </w:rPr>
        <w:t>Limitations</w:t>
      </w:r>
    </w:p>
    <w:p w14:paraId="0D00714E" w14:textId="1A511D35" w:rsidR="003B717A" w:rsidRPr="00FA1A57" w:rsidRDefault="003B717A" w:rsidP="003B717A">
      <w:pPr>
        <w:ind w:firstLine="720"/>
        <w:rPr>
          <w:rFonts w:ascii="Arial" w:hAnsi="Arial" w:cs="Arial"/>
          <w:sz w:val="22"/>
          <w:szCs w:val="22"/>
        </w:rPr>
      </w:pPr>
      <w:r w:rsidRPr="00FA1A57">
        <w:rPr>
          <w:rFonts w:ascii="Arial" w:hAnsi="Arial" w:cs="Arial"/>
          <w:sz w:val="22"/>
          <w:szCs w:val="22"/>
        </w:rPr>
        <w:t>Our interpretations were limited by the small sample size, which made statistical tests infeasible for pairwise comparisons among hyperadrenergic POTS. The validity of DBP</w:t>
      </w:r>
      <w:r w:rsidRPr="00FA1A57">
        <w:rPr>
          <w:rFonts w:ascii="Arial" w:hAnsi="Arial" w:cs="Arial"/>
          <w:sz w:val="22"/>
          <w:szCs w:val="22"/>
          <w:vertAlign w:val="subscript"/>
        </w:rPr>
        <w:t>VM2l_rise</w:t>
      </w:r>
      <w:r w:rsidRPr="00FA1A57">
        <w:rPr>
          <w:rFonts w:ascii="Arial" w:hAnsi="Arial" w:cs="Arial"/>
          <w:sz w:val="22"/>
          <w:szCs w:val="22"/>
        </w:rPr>
        <w:t xml:space="preserve"> as a clinical biomarker of hyperadrenergic POTS could be further validated by correlating it with a positive response to central sympatholytics in a larger randomized controlled trial.</w:t>
      </w:r>
    </w:p>
    <w:p w14:paraId="60AA60CF" w14:textId="77777777" w:rsidR="00C53B76" w:rsidRPr="00C53B76" w:rsidRDefault="00C53B76" w:rsidP="001503F4">
      <w:pPr>
        <w:rPr>
          <w:rFonts w:ascii="Arial" w:hAnsi="Arial" w:cs="Arial"/>
          <w:sz w:val="22"/>
          <w:szCs w:val="22"/>
        </w:rPr>
      </w:pPr>
    </w:p>
    <w:p w14:paraId="42A69309" w14:textId="53EC6AE5" w:rsidR="00CE3596" w:rsidRDefault="00CE3596">
      <w:r>
        <w:br w:type="page"/>
      </w:r>
    </w:p>
    <w:p w14:paraId="2FCDC3E3" w14:textId="5C2AE5FD" w:rsidR="001503F4" w:rsidRDefault="00CE3596">
      <w:r w:rsidRPr="00CE3596">
        <w:rPr>
          <w:b/>
          <w:bCs/>
        </w:rPr>
        <w:lastRenderedPageBreak/>
        <w:t>References</w:t>
      </w:r>
    </w:p>
    <w:p w14:paraId="0EB2630A" w14:textId="77777777" w:rsidR="003B717A" w:rsidRPr="003B717A" w:rsidRDefault="00CE3596" w:rsidP="003B717A">
      <w:pPr>
        <w:pStyle w:val="Bibliography"/>
        <w:rPr>
          <w:rFonts w:ascii="Aptos" w:hAnsi="Aptos"/>
        </w:rPr>
      </w:pPr>
      <w:r>
        <w:fldChar w:fldCharType="begin"/>
      </w:r>
      <w:r w:rsidR="003B717A">
        <w:instrText xml:space="preserve"> ADDIN ZOTERO_BIBL {"uncited":[],"omitted":[],"custom":[]} CSL_BIBLIOGRAPHY </w:instrText>
      </w:r>
      <w:r>
        <w:fldChar w:fldCharType="separate"/>
      </w:r>
      <w:r w:rsidR="003B717A" w:rsidRPr="003B717A">
        <w:rPr>
          <w:rFonts w:ascii="Aptos" w:hAnsi="Aptos"/>
        </w:rPr>
        <w:t xml:space="preserve">1. Morris, S., &amp; Reid, J. (1997). Moxonidine: A review. </w:t>
      </w:r>
      <w:r w:rsidR="003B717A" w:rsidRPr="003B717A">
        <w:rPr>
          <w:rFonts w:ascii="Aptos" w:hAnsi="Aptos"/>
          <w:i/>
          <w:iCs/>
        </w:rPr>
        <w:t>Journal of Human Hypertension</w:t>
      </w:r>
      <w:r w:rsidR="003B717A" w:rsidRPr="003B717A">
        <w:rPr>
          <w:rFonts w:ascii="Aptos" w:hAnsi="Aptos"/>
        </w:rPr>
        <w:t xml:space="preserve">, </w:t>
      </w:r>
      <w:r w:rsidR="003B717A" w:rsidRPr="003B717A">
        <w:rPr>
          <w:rFonts w:ascii="Aptos" w:hAnsi="Aptos"/>
          <w:i/>
          <w:iCs/>
        </w:rPr>
        <w:t>11</w:t>
      </w:r>
      <w:r w:rsidR="003B717A" w:rsidRPr="003B717A">
        <w:rPr>
          <w:rFonts w:ascii="Aptos" w:hAnsi="Aptos"/>
        </w:rPr>
        <w:t>(10), 629–635. https://doi.org/10.1038/sj.jhh.1000518</w:t>
      </w:r>
    </w:p>
    <w:p w14:paraId="6C8E22FD" w14:textId="77777777" w:rsidR="003B717A" w:rsidRPr="003B717A" w:rsidRDefault="003B717A" w:rsidP="003B717A">
      <w:pPr>
        <w:pStyle w:val="Bibliography"/>
        <w:rPr>
          <w:rFonts w:ascii="Aptos" w:hAnsi="Aptos"/>
        </w:rPr>
      </w:pPr>
      <w:r w:rsidRPr="0050070D">
        <w:rPr>
          <w:rFonts w:ascii="Aptos" w:hAnsi="Aptos"/>
          <w:lang w:val="it-IT"/>
        </w:rPr>
        <w:t xml:space="preserve">2. Wenzel, R. R., Spieker, L., Qui, S., Shaw, S., Lüscher, T. F., &amp; Noll, G. (1998). </w:t>
      </w:r>
      <w:r w:rsidRPr="003B717A">
        <w:rPr>
          <w:rFonts w:ascii="Aptos" w:hAnsi="Aptos"/>
        </w:rPr>
        <w:t>I</w:t>
      </w:r>
      <w:r w:rsidRPr="003B717A">
        <w:rPr>
          <w:rFonts w:ascii="Aptos" w:hAnsi="Aptos"/>
          <w:vertAlign w:val="subscript"/>
        </w:rPr>
        <w:t>1</w:t>
      </w:r>
      <w:r w:rsidRPr="003B717A">
        <w:rPr>
          <w:rFonts w:ascii="Aptos" w:hAnsi="Aptos"/>
        </w:rPr>
        <w:t xml:space="preserve"> -Imidazoline Agonist Moxonidine Decreases Sympathetic Nerve Activity and Blood Pressure in Hypertensives. </w:t>
      </w:r>
      <w:r w:rsidRPr="003B717A">
        <w:rPr>
          <w:rFonts w:ascii="Aptos" w:hAnsi="Aptos"/>
          <w:i/>
          <w:iCs/>
        </w:rPr>
        <w:t>Hypertension</w:t>
      </w:r>
      <w:r w:rsidRPr="003B717A">
        <w:rPr>
          <w:rFonts w:ascii="Aptos" w:hAnsi="Aptos"/>
        </w:rPr>
        <w:t xml:space="preserve">, </w:t>
      </w:r>
      <w:r w:rsidRPr="003B717A">
        <w:rPr>
          <w:rFonts w:ascii="Aptos" w:hAnsi="Aptos"/>
          <w:i/>
          <w:iCs/>
        </w:rPr>
        <w:t>32</w:t>
      </w:r>
      <w:r w:rsidRPr="003B717A">
        <w:rPr>
          <w:rFonts w:ascii="Aptos" w:hAnsi="Aptos"/>
        </w:rPr>
        <w:t>(6), 1022–1027. https://doi.org/10.1161/01.HYP.32.6.1022</w:t>
      </w:r>
    </w:p>
    <w:p w14:paraId="0F07EB35" w14:textId="114CFD53" w:rsidR="00CE3596" w:rsidRPr="00CE3596" w:rsidRDefault="00CE3596">
      <w:r>
        <w:fldChar w:fldCharType="end"/>
      </w:r>
    </w:p>
    <w:sectPr w:rsidR="00CE3596" w:rsidRPr="00CE359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Cordia New">
    <w:panose1 w:val="020B0304020202020204"/>
    <w:charset w:val="00"/>
    <w:family w:val="swiss"/>
    <w:pitch w:val="variable"/>
    <w:sig w:usb0="81000003" w:usb1="00000000" w:usb2="00000000" w:usb3="00000000" w:csb0="00010001"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1BDB"/>
    <w:rsid w:val="001503F4"/>
    <w:rsid w:val="00164586"/>
    <w:rsid w:val="00231799"/>
    <w:rsid w:val="002D3F8A"/>
    <w:rsid w:val="003131DE"/>
    <w:rsid w:val="003B717A"/>
    <w:rsid w:val="003D1FD3"/>
    <w:rsid w:val="004E0531"/>
    <w:rsid w:val="0050070D"/>
    <w:rsid w:val="0052353B"/>
    <w:rsid w:val="00551028"/>
    <w:rsid w:val="00565A53"/>
    <w:rsid w:val="005D7B3D"/>
    <w:rsid w:val="0061095B"/>
    <w:rsid w:val="00696CA9"/>
    <w:rsid w:val="006A1E8D"/>
    <w:rsid w:val="00754E9C"/>
    <w:rsid w:val="00907585"/>
    <w:rsid w:val="00A76F21"/>
    <w:rsid w:val="00A801B6"/>
    <w:rsid w:val="00AF20B5"/>
    <w:rsid w:val="00B870BE"/>
    <w:rsid w:val="00C53B76"/>
    <w:rsid w:val="00C92D54"/>
    <w:rsid w:val="00CC30F4"/>
    <w:rsid w:val="00CE3596"/>
    <w:rsid w:val="00D56D45"/>
    <w:rsid w:val="00D93901"/>
    <w:rsid w:val="00DC1BDB"/>
    <w:rsid w:val="00EB4B11"/>
    <w:rsid w:val="00ED7161"/>
    <w:rsid w:val="00FA1A57"/>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793E66"/>
  <w15:chartTrackingRefBased/>
  <w15:docId w15:val="{2749A7D2-2142-458E-822E-E0141B33D3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30"/>
        <w:lang w:val="en-US" w:eastAsia="en-US"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C1BDB"/>
    <w:pPr>
      <w:keepNext/>
      <w:keepLines/>
      <w:spacing w:before="360" w:after="80"/>
      <w:outlineLvl w:val="0"/>
    </w:pPr>
    <w:rPr>
      <w:rFonts w:asciiTheme="majorHAnsi" w:eastAsiaTheme="majorEastAsia" w:hAnsiTheme="majorHAnsi" w:cstheme="majorBidi"/>
      <w:color w:val="0F4761" w:themeColor="accent1" w:themeShade="BF"/>
      <w:sz w:val="40"/>
      <w:szCs w:val="50"/>
    </w:rPr>
  </w:style>
  <w:style w:type="paragraph" w:styleId="Heading2">
    <w:name w:val="heading 2"/>
    <w:basedOn w:val="Normal"/>
    <w:next w:val="Normal"/>
    <w:link w:val="Heading2Char"/>
    <w:uiPriority w:val="9"/>
    <w:semiHidden/>
    <w:unhideWhenUsed/>
    <w:qFormat/>
    <w:rsid w:val="00DC1BDB"/>
    <w:pPr>
      <w:keepNext/>
      <w:keepLines/>
      <w:spacing w:before="160" w:after="80"/>
      <w:outlineLvl w:val="1"/>
    </w:pPr>
    <w:rPr>
      <w:rFonts w:asciiTheme="majorHAnsi" w:eastAsiaTheme="majorEastAsia" w:hAnsiTheme="majorHAnsi" w:cstheme="majorBidi"/>
      <w:color w:val="0F4761" w:themeColor="accent1" w:themeShade="BF"/>
      <w:sz w:val="32"/>
      <w:szCs w:val="40"/>
    </w:rPr>
  </w:style>
  <w:style w:type="paragraph" w:styleId="Heading3">
    <w:name w:val="heading 3"/>
    <w:basedOn w:val="Normal"/>
    <w:next w:val="Normal"/>
    <w:link w:val="Heading3Char"/>
    <w:uiPriority w:val="9"/>
    <w:semiHidden/>
    <w:unhideWhenUsed/>
    <w:qFormat/>
    <w:rsid w:val="00DC1BDB"/>
    <w:pPr>
      <w:keepNext/>
      <w:keepLines/>
      <w:spacing w:before="160" w:after="80"/>
      <w:outlineLvl w:val="2"/>
    </w:pPr>
    <w:rPr>
      <w:rFonts w:eastAsiaTheme="majorEastAsia" w:cstheme="majorBidi"/>
      <w:color w:val="0F4761" w:themeColor="accent1" w:themeShade="BF"/>
      <w:sz w:val="28"/>
      <w:szCs w:val="35"/>
    </w:rPr>
  </w:style>
  <w:style w:type="paragraph" w:styleId="Heading4">
    <w:name w:val="heading 4"/>
    <w:basedOn w:val="Normal"/>
    <w:next w:val="Normal"/>
    <w:link w:val="Heading4Char"/>
    <w:uiPriority w:val="9"/>
    <w:semiHidden/>
    <w:unhideWhenUsed/>
    <w:qFormat/>
    <w:rsid w:val="00DC1BD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C1BD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C1BD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C1BD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C1BD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C1BD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C1BDB"/>
    <w:rPr>
      <w:rFonts w:asciiTheme="majorHAnsi" w:eastAsiaTheme="majorEastAsia" w:hAnsiTheme="majorHAnsi" w:cstheme="majorBidi"/>
      <w:color w:val="0F4761" w:themeColor="accent1" w:themeShade="BF"/>
      <w:sz w:val="40"/>
      <w:szCs w:val="50"/>
    </w:rPr>
  </w:style>
  <w:style w:type="character" w:customStyle="1" w:styleId="Heading2Char">
    <w:name w:val="Heading 2 Char"/>
    <w:basedOn w:val="DefaultParagraphFont"/>
    <w:link w:val="Heading2"/>
    <w:uiPriority w:val="9"/>
    <w:semiHidden/>
    <w:rsid w:val="00DC1BDB"/>
    <w:rPr>
      <w:rFonts w:asciiTheme="majorHAnsi" w:eastAsiaTheme="majorEastAsia" w:hAnsiTheme="majorHAnsi" w:cstheme="majorBidi"/>
      <w:color w:val="0F4761" w:themeColor="accent1" w:themeShade="BF"/>
      <w:sz w:val="32"/>
      <w:szCs w:val="40"/>
    </w:rPr>
  </w:style>
  <w:style w:type="character" w:customStyle="1" w:styleId="Heading3Char">
    <w:name w:val="Heading 3 Char"/>
    <w:basedOn w:val="DefaultParagraphFont"/>
    <w:link w:val="Heading3"/>
    <w:uiPriority w:val="9"/>
    <w:semiHidden/>
    <w:rsid w:val="00DC1BDB"/>
    <w:rPr>
      <w:rFonts w:eastAsiaTheme="majorEastAsia" w:cstheme="majorBidi"/>
      <w:color w:val="0F4761" w:themeColor="accent1" w:themeShade="BF"/>
      <w:sz w:val="28"/>
      <w:szCs w:val="35"/>
    </w:rPr>
  </w:style>
  <w:style w:type="character" w:customStyle="1" w:styleId="Heading4Char">
    <w:name w:val="Heading 4 Char"/>
    <w:basedOn w:val="DefaultParagraphFont"/>
    <w:link w:val="Heading4"/>
    <w:uiPriority w:val="9"/>
    <w:semiHidden/>
    <w:rsid w:val="00DC1BD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C1BD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C1BD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C1BD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C1BD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C1BDB"/>
    <w:rPr>
      <w:rFonts w:eastAsiaTheme="majorEastAsia" w:cstheme="majorBidi"/>
      <w:color w:val="272727" w:themeColor="text1" w:themeTint="D8"/>
    </w:rPr>
  </w:style>
  <w:style w:type="paragraph" w:styleId="Title">
    <w:name w:val="Title"/>
    <w:basedOn w:val="Normal"/>
    <w:next w:val="Normal"/>
    <w:link w:val="TitleChar"/>
    <w:uiPriority w:val="10"/>
    <w:qFormat/>
    <w:rsid w:val="00DC1BDB"/>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uiPriority w:val="10"/>
    <w:rsid w:val="00DC1BDB"/>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DC1BDB"/>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DC1BDB"/>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DC1BDB"/>
    <w:pPr>
      <w:spacing w:before="160"/>
      <w:jc w:val="center"/>
    </w:pPr>
    <w:rPr>
      <w:i/>
      <w:iCs/>
      <w:color w:val="404040" w:themeColor="text1" w:themeTint="BF"/>
    </w:rPr>
  </w:style>
  <w:style w:type="character" w:customStyle="1" w:styleId="QuoteChar">
    <w:name w:val="Quote Char"/>
    <w:basedOn w:val="DefaultParagraphFont"/>
    <w:link w:val="Quote"/>
    <w:uiPriority w:val="29"/>
    <w:rsid w:val="00DC1BDB"/>
    <w:rPr>
      <w:i/>
      <w:iCs/>
      <w:color w:val="404040" w:themeColor="text1" w:themeTint="BF"/>
    </w:rPr>
  </w:style>
  <w:style w:type="paragraph" w:styleId="ListParagraph">
    <w:name w:val="List Paragraph"/>
    <w:basedOn w:val="Normal"/>
    <w:uiPriority w:val="34"/>
    <w:qFormat/>
    <w:rsid w:val="00DC1BDB"/>
    <w:pPr>
      <w:ind w:left="720"/>
      <w:contextualSpacing/>
    </w:pPr>
  </w:style>
  <w:style w:type="character" w:styleId="IntenseEmphasis">
    <w:name w:val="Intense Emphasis"/>
    <w:basedOn w:val="DefaultParagraphFont"/>
    <w:uiPriority w:val="21"/>
    <w:qFormat/>
    <w:rsid w:val="00DC1BDB"/>
    <w:rPr>
      <w:i/>
      <w:iCs/>
      <w:color w:val="0F4761" w:themeColor="accent1" w:themeShade="BF"/>
    </w:rPr>
  </w:style>
  <w:style w:type="paragraph" w:styleId="IntenseQuote">
    <w:name w:val="Intense Quote"/>
    <w:basedOn w:val="Normal"/>
    <w:next w:val="Normal"/>
    <w:link w:val="IntenseQuoteChar"/>
    <w:uiPriority w:val="30"/>
    <w:qFormat/>
    <w:rsid w:val="00DC1BD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C1BDB"/>
    <w:rPr>
      <w:i/>
      <w:iCs/>
      <w:color w:val="0F4761" w:themeColor="accent1" w:themeShade="BF"/>
    </w:rPr>
  </w:style>
  <w:style w:type="character" w:styleId="IntenseReference">
    <w:name w:val="Intense Reference"/>
    <w:basedOn w:val="DefaultParagraphFont"/>
    <w:uiPriority w:val="32"/>
    <w:qFormat/>
    <w:rsid w:val="00DC1BDB"/>
    <w:rPr>
      <w:b/>
      <w:bCs/>
      <w:smallCaps/>
      <w:color w:val="0F4761" w:themeColor="accent1" w:themeShade="BF"/>
      <w:spacing w:val="5"/>
    </w:rPr>
  </w:style>
  <w:style w:type="paragraph" w:styleId="Caption">
    <w:name w:val="caption"/>
    <w:basedOn w:val="Normal"/>
    <w:next w:val="Normal"/>
    <w:uiPriority w:val="35"/>
    <w:unhideWhenUsed/>
    <w:qFormat/>
    <w:rsid w:val="00907585"/>
    <w:pPr>
      <w:spacing w:after="200" w:line="240" w:lineRule="auto"/>
    </w:pPr>
    <w:rPr>
      <w:i/>
      <w:iCs/>
      <w:color w:val="0E2841" w:themeColor="text2"/>
      <w:sz w:val="18"/>
      <w:szCs w:val="18"/>
      <w:lang w:bidi="ar-SA"/>
    </w:rPr>
  </w:style>
  <w:style w:type="character" w:styleId="CommentReference">
    <w:name w:val="annotation reference"/>
    <w:basedOn w:val="DefaultParagraphFont"/>
    <w:uiPriority w:val="99"/>
    <w:semiHidden/>
    <w:unhideWhenUsed/>
    <w:rsid w:val="001503F4"/>
    <w:rPr>
      <w:sz w:val="16"/>
      <w:szCs w:val="16"/>
    </w:rPr>
  </w:style>
  <w:style w:type="paragraph" w:styleId="CommentText">
    <w:name w:val="annotation text"/>
    <w:basedOn w:val="Normal"/>
    <w:link w:val="CommentTextChar"/>
    <w:uiPriority w:val="99"/>
    <w:unhideWhenUsed/>
    <w:rsid w:val="001503F4"/>
    <w:pPr>
      <w:spacing w:line="240" w:lineRule="auto"/>
    </w:pPr>
    <w:rPr>
      <w:sz w:val="20"/>
      <w:szCs w:val="20"/>
      <w:lang w:bidi="ar-SA"/>
    </w:rPr>
  </w:style>
  <w:style w:type="character" w:customStyle="1" w:styleId="CommentTextChar">
    <w:name w:val="Comment Text Char"/>
    <w:basedOn w:val="DefaultParagraphFont"/>
    <w:link w:val="CommentText"/>
    <w:uiPriority w:val="99"/>
    <w:rsid w:val="001503F4"/>
    <w:rPr>
      <w:sz w:val="20"/>
      <w:szCs w:val="20"/>
      <w:lang w:bidi="ar-SA"/>
    </w:rPr>
  </w:style>
  <w:style w:type="table" w:styleId="TableGridLight">
    <w:name w:val="Grid Table Light"/>
    <w:basedOn w:val="TableNormal"/>
    <w:uiPriority w:val="40"/>
    <w:rsid w:val="001503F4"/>
    <w:pPr>
      <w:spacing w:after="0" w:line="240" w:lineRule="auto"/>
    </w:pPr>
    <w:rPr>
      <w:szCs w:val="24"/>
      <w:lang w:bidi="ar-SA"/>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Bibliography">
    <w:name w:val="Bibliography"/>
    <w:basedOn w:val="Normal"/>
    <w:next w:val="Normal"/>
    <w:uiPriority w:val="37"/>
    <w:unhideWhenUsed/>
    <w:rsid w:val="00CE3596"/>
    <w:pPr>
      <w:spacing w:after="0" w:line="480" w:lineRule="auto"/>
      <w:ind w:left="720" w:hanging="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tif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tiff"/><Relationship Id="rId5" Type="http://schemas.openxmlformats.org/officeDocument/2006/relationships/image" Target="media/image1.tiff"/><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DA4DA4-78C6-4426-B6B4-C40F4099F2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68</TotalTime>
  <Pages>7</Pages>
  <Words>2168</Words>
  <Characters>12359</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Kulapatana, Surat</dc:creator>
  <cp:keywords/>
  <dc:description/>
  <cp:lastModifiedBy>Kulapatana, Surat</cp:lastModifiedBy>
  <cp:revision>20</cp:revision>
  <dcterms:created xsi:type="dcterms:W3CDTF">2025-05-20T17:08:00Z</dcterms:created>
  <dcterms:modified xsi:type="dcterms:W3CDTF">2025-08-12T00:29:00Z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92c8cef-6f2b-4af1-b4ac-d815ff795cd6_Enabled">
    <vt:lpwstr>true</vt:lpwstr>
  </property>
  <property fmtid="{D5CDD505-2E9C-101B-9397-08002B2CF9AE}" pid="3" name="MSIP_Label_792c8cef-6f2b-4af1-b4ac-d815ff795cd6_SetDate">
    <vt:lpwstr>2025-05-20T17:09:42Z</vt:lpwstr>
  </property>
  <property fmtid="{D5CDD505-2E9C-101B-9397-08002B2CF9AE}" pid="4" name="MSIP_Label_792c8cef-6f2b-4af1-b4ac-d815ff795cd6_Method">
    <vt:lpwstr>Standard</vt:lpwstr>
  </property>
  <property fmtid="{D5CDD505-2E9C-101B-9397-08002B2CF9AE}" pid="5" name="MSIP_Label_792c8cef-6f2b-4af1-b4ac-d815ff795cd6_Name">
    <vt:lpwstr>VUMC General</vt:lpwstr>
  </property>
  <property fmtid="{D5CDD505-2E9C-101B-9397-08002B2CF9AE}" pid="6" name="MSIP_Label_792c8cef-6f2b-4af1-b4ac-d815ff795cd6_SiteId">
    <vt:lpwstr>ef575030-1424-4ed8-b83c-12c533d879ab</vt:lpwstr>
  </property>
  <property fmtid="{D5CDD505-2E9C-101B-9397-08002B2CF9AE}" pid="7" name="MSIP_Label_792c8cef-6f2b-4af1-b4ac-d815ff795cd6_ActionId">
    <vt:lpwstr>c5c3d2ba-5e2b-43cd-b948-86ce7c856136</vt:lpwstr>
  </property>
  <property fmtid="{D5CDD505-2E9C-101B-9397-08002B2CF9AE}" pid="8" name="MSIP_Label_792c8cef-6f2b-4af1-b4ac-d815ff795cd6_ContentBits">
    <vt:lpwstr>0</vt:lpwstr>
  </property>
  <property fmtid="{D5CDD505-2E9C-101B-9397-08002B2CF9AE}" pid="9" name="MSIP_Label_792c8cef-6f2b-4af1-b4ac-d815ff795cd6_Tag">
    <vt:lpwstr>10, 3, 0, 1</vt:lpwstr>
  </property>
  <property fmtid="{D5CDD505-2E9C-101B-9397-08002B2CF9AE}" pid="10" name="ZOTERO_PREF_1">
    <vt:lpwstr>&lt;data data-version="3" zotero-version="7.0.11"&gt;&lt;session id="74mCPm90"/&gt;&lt;style id="http://www.zotero.org/styles/apa-numeric-superscript-brackets" locale="en-US" hasBibliography="1" bibliographyStyleHasBeenSet="1"/&gt;&lt;prefs&gt;&lt;pref name="fieldType" value="Field</vt:lpwstr>
  </property>
  <property fmtid="{D5CDD505-2E9C-101B-9397-08002B2CF9AE}" pid="11" name="ZOTERO_PREF_2">
    <vt:lpwstr>"/&gt;&lt;/prefs&gt;&lt;/data&gt;</vt:lpwstr>
  </property>
</Properties>
</file>