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2FB57" w14:textId="4B17DA40" w:rsidR="00A41B4D" w:rsidRDefault="00A41B4D" w:rsidP="00A41B4D">
      <w:pPr>
        <w:spacing w:after="0" w:line="360" w:lineRule="auto"/>
        <w:rPr>
          <w:rFonts w:ascii="Times New Roman" w:hAnsi="Times New Roman" w:cs="Times New Roman"/>
          <w:b/>
          <w:bCs/>
          <w:color w:val="000000" w:themeColor="text1"/>
          <w:sz w:val="24"/>
          <w:szCs w:val="24"/>
        </w:rPr>
      </w:pPr>
      <w:r w:rsidRPr="00A41B4D">
        <w:rPr>
          <w:rFonts w:ascii="Times New Roman" w:hAnsi="Times New Roman" w:cs="Times New Roman"/>
          <w:b/>
          <w:bCs/>
          <w:color w:val="000000" w:themeColor="text1"/>
          <w:sz w:val="24"/>
          <w:szCs w:val="24"/>
        </w:rPr>
        <w:t xml:space="preserve">Supplement </w:t>
      </w:r>
    </w:p>
    <w:p w14:paraId="11A605BB" w14:textId="2C0649B5" w:rsidR="00BD60AA" w:rsidRDefault="00231042" w:rsidP="00A41B4D">
      <w:pPr>
        <w:spacing w:after="0" w:line="360" w:lineRule="auto"/>
        <w:rPr>
          <w:rFonts w:ascii="Times New Roman" w:hAnsi="Times New Roman" w:cs="Times New Roman"/>
          <w:color w:val="000000" w:themeColor="text1"/>
          <w:sz w:val="24"/>
          <w:szCs w:val="24"/>
        </w:rPr>
      </w:pPr>
      <w:r w:rsidRPr="00231042">
        <w:rPr>
          <w:rFonts w:ascii="Times New Roman" w:hAnsi="Times New Roman" w:cs="Times New Roman"/>
          <w:color w:val="000000" w:themeColor="text1"/>
          <w:sz w:val="24"/>
          <w:szCs w:val="24"/>
        </w:rPr>
        <w:t xml:space="preserve">We evaluated vulnerability through a multi-step process (described in detail below): (1) creation of a comprehensive vulnerability index by combining weighted composite indices using Principal Component Analysis </w:t>
      </w:r>
      <w:r w:rsidR="00842C4A" w:rsidRPr="00A41B4D">
        <w:rPr>
          <w:rFonts w:ascii="Times New Roman" w:hAnsi="Times New Roman" w:cs="Times New Roman"/>
          <w:color w:val="000000" w:themeColor="text1"/>
          <w:sz w:val="24"/>
          <w:szCs w:val="24"/>
        </w:rPr>
        <w:t>(PCA)</w:t>
      </w:r>
      <w:r w:rsidR="00842C4A">
        <w:rPr>
          <w:rFonts w:ascii="Times New Roman" w:hAnsi="Times New Roman" w:cs="Times New Roman"/>
          <w:color w:val="000000" w:themeColor="text1"/>
          <w:sz w:val="24"/>
          <w:szCs w:val="24"/>
        </w:rPr>
        <w:t xml:space="preserve"> </w:t>
      </w:r>
      <w:r w:rsidRPr="00231042">
        <w:rPr>
          <w:rFonts w:ascii="Times New Roman" w:hAnsi="Times New Roman" w:cs="Times New Roman"/>
          <w:color w:val="000000" w:themeColor="text1"/>
          <w:sz w:val="24"/>
          <w:szCs w:val="24"/>
        </w:rPr>
        <w:t xml:space="preserve">to reduce bias and multicollinearity; (2) </w:t>
      </w:r>
      <w:r w:rsidR="00F734A0">
        <w:rPr>
          <w:rFonts w:ascii="Times New Roman" w:hAnsi="Times New Roman" w:cs="Times New Roman"/>
          <w:color w:val="000000" w:themeColor="text1"/>
          <w:sz w:val="24"/>
          <w:szCs w:val="24"/>
        </w:rPr>
        <w:t>d</w:t>
      </w:r>
      <w:r w:rsidR="00F734A0" w:rsidRPr="00F734A0">
        <w:rPr>
          <w:rFonts w:ascii="Times New Roman" w:hAnsi="Times New Roman" w:cs="Times New Roman"/>
          <w:color w:val="000000" w:themeColor="text1"/>
          <w:sz w:val="24"/>
          <w:szCs w:val="24"/>
        </w:rPr>
        <w:t>evelopment of three key indices: Severity Index, Household Environmental Condition Index, and Sleep and Mental Health Index to capture the effects of conflict, living conditions, and mental health stressors</w:t>
      </w:r>
      <w:r w:rsidRPr="00231042">
        <w:rPr>
          <w:rFonts w:ascii="Times New Roman" w:hAnsi="Times New Roman" w:cs="Times New Roman"/>
          <w:color w:val="000000" w:themeColor="text1"/>
          <w:sz w:val="24"/>
          <w:szCs w:val="24"/>
        </w:rPr>
        <w:t>; (3) classification of vulnerability dimensions reflecting humanitarian aid access, conflict intensity, psychosocial stress, environmental and socioeconomic factors, infrastructure access, housing damage, and resource scarcity; and (4) integration of these dimensions into a final vulnerability map to assess how exposure, sensitivity, and adaptive capacity shape health and mental health risks in war-affected areas.</w:t>
      </w:r>
    </w:p>
    <w:p w14:paraId="0B889B7D" w14:textId="77777777" w:rsidR="00231042" w:rsidRPr="00A41B4D" w:rsidRDefault="00231042" w:rsidP="00A41B4D">
      <w:pPr>
        <w:spacing w:after="0" w:line="360" w:lineRule="auto"/>
        <w:rPr>
          <w:rFonts w:ascii="Times New Roman" w:hAnsi="Times New Roman" w:cs="Times New Roman"/>
          <w:b/>
          <w:bCs/>
          <w:color w:val="000000" w:themeColor="text1"/>
          <w:sz w:val="24"/>
          <w:szCs w:val="24"/>
        </w:rPr>
      </w:pPr>
    </w:p>
    <w:p w14:paraId="0FD0ED95" w14:textId="602FD0AD" w:rsidR="00A41B4D" w:rsidRPr="00A41B4D" w:rsidRDefault="00A41B4D" w:rsidP="00A41B4D">
      <w:pPr>
        <w:spacing w:after="0" w:line="360" w:lineRule="auto"/>
        <w:jc w:val="both"/>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To create the vulnerability index and map, we weighed variables</w:t>
      </w:r>
      <w:r w:rsidRPr="00A41B4D">
        <w:rPr>
          <w:rFonts w:ascii="Times New Roman" w:hAnsi="Times New Roman" w:cs="Times New Roman"/>
          <w:color w:val="000000" w:themeColor="text1"/>
          <w:sz w:val="24"/>
          <w:szCs w:val="24"/>
        </w:rPr>
        <w:fldChar w:fldCharType="begin"/>
      </w:r>
      <w:r w:rsidR="00335E3C">
        <w:rPr>
          <w:rFonts w:ascii="Times New Roman" w:hAnsi="Times New Roman" w:cs="Times New Roman"/>
          <w:color w:val="000000" w:themeColor="text1"/>
          <w:sz w:val="24"/>
          <w:szCs w:val="24"/>
        </w:rPr>
        <w:instrText xml:space="preserve"> ADDIN EN.CITE &lt;EndNote&gt;&lt;Cite&gt;&lt;Author&gt;Jiménez-Fernández&lt;/Author&gt;&lt;Year&gt;2022&lt;/Year&gt;&lt;RecNum&gt;512&lt;/RecNum&gt;&lt;DisplayText&gt;&lt;style face="superscript"&gt;1&lt;/style&gt;&lt;/DisplayText&gt;&lt;record&gt;&lt;rec-number&gt;512&lt;/rec-number&gt;&lt;foreign-keys&gt;&lt;key app="EN" db-id="etdwwedwvwf2xlez997v5xv1ppzwvfrdrrxx" timestamp="1742615197"&gt;512&lt;/key&gt;&lt;/foreign-keys&gt;&lt;ref-type name="Journal Article"&gt;17&lt;/ref-type&gt;&lt;contributors&gt;&lt;authors&gt;&lt;author&gt;Jiménez-Fernández, Eduardo&lt;/author&gt;&lt;author&gt;Sánchez, Angeles&lt;/author&gt;&lt;author&gt;Ortega-Pérez, Mario&lt;/author&gt;&lt;/authors&gt;&lt;/contributors&gt;&lt;titles&gt;&lt;title&gt;Dealing with weighting scheme in composite indicators: An unsupervised distance-machine learning proposal for quantitative data&lt;/title&gt;&lt;secondary-title&gt;Socio-Economic Planning Sciences&lt;/secondary-title&gt;&lt;/titles&gt;&lt;periodical&gt;&lt;full-title&gt;Socio-Economic Planning Sciences&lt;/full-title&gt;&lt;/periodical&gt;&lt;pages&gt;101339&lt;/pages&gt;&lt;volume&gt;83&lt;/volume&gt;&lt;keywords&gt;&lt;keyword&gt;Composite indicator&lt;/keyword&gt;&lt;keyword&gt;P2 distance&lt;/keyword&gt;&lt;keyword&gt;Unsupervised machine learning&lt;/keyword&gt;&lt;keyword&gt;Benchmarking&lt;/keyword&gt;&lt;keyword&gt;Weighting scheme&lt;/keyword&gt;&lt;keyword&gt;MARS&lt;/keyword&gt;&lt;keyword&gt;C02&lt;/keyword&gt;&lt;keyword&gt;C15&lt;/keyword&gt;&lt;keyword&gt;C44&lt;/keyword&gt;&lt;keyword&gt;C43&lt;/keyword&gt;&lt;/keywords&gt;&lt;dates&gt;&lt;year&gt;2022&lt;/year&gt;&lt;pub-dates&gt;&lt;date&gt;2022/10/01/&lt;/date&gt;&lt;/pub-dates&gt;&lt;/dates&gt;&lt;isbn&gt;0038-0121&lt;/isbn&gt;&lt;urls&gt;&lt;related-urls&gt;&lt;url&gt;https://www.sciencedirect.com/science/article/pii/S003801212200129X&lt;/url&gt;&lt;/related-urls&gt;&lt;/urls&gt;&lt;electronic-resource-num&gt;https://doi.org/10.1016/j.seps.2022.101339&lt;/electronic-resource-num&gt;&lt;/record&gt;&lt;/Cite&gt;&lt;/EndNote&gt;</w:instrText>
      </w:r>
      <w:r w:rsidRPr="00A41B4D">
        <w:rPr>
          <w:rFonts w:ascii="Times New Roman" w:hAnsi="Times New Roman" w:cs="Times New Roman"/>
          <w:color w:val="000000" w:themeColor="text1"/>
          <w:sz w:val="24"/>
          <w:szCs w:val="24"/>
        </w:rPr>
        <w:fldChar w:fldCharType="separate"/>
      </w:r>
      <w:r w:rsidR="00335E3C" w:rsidRPr="00335E3C">
        <w:rPr>
          <w:rFonts w:ascii="Times New Roman" w:hAnsi="Times New Roman" w:cs="Times New Roman"/>
          <w:noProof/>
          <w:color w:val="000000" w:themeColor="text1"/>
          <w:sz w:val="24"/>
          <w:szCs w:val="24"/>
          <w:vertAlign w:val="superscript"/>
        </w:rPr>
        <w:t>1</w:t>
      </w:r>
      <w:r w:rsidRPr="00A41B4D">
        <w:rPr>
          <w:rFonts w:ascii="Times New Roman" w:hAnsi="Times New Roman" w:cs="Times New Roman"/>
          <w:color w:val="000000" w:themeColor="text1"/>
          <w:sz w:val="24"/>
          <w:szCs w:val="24"/>
        </w:rPr>
        <w:fldChar w:fldCharType="end"/>
      </w:r>
      <w:r w:rsidRPr="00A41B4D">
        <w:rPr>
          <w:rFonts w:ascii="Times New Roman" w:hAnsi="Times New Roman" w:cs="Times New Roman"/>
          <w:color w:val="000000" w:themeColor="text1"/>
          <w:sz w:val="24"/>
          <w:szCs w:val="24"/>
        </w:rPr>
        <w:t xml:space="preserve"> by combining a composite index calculation and weighted overlay in two phases. First, the composite index was calculated by </w:t>
      </w:r>
      <w:proofErr w:type="gramStart"/>
      <w:r w:rsidRPr="00A41B4D">
        <w:rPr>
          <w:rFonts w:ascii="Times New Roman" w:hAnsi="Times New Roman" w:cs="Times New Roman"/>
          <w:color w:val="000000" w:themeColor="text1"/>
          <w:sz w:val="24"/>
          <w:szCs w:val="24"/>
        </w:rPr>
        <w:t>weighting</w:t>
      </w:r>
      <w:proofErr w:type="gramEnd"/>
      <w:r w:rsidRPr="00A41B4D">
        <w:rPr>
          <w:rFonts w:ascii="Times New Roman" w:hAnsi="Times New Roman" w:cs="Times New Roman"/>
          <w:color w:val="000000" w:themeColor="text1"/>
          <w:sz w:val="24"/>
          <w:szCs w:val="24"/>
        </w:rPr>
        <w:t xml:space="preserve"> variables in each data category. PCA was used to reduce </w:t>
      </w:r>
      <w:r w:rsidR="00CB5980">
        <w:rPr>
          <w:rFonts w:ascii="Times New Roman" w:hAnsi="Times New Roman" w:cs="Times New Roman"/>
          <w:color w:val="000000" w:themeColor="text1"/>
          <w:sz w:val="24"/>
          <w:szCs w:val="24"/>
        </w:rPr>
        <w:t xml:space="preserve">the </w:t>
      </w:r>
      <w:r w:rsidRPr="00A41B4D">
        <w:rPr>
          <w:rFonts w:ascii="Times New Roman" w:hAnsi="Times New Roman" w:cs="Times New Roman"/>
          <w:color w:val="000000" w:themeColor="text1"/>
          <w:sz w:val="24"/>
          <w:szCs w:val="24"/>
        </w:rPr>
        <w:t>dataset dimensionality to identify patterns and summarize correlated variables, which are weighted without subjective bias. PCA also resolves multicollinearity, ensuring accurate and reliable regression analyses.</w:t>
      </w:r>
      <w:r w:rsidRPr="00A41B4D">
        <w:rPr>
          <w:rFonts w:ascii="Times New Roman" w:hAnsi="Times New Roman" w:cs="Times New Roman"/>
          <w:color w:val="000000" w:themeColor="text1"/>
          <w:sz w:val="24"/>
          <w:szCs w:val="24"/>
        </w:rPr>
        <w:fldChar w:fldCharType="begin"/>
      </w:r>
      <w:r w:rsidR="00335E3C">
        <w:rPr>
          <w:rFonts w:ascii="Times New Roman" w:hAnsi="Times New Roman" w:cs="Times New Roman"/>
          <w:color w:val="000000" w:themeColor="text1"/>
          <w:sz w:val="24"/>
          <w:szCs w:val="24"/>
        </w:rPr>
        <w:instrText xml:space="preserve"> ADDIN EN.CITE &lt;EndNote&gt;&lt;Cite&gt;&lt;RecNum&gt;513&lt;/RecNum&gt;&lt;DisplayText&gt;&lt;style face="superscript"&gt;2&lt;/style&gt;&lt;/DisplayText&gt;&lt;record&gt;&lt;rec-number&gt;513&lt;/rec-number&gt;&lt;foreign-keys&gt;&lt;key app="EN" db-id="etdwwedwvwf2xlez997v5xv1ppzwvfrdrrxx" timestamp="1742615583"&gt;513&lt;/key&gt;&lt;/foreign-keys&gt;&lt;ref-type name="Journal Article"&gt;17&lt;/ref-type&gt;&lt;contributors&gt;&lt;/contributors&gt;&lt;titles&gt;&lt;title&gt;Xie, W., Li, J., Zong, K., Seco, L. Machine Learning Techniques for Multifactor Analysis of National Carbon Dioxide Emissions. Available at [https://arxiv.org/html/2503.15574v1].&lt;/title&gt;&lt;/titles&gt;&lt;dates&gt;&lt;/dates&gt;&lt;urls&gt;&lt;/urls&gt;&lt;/record&gt;&lt;/Cite&gt;&lt;/EndNote&gt;</w:instrText>
      </w:r>
      <w:r w:rsidRPr="00A41B4D">
        <w:rPr>
          <w:rFonts w:ascii="Times New Roman" w:hAnsi="Times New Roman" w:cs="Times New Roman"/>
          <w:color w:val="000000" w:themeColor="text1"/>
          <w:sz w:val="24"/>
          <w:szCs w:val="24"/>
        </w:rPr>
        <w:fldChar w:fldCharType="separate"/>
      </w:r>
      <w:r w:rsidR="00335E3C" w:rsidRPr="00335E3C">
        <w:rPr>
          <w:rFonts w:ascii="Times New Roman" w:hAnsi="Times New Roman" w:cs="Times New Roman"/>
          <w:noProof/>
          <w:color w:val="000000" w:themeColor="text1"/>
          <w:sz w:val="24"/>
          <w:szCs w:val="24"/>
          <w:vertAlign w:val="superscript"/>
        </w:rPr>
        <w:t>2</w:t>
      </w:r>
      <w:r w:rsidRPr="00A41B4D">
        <w:rPr>
          <w:rFonts w:ascii="Times New Roman" w:hAnsi="Times New Roman" w:cs="Times New Roman"/>
          <w:color w:val="000000" w:themeColor="text1"/>
          <w:sz w:val="24"/>
          <w:szCs w:val="24"/>
        </w:rPr>
        <w:fldChar w:fldCharType="end"/>
      </w:r>
      <w:r w:rsidRPr="00A41B4D">
        <w:rPr>
          <w:rFonts w:ascii="Times New Roman" w:hAnsi="Times New Roman" w:cs="Times New Roman"/>
          <w:color w:val="000000" w:themeColor="text1"/>
          <w:sz w:val="24"/>
          <w:szCs w:val="24"/>
        </w:rPr>
        <w:t xml:space="preserve"> Weights were calculated, followed by developing three indices: i) Severity Index to measure war disruptions by attack frequency and casualties; ii) </w:t>
      </w:r>
      <w:r w:rsidR="00014E12" w:rsidRPr="00014E12">
        <w:rPr>
          <w:rFonts w:ascii="Times New Roman" w:hAnsi="Times New Roman" w:cs="Times New Roman"/>
          <w:color w:val="000000" w:themeColor="text1"/>
          <w:sz w:val="24"/>
          <w:szCs w:val="24"/>
        </w:rPr>
        <w:t>Household</w:t>
      </w:r>
      <w:r w:rsidR="00014E12">
        <w:rPr>
          <w:rFonts w:ascii="Times New Roman" w:hAnsi="Times New Roman" w:cs="Times New Roman"/>
          <w:color w:val="000000" w:themeColor="text1"/>
          <w:sz w:val="24"/>
          <w:szCs w:val="24"/>
        </w:rPr>
        <w:t xml:space="preserve"> </w:t>
      </w:r>
      <w:r w:rsidRPr="00A41B4D">
        <w:rPr>
          <w:rFonts w:ascii="Times New Roman" w:hAnsi="Times New Roman" w:cs="Times New Roman"/>
          <w:color w:val="000000" w:themeColor="text1"/>
          <w:sz w:val="24"/>
          <w:szCs w:val="24"/>
        </w:rPr>
        <w:t>Environmental Condition Index, which reflects the impacts of severe living space issues; and iii) Sleep and Mental Health Index to capture mental health and sleep disturbances.</w:t>
      </w:r>
    </w:p>
    <w:p w14:paraId="5D3730B6"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2954B02D"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The composite vulnerability index was calculated using the formula:</w:t>
      </w:r>
    </w:p>
    <w:p w14:paraId="30F78411" w14:textId="3F5E676C"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 xml:space="preserve">Risk map = Severity Index + </w:t>
      </w:r>
      <w:r w:rsidR="00014E12" w:rsidRPr="00014E12">
        <w:rPr>
          <w:rFonts w:ascii="Times New Roman" w:hAnsi="Times New Roman" w:cs="Times New Roman"/>
          <w:color w:val="000000" w:themeColor="text1"/>
          <w:sz w:val="24"/>
          <w:szCs w:val="24"/>
        </w:rPr>
        <w:t>Household</w:t>
      </w:r>
      <w:r w:rsidR="00014E12">
        <w:rPr>
          <w:rFonts w:ascii="Times New Roman" w:hAnsi="Times New Roman" w:cs="Times New Roman"/>
          <w:color w:val="000000" w:themeColor="text1"/>
          <w:sz w:val="24"/>
          <w:szCs w:val="24"/>
        </w:rPr>
        <w:t xml:space="preserve"> </w:t>
      </w:r>
      <w:r w:rsidRPr="00A41B4D">
        <w:rPr>
          <w:rFonts w:ascii="Times New Roman" w:hAnsi="Times New Roman" w:cs="Times New Roman"/>
          <w:color w:val="000000" w:themeColor="text1"/>
          <w:sz w:val="24"/>
          <w:szCs w:val="24"/>
        </w:rPr>
        <w:t>Environmental Condition Index</w:t>
      </w:r>
    </w:p>
    <w:p w14:paraId="22925239"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Vulnerability Index = Risk Map + Sleep and Mental Health Index</w:t>
      </w:r>
    </w:p>
    <w:p w14:paraId="62692A93" w14:textId="77777777" w:rsidR="00A41B4D" w:rsidRPr="00A41B4D" w:rsidRDefault="00A41B4D" w:rsidP="00A41B4D">
      <w:pPr>
        <w:spacing w:after="0" w:line="360" w:lineRule="auto"/>
        <w:rPr>
          <w:rFonts w:ascii="Times New Roman" w:hAnsi="Times New Roman" w:cs="Times New Roman"/>
          <w:b/>
          <w:bCs/>
          <w:color w:val="000000" w:themeColor="text1"/>
          <w:sz w:val="24"/>
          <w:szCs w:val="24"/>
        </w:rPr>
      </w:pPr>
      <w:r w:rsidRPr="00A41B4D">
        <w:rPr>
          <w:rFonts w:ascii="Times New Roman" w:hAnsi="Times New Roman" w:cs="Times New Roman"/>
          <w:color w:val="000000" w:themeColor="text1"/>
          <w:sz w:val="24"/>
          <w:szCs w:val="24"/>
        </w:rPr>
        <w:t xml:space="preserve">Each index was standardized and combined to create a comprehensive vulnerability index. </w:t>
      </w:r>
    </w:p>
    <w:p w14:paraId="77932962" w14:textId="77777777" w:rsidR="00A41B4D" w:rsidRPr="00A41B4D" w:rsidRDefault="00A41B4D" w:rsidP="00A41B4D">
      <w:pPr>
        <w:spacing w:after="0" w:line="360" w:lineRule="auto"/>
        <w:rPr>
          <w:rFonts w:ascii="Times New Roman" w:hAnsi="Times New Roman" w:cs="Times New Roman"/>
          <w:b/>
          <w:bCs/>
          <w:color w:val="000000" w:themeColor="text1"/>
          <w:sz w:val="24"/>
          <w:szCs w:val="24"/>
        </w:rPr>
      </w:pPr>
    </w:p>
    <w:p w14:paraId="63A78897"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b/>
          <w:bCs/>
          <w:color w:val="000000" w:themeColor="text1"/>
          <w:sz w:val="24"/>
          <w:szCs w:val="24"/>
        </w:rPr>
        <w:t xml:space="preserve">Vulnerability related to the availability of humanitarian assistance and financial support </w:t>
      </w:r>
    </w:p>
    <w:p w14:paraId="2D2FE997" w14:textId="37D712F5" w:rsidR="00A41B4D" w:rsidRPr="00A41B4D" w:rsidRDefault="00A41B4D" w:rsidP="00A41B4D">
      <w:pPr>
        <w:spacing w:after="0" w:line="360" w:lineRule="auto"/>
        <w:jc w:val="both"/>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The variables were then categorized into vulnerability classes,</w:t>
      </w:r>
      <w:r w:rsidRPr="00A41B4D">
        <w:rPr>
          <w:rFonts w:ascii="Times New Roman" w:hAnsi="Times New Roman" w:cs="Times New Roman"/>
          <w:color w:val="000000" w:themeColor="text1"/>
          <w:sz w:val="24"/>
          <w:szCs w:val="24"/>
        </w:rPr>
        <w:fldChar w:fldCharType="begin"/>
      </w:r>
      <w:r w:rsidR="00335E3C">
        <w:rPr>
          <w:rFonts w:ascii="Times New Roman" w:hAnsi="Times New Roman" w:cs="Times New Roman"/>
          <w:color w:val="000000" w:themeColor="text1"/>
          <w:sz w:val="24"/>
          <w:szCs w:val="24"/>
        </w:rPr>
        <w:instrText xml:space="preserve"> ADDIN EN.CITE &lt;EndNote&gt;&lt;Cite&gt;&lt;Author&gt;Rabiei-Dastjerdi&lt;/Author&gt;&lt;Year&gt;2024&lt;/Year&gt;&lt;RecNum&gt;516&lt;/RecNum&gt;&lt;DisplayText&gt;&lt;style face="superscript"&gt;3&lt;/style&gt;&lt;/DisplayText&gt;&lt;record&gt;&lt;rec-number&gt;516&lt;/rec-number&gt;&lt;foreign-keys&gt;&lt;key app="EN" db-id="etdwwedwvwf2xlez997v5xv1ppzwvfrdrrxx" timestamp="1742616686"&gt;516&lt;/key&gt;&lt;/foreign-keys&gt;&lt;ref-type name="Journal Article"&gt;17&lt;/ref-type&gt;&lt;contributors&gt;&lt;authors&gt;&lt;author&gt;Rabiei-Dastjerdi, Hamidreza&lt;/author&gt;&lt;author&gt;Brereton, Finbarr&lt;/author&gt;&lt;author&gt;O’Neill, Eoin&lt;/author&gt;&lt;/authors&gt;&lt;/contributors&gt;&lt;titles&gt;&lt;title&gt;Towards designing a comprehensive composite index for social vulnerability to natural hazards in the big data era: potential challenges and partial solutions&lt;/title&gt;&lt;secondary-title&gt;Natural Hazards&lt;/secondary-title&gt;&lt;/titles&gt;&lt;periodical&gt;&lt;full-title&gt;Natural Hazards&lt;/full-title&gt;&lt;/periodical&gt;&lt;dates&gt;&lt;year&gt;2024&lt;/year&gt;&lt;pub-dates&gt;&lt;date&gt;2024/10/16&lt;/date&gt;&lt;/pub-dates&gt;&lt;/dates&gt;&lt;isbn&gt;1573-0840&lt;/isbn&gt;&lt;urls&gt;&lt;related-urls&gt;&lt;url&gt;https://doi.org/10.1007/s11069-024-06874-w&lt;/url&gt;&lt;/related-urls&gt;&lt;/urls&gt;&lt;electronic-resource-num&gt;10.1007/s11069-024-06874-w&lt;/electronic-resource-num&gt;&lt;/record&gt;&lt;/Cite&gt;&lt;/EndNote&gt;</w:instrText>
      </w:r>
      <w:r w:rsidRPr="00A41B4D">
        <w:rPr>
          <w:rFonts w:ascii="Times New Roman" w:hAnsi="Times New Roman" w:cs="Times New Roman"/>
          <w:color w:val="000000" w:themeColor="text1"/>
          <w:sz w:val="24"/>
          <w:szCs w:val="24"/>
        </w:rPr>
        <w:fldChar w:fldCharType="separate"/>
      </w:r>
      <w:r w:rsidR="00335E3C" w:rsidRPr="00335E3C">
        <w:rPr>
          <w:rFonts w:ascii="Times New Roman" w:hAnsi="Times New Roman" w:cs="Times New Roman"/>
          <w:noProof/>
          <w:color w:val="000000" w:themeColor="text1"/>
          <w:sz w:val="24"/>
          <w:szCs w:val="24"/>
          <w:vertAlign w:val="superscript"/>
        </w:rPr>
        <w:t>3</w:t>
      </w:r>
      <w:r w:rsidRPr="00A41B4D">
        <w:rPr>
          <w:rFonts w:ascii="Times New Roman" w:hAnsi="Times New Roman" w:cs="Times New Roman"/>
          <w:color w:val="000000" w:themeColor="text1"/>
          <w:sz w:val="24"/>
          <w:szCs w:val="24"/>
        </w:rPr>
        <w:fldChar w:fldCharType="end"/>
      </w:r>
      <w:r w:rsidRPr="00A41B4D">
        <w:rPr>
          <w:rFonts w:ascii="Times New Roman" w:hAnsi="Times New Roman" w:cs="Times New Roman"/>
          <w:color w:val="000000" w:themeColor="text1"/>
          <w:sz w:val="24"/>
          <w:szCs w:val="24"/>
        </w:rPr>
        <w:t xml:space="preserve"> with each category representing a specific vulnerability dimension. This method examines how humanitarian aid, conflict intensity, </w:t>
      </w:r>
      <w:r w:rsidRPr="00A41B4D">
        <w:rPr>
          <w:rFonts w:ascii="Times New Roman" w:hAnsi="Times New Roman" w:cs="Times New Roman"/>
          <w:color w:val="000000" w:themeColor="text1"/>
          <w:sz w:val="24"/>
          <w:szCs w:val="24"/>
        </w:rPr>
        <w:lastRenderedPageBreak/>
        <w:t>psychosocial impacts, environmental factors, and infrastructure access shape vulnerability and evaluates how resource availability affects coping with crises.</w:t>
      </w:r>
    </w:p>
    <w:p w14:paraId="22210C71"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68E70292"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Humanitarian aid data includes humanitarian aid, cash transfers, food shops, and public transport. Variables reflect the extent and accessibility of external assistance. Humanitarian aid offers resources, cash transfers provide flexibility, and access to food and transport shows physical service availability.</w:t>
      </w:r>
    </w:p>
    <w:p w14:paraId="015A8BBC"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09AF65F8"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Conflict impact data (Frequency of attacks, casualties, weapon types – artillery, shelling, aerial bombing, missiles, multiple launch rocket systems, and drones): This sub-class tracks conflict intensity and frequency, impacting resource availability and displacement. High attack frequency leads to more infrastructure damage and reliance on humanitarian aid.</w:t>
      </w:r>
    </w:p>
    <w:p w14:paraId="28E79730"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579FE557"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Psychosocial Impact Indicators (PTSD, anxiety, depression, loneliness, insomnia, sleep duration): Mental health outcomes reflect psychosocial stress from conflict. These factors impact resilience and resource use, with chronic issues worsening long-term vulnerability.</w:t>
      </w:r>
    </w:p>
    <w:p w14:paraId="2C2E1515"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7EEB99F2"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Environmental and socioeconomic indicators (Cold, damp, crowded conditions, insufficient food or medicine): Environmental stressors like cold and damp conditions worsen health. Socioeconomic indicators, such as lack of food and medicine, reflect chronic deprivation and low adaptive capacity.</w:t>
      </w:r>
    </w:p>
    <w:p w14:paraId="2F7DD885"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09E826AF" w14:textId="20B08251"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 xml:space="preserve">Infrastructure and access (Hospital, pharmacy, ambulance access, frequent power outages): These variables assess critical service availability and functionality. Power outages disrupt heating, communication, and medical services, while </w:t>
      </w:r>
      <w:r w:rsidR="00CB5980">
        <w:rPr>
          <w:rFonts w:ascii="Times New Roman" w:hAnsi="Times New Roman" w:cs="Times New Roman"/>
          <w:color w:val="000000" w:themeColor="text1"/>
          <w:sz w:val="24"/>
          <w:szCs w:val="24"/>
        </w:rPr>
        <w:t xml:space="preserve">reduced </w:t>
      </w:r>
      <w:r w:rsidRPr="00A41B4D">
        <w:rPr>
          <w:rFonts w:ascii="Times New Roman" w:hAnsi="Times New Roman" w:cs="Times New Roman"/>
          <w:color w:val="000000" w:themeColor="text1"/>
          <w:sz w:val="24"/>
          <w:szCs w:val="24"/>
        </w:rPr>
        <w:t>healthcare access reduces health risks.</w:t>
      </w:r>
    </w:p>
    <w:p w14:paraId="2A20BC2D" w14:textId="77777777" w:rsidR="00A41B4D" w:rsidRPr="00A41B4D" w:rsidRDefault="00A41B4D" w:rsidP="00A41B4D">
      <w:pPr>
        <w:spacing w:after="0" w:line="360" w:lineRule="auto"/>
        <w:rPr>
          <w:rFonts w:ascii="Times New Roman" w:eastAsia="Aptos" w:hAnsi="Times New Roman" w:cs="Times New Roman"/>
          <w:b/>
          <w:bCs/>
          <w:color w:val="000000" w:themeColor="text1"/>
          <w:sz w:val="24"/>
          <w:szCs w:val="24"/>
        </w:rPr>
      </w:pPr>
    </w:p>
    <w:p w14:paraId="44DFD174" w14:textId="77777777" w:rsidR="00A41B4D" w:rsidRPr="00A41B4D" w:rsidRDefault="00A41B4D" w:rsidP="00A41B4D">
      <w:pPr>
        <w:spacing w:after="0" w:line="360" w:lineRule="auto"/>
        <w:rPr>
          <w:rFonts w:ascii="Times New Roman" w:eastAsia="Aptos" w:hAnsi="Times New Roman" w:cs="Times New Roman"/>
          <w:b/>
          <w:bCs/>
          <w:color w:val="000000" w:themeColor="text1"/>
          <w:sz w:val="24"/>
          <w:szCs w:val="24"/>
        </w:rPr>
      </w:pPr>
      <w:r w:rsidRPr="00A41B4D">
        <w:rPr>
          <w:rFonts w:ascii="Times New Roman" w:eastAsia="Aptos" w:hAnsi="Times New Roman" w:cs="Times New Roman"/>
          <w:b/>
          <w:bCs/>
          <w:color w:val="000000" w:themeColor="text1"/>
          <w:sz w:val="24"/>
          <w:szCs w:val="24"/>
        </w:rPr>
        <w:t xml:space="preserve">Health vulnerabilities linked to environmental factors </w:t>
      </w:r>
    </w:p>
    <w:p w14:paraId="59733771"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This category examines exposure, sensitivity, and adaptive capacity to show how environmental conditions impact health.</w:t>
      </w:r>
    </w:p>
    <w:p w14:paraId="3422BDE6" w14:textId="68EB9816"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lastRenderedPageBreak/>
        <w:t>Exposure (Cold, damp, crowded housing): Environmental factors heighten risks of respiratory, mental, and chronic illnesses, especially where healthcare access is scarce.</w:t>
      </w:r>
      <w:r w:rsidRPr="00A41B4D">
        <w:rPr>
          <w:rFonts w:ascii="Times New Roman" w:eastAsia="Aptos" w:hAnsi="Times New Roman" w:cs="Times New Roman"/>
          <w:color w:val="000000" w:themeColor="text1"/>
          <w:sz w:val="24"/>
          <w:szCs w:val="24"/>
        </w:rPr>
        <w:fldChar w:fldCharType="begin"/>
      </w:r>
      <w:r w:rsidR="00335E3C">
        <w:rPr>
          <w:rFonts w:ascii="Times New Roman" w:eastAsia="Aptos" w:hAnsi="Times New Roman" w:cs="Times New Roman"/>
          <w:color w:val="000000" w:themeColor="text1"/>
          <w:sz w:val="24"/>
          <w:szCs w:val="24"/>
        </w:rPr>
        <w:instrText xml:space="preserve"> ADDIN EN.CITE &lt;EndNote&gt;&lt;Cite&gt;&lt;RecNum&gt;517&lt;/RecNum&gt;&lt;DisplayText&gt;&lt;style face="superscript"&gt;4&lt;/style&gt;&lt;/DisplayText&gt;&lt;record&gt;&lt;rec-number&gt;517&lt;/rec-number&gt;&lt;foreign-keys&gt;&lt;key app="EN" db-id="etdwwedwvwf2xlez997v5xv1ppzwvfrdrrxx" timestamp="1742616821"&gt;517&lt;/key&gt;&lt;/foreign-keys&gt;&lt;ref-type name="Journal Article"&gt;17&lt;/ref-type&gt;&lt;contributors&gt;&lt;/contributors&gt;&lt;titles&gt;&lt;title&gt;Wang, Peijin. “Development of Composite Index in Clinical Research.” J Biom Biosta 14 (2023): 155.&lt;/title&gt;&lt;/titles&gt;&lt;dates&gt;&lt;/dates&gt;&lt;urls&gt;&lt;/urls&gt;&lt;/record&gt;&lt;/Cite&gt;&lt;/EndNote&gt;</w:instrText>
      </w:r>
      <w:r w:rsidRPr="00A41B4D">
        <w:rPr>
          <w:rFonts w:ascii="Times New Roman" w:eastAsia="Aptos" w:hAnsi="Times New Roman" w:cs="Times New Roman"/>
          <w:color w:val="000000" w:themeColor="text1"/>
          <w:sz w:val="24"/>
          <w:szCs w:val="24"/>
        </w:rPr>
        <w:fldChar w:fldCharType="separate"/>
      </w:r>
      <w:r w:rsidR="00335E3C" w:rsidRPr="00335E3C">
        <w:rPr>
          <w:rFonts w:ascii="Times New Roman" w:eastAsia="Aptos" w:hAnsi="Times New Roman" w:cs="Times New Roman"/>
          <w:noProof/>
          <w:color w:val="000000" w:themeColor="text1"/>
          <w:sz w:val="24"/>
          <w:szCs w:val="24"/>
          <w:vertAlign w:val="superscript"/>
        </w:rPr>
        <w:t>4</w:t>
      </w:r>
      <w:r w:rsidRPr="00A41B4D">
        <w:rPr>
          <w:rFonts w:ascii="Times New Roman" w:eastAsia="Aptos" w:hAnsi="Times New Roman" w:cs="Times New Roman"/>
          <w:color w:val="000000" w:themeColor="text1"/>
          <w:sz w:val="24"/>
          <w:szCs w:val="24"/>
        </w:rPr>
        <w:fldChar w:fldCharType="end"/>
      </w:r>
    </w:p>
    <w:p w14:paraId="33DBDDD9"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p>
    <w:p w14:paraId="14DA97A4"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Sensitivity (Insufficient food, medicine, or fuel): These variables indicate the population’s vulnerability to environmental stressors. The lack of essential resources exacerbates existing health conditions.</w:t>
      </w:r>
    </w:p>
    <w:p w14:paraId="20F81ED6"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p>
    <w:p w14:paraId="69C3AA51"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Adaptive Capacity (Hospital and pharmacy access, ambulance services): These indicators assess the local healthcare system’s capacity to handle emergencies and chronic needs.</w:t>
      </w:r>
    </w:p>
    <w:p w14:paraId="1269D692" w14:textId="77777777" w:rsidR="00A41B4D" w:rsidRPr="00A41B4D" w:rsidRDefault="00A41B4D" w:rsidP="00A41B4D">
      <w:pPr>
        <w:spacing w:after="0" w:line="360" w:lineRule="auto"/>
        <w:rPr>
          <w:rFonts w:ascii="Times New Roman" w:eastAsia="Aptos" w:hAnsi="Times New Roman" w:cs="Times New Roman"/>
          <w:b/>
          <w:bCs/>
          <w:color w:val="000000" w:themeColor="text1"/>
          <w:sz w:val="24"/>
          <w:szCs w:val="24"/>
        </w:rPr>
      </w:pPr>
    </w:p>
    <w:p w14:paraId="01595D29" w14:textId="77777777" w:rsidR="00A41B4D" w:rsidRPr="00A41B4D" w:rsidRDefault="00A41B4D" w:rsidP="00A41B4D">
      <w:pPr>
        <w:spacing w:after="0" w:line="360" w:lineRule="auto"/>
        <w:rPr>
          <w:rFonts w:ascii="Times New Roman" w:eastAsia="Aptos" w:hAnsi="Times New Roman" w:cs="Times New Roman"/>
          <w:b/>
          <w:bCs/>
          <w:color w:val="000000" w:themeColor="text1"/>
          <w:sz w:val="24"/>
          <w:szCs w:val="24"/>
        </w:rPr>
      </w:pPr>
      <w:r w:rsidRPr="00A41B4D">
        <w:rPr>
          <w:rFonts w:ascii="Times New Roman" w:eastAsia="Aptos" w:hAnsi="Times New Roman" w:cs="Times New Roman"/>
          <w:b/>
          <w:bCs/>
          <w:color w:val="000000" w:themeColor="text1"/>
          <w:sz w:val="24"/>
          <w:szCs w:val="24"/>
        </w:rPr>
        <w:t xml:space="preserve">Vulnerability related to housing damage </w:t>
      </w:r>
    </w:p>
    <w:p w14:paraId="5C579142" w14:textId="77777777" w:rsidR="00A41B4D" w:rsidRPr="00A41B4D" w:rsidRDefault="00A41B4D" w:rsidP="00A41B4D">
      <w:pPr>
        <w:spacing w:after="0" w:line="360" w:lineRule="auto"/>
        <w:rPr>
          <w:rFonts w:ascii="Times New Roman" w:eastAsia="Aptos" w:hAnsi="Times New Roman" w:cs="Times New Roman"/>
          <w:b/>
          <w:bCs/>
          <w:color w:val="000000" w:themeColor="text1"/>
          <w:sz w:val="24"/>
          <w:szCs w:val="24"/>
        </w:rPr>
      </w:pPr>
      <w:r w:rsidRPr="00A41B4D">
        <w:rPr>
          <w:rFonts w:ascii="Times New Roman" w:eastAsia="Aptos" w:hAnsi="Times New Roman" w:cs="Times New Roman"/>
          <w:color w:val="000000" w:themeColor="text1"/>
          <w:sz w:val="24"/>
          <w:szCs w:val="24"/>
        </w:rPr>
        <w:t xml:space="preserve">Assess physical vulnerability from housing destruction and poor shelter. </w:t>
      </w:r>
      <w:proofErr w:type="gramStart"/>
      <w:r w:rsidRPr="00A41B4D">
        <w:rPr>
          <w:rFonts w:ascii="Times New Roman" w:eastAsia="Aptos" w:hAnsi="Times New Roman" w:cs="Times New Roman"/>
          <w:color w:val="000000" w:themeColor="text1"/>
          <w:sz w:val="24"/>
          <w:szCs w:val="24"/>
        </w:rPr>
        <w:t>Include</w:t>
      </w:r>
      <w:proofErr w:type="gramEnd"/>
      <w:r w:rsidRPr="00A41B4D">
        <w:rPr>
          <w:rFonts w:ascii="Times New Roman" w:eastAsia="Aptos" w:hAnsi="Times New Roman" w:cs="Times New Roman"/>
          <w:color w:val="000000" w:themeColor="text1"/>
          <w:sz w:val="24"/>
          <w:szCs w:val="24"/>
        </w:rPr>
        <w:t xml:space="preserve"> indicators of conflict intensity, damage severity, and recovery resource access.</w:t>
      </w:r>
    </w:p>
    <w:p w14:paraId="266C86FE"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p>
    <w:p w14:paraId="2C838070"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Conflict intensity (Frequency of attacks, weapon types): These variables assess conflict exposure. They directly correlate with housing damage.</w:t>
      </w:r>
    </w:p>
    <w:p w14:paraId="4BE30B13"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p>
    <w:p w14:paraId="602CAF31" w14:textId="71736518"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Severity of damage (Ruined house, need for insulation repairs): These indicators measure home damage and assess vulnerability to weather and displacement risks.</w:t>
      </w:r>
      <w:r w:rsidRPr="00A41B4D">
        <w:rPr>
          <w:rFonts w:ascii="Times New Roman" w:eastAsia="Aptos" w:hAnsi="Times New Roman" w:cs="Times New Roman"/>
          <w:color w:val="000000" w:themeColor="text1"/>
          <w:sz w:val="24"/>
          <w:szCs w:val="24"/>
        </w:rPr>
        <w:fldChar w:fldCharType="begin"/>
      </w:r>
      <w:r w:rsidR="00335E3C">
        <w:rPr>
          <w:rFonts w:ascii="Times New Roman" w:eastAsia="Aptos" w:hAnsi="Times New Roman" w:cs="Times New Roman"/>
          <w:color w:val="000000" w:themeColor="text1"/>
          <w:sz w:val="24"/>
          <w:szCs w:val="24"/>
        </w:rPr>
        <w:instrText xml:space="preserve"> ADDIN EN.CITE &lt;EndNote&gt;&lt;Cite&gt;&lt;RecNum&gt;518&lt;/RecNum&gt;&lt;DisplayText&gt;&lt;style face="superscript"&gt;5,6&lt;/style&gt;&lt;/DisplayText&gt;&lt;record&gt;&lt;rec-number&gt;518&lt;/rec-number&gt;&lt;foreign-keys&gt;&lt;key app="EN" db-id="etdwwedwvwf2xlez997v5xv1ppzwvfrdrrxx" timestamp="1742617071"&gt;518&lt;/key&gt;&lt;/foreign-keys&gt;&lt;ref-type name="Journal Article"&gt;17&lt;/ref-type&gt;&lt;contributors&gt;&lt;/contributors&gt;&lt;titles&gt;&lt;title&gt;UNDP, MODULE 8.2: VULNERABILITY INDICES. Available at [https://www.adaptation-undp.org/sites/default/files/uploaded-images/module_8.2_vulnerability_index_online_0.pdf]&lt;/title&gt;&lt;/titles&gt;&lt;dates&gt;&lt;/dates&gt;&lt;urls&gt;&lt;/urls&gt;&lt;/record&gt;&lt;/Cite&gt;&lt;Cite&gt;&lt;Author&gt;Ballesteros&lt;/Author&gt;&lt;Year&gt;2023&lt;/Year&gt;&lt;RecNum&gt;520&lt;/RecNum&gt;&lt;record&gt;&lt;rec-number&gt;520&lt;/rec-number&gt;&lt;foreign-keys&gt;&lt;key app="EN" db-id="etdwwedwvwf2xlez997v5xv1ppzwvfrdrrxx" timestamp="1742617138"&gt;520&lt;/key&gt;&lt;/foreign-keys&gt;&lt;ref-type name="Journal Article"&gt;17&lt;/ref-type&gt;&lt;contributors&gt;&lt;authors&gt;&lt;author&gt;Ballesteros, Linnel Marie S.&lt;/author&gt;&lt;author&gt;Poleacovschi, Cristina&lt;/author&gt;&lt;author&gt;Weems, Carl F.&lt;/author&gt;&lt;author&gt;Zambrana, Ivis García&lt;/author&gt;&lt;author&gt;Talbot, Jessica&lt;/author&gt;&lt;/authors&gt;&lt;/contributors&gt;&lt;titles&gt;&lt;title&gt;Evaluating the interaction effects of housing vulnerability and socioeconomic vulnerability on self-perceptions of psychological resilience in Puerto Rico&lt;/title&gt;&lt;secondary-title&gt;International Journal of Disaster Risk Reduction&lt;/secondary-title&gt;&lt;/titles&gt;&lt;periodical&gt;&lt;full-title&gt;International Journal of Disaster Risk Reduction&lt;/full-title&gt;&lt;/periodical&gt;&lt;pages&gt;103476&lt;/pages&gt;&lt;volume&gt;84&lt;/volume&gt;&lt;keywords&gt;&lt;keyword&gt;Psychological resilience 1&lt;/keyword&gt;&lt;keyword&gt;Housing damage 2&lt;/keyword&gt;&lt;keyword&gt;Socioeconomic vulnerability 3&lt;/keyword&gt;&lt;keyword&gt;Disaster 4&lt;/keyword&gt;&lt;/keywords&gt;&lt;dates&gt;&lt;year&gt;2023&lt;/year&gt;&lt;pub-dates&gt;&lt;date&gt;2023/01/01/&lt;/date&gt;&lt;/pub-dates&gt;&lt;/dates&gt;&lt;isbn&gt;2212-4209&lt;/isbn&gt;&lt;urls&gt;&lt;related-urls&gt;&lt;url&gt;https://www.sciencedirect.com/science/article/pii/S2212420922006951&lt;/url&gt;&lt;/related-urls&gt;&lt;/urls&gt;&lt;electronic-resource-num&gt;https://doi.org/10.1016/j.ijdrr.2022.103476&lt;/electronic-resource-num&gt;&lt;/record&gt;&lt;/Cite&gt;&lt;/EndNote&gt;</w:instrText>
      </w:r>
      <w:r w:rsidRPr="00A41B4D">
        <w:rPr>
          <w:rFonts w:ascii="Times New Roman" w:eastAsia="Aptos" w:hAnsi="Times New Roman" w:cs="Times New Roman"/>
          <w:color w:val="000000" w:themeColor="text1"/>
          <w:sz w:val="24"/>
          <w:szCs w:val="24"/>
        </w:rPr>
        <w:fldChar w:fldCharType="separate"/>
      </w:r>
      <w:r w:rsidR="00335E3C" w:rsidRPr="00335E3C">
        <w:rPr>
          <w:rFonts w:ascii="Times New Roman" w:eastAsia="Aptos" w:hAnsi="Times New Roman" w:cs="Times New Roman"/>
          <w:noProof/>
          <w:color w:val="000000" w:themeColor="text1"/>
          <w:sz w:val="24"/>
          <w:szCs w:val="24"/>
          <w:vertAlign w:val="superscript"/>
        </w:rPr>
        <w:t>5,6</w:t>
      </w:r>
      <w:r w:rsidRPr="00A41B4D">
        <w:rPr>
          <w:rFonts w:ascii="Times New Roman" w:eastAsia="Aptos" w:hAnsi="Times New Roman" w:cs="Times New Roman"/>
          <w:color w:val="000000" w:themeColor="text1"/>
          <w:sz w:val="24"/>
          <w:szCs w:val="24"/>
        </w:rPr>
        <w:fldChar w:fldCharType="end"/>
      </w:r>
    </w:p>
    <w:p w14:paraId="2D49DC18"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p>
    <w:p w14:paraId="058D50C6" w14:textId="77777777" w:rsidR="00A41B4D" w:rsidRPr="00A41B4D" w:rsidRDefault="00A41B4D" w:rsidP="00A41B4D">
      <w:pPr>
        <w:spacing w:after="0" w:line="360" w:lineRule="auto"/>
        <w:rPr>
          <w:rFonts w:ascii="Times New Roman" w:eastAsia="Aptos" w:hAnsi="Times New Roman" w:cs="Times New Roman"/>
          <w:color w:val="000000" w:themeColor="text1"/>
          <w:sz w:val="24"/>
          <w:szCs w:val="24"/>
        </w:rPr>
      </w:pPr>
      <w:r w:rsidRPr="00A41B4D">
        <w:rPr>
          <w:rFonts w:ascii="Times New Roman" w:eastAsia="Aptos" w:hAnsi="Times New Roman" w:cs="Times New Roman"/>
          <w:color w:val="000000" w:themeColor="text1"/>
          <w:sz w:val="24"/>
          <w:szCs w:val="24"/>
        </w:rPr>
        <w:t>Access to resources (Electricity, food shop, transport): This class measures recovery from housing damage. It assesses the ability to maintain basic living conditions.</w:t>
      </w:r>
    </w:p>
    <w:p w14:paraId="19607D6B" w14:textId="77777777" w:rsidR="00A41B4D" w:rsidRPr="00A41B4D" w:rsidRDefault="00A41B4D" w:rsidP="00A41B4D">
      <w:pPr>
        <w:spacing w:after="0" w:line="360" w:lineRule="auto"/>
        <w:rPr>
          <w:rFonts w:ascii="Times New Roman" w:hAnsi="Times New Roman" w:cs="Times New Roman"/>
          <w:b/>
          <w:bCs/>
          <w:color w:val="000000" w:themeColor="text1"/>
          <w:sz w:val="24"/>
          <w:szCs w:val="24"/>
        </w:rPr>
      </w:pPr>
    </w:p>
    <w:p w14:paraId="25B84245"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b/>
          <w:bCs/>
          <w:color w:val="000000" w:themeColor="text1"/>
          <w:sz w:val="24"/>
          <w:szCs w:val="24"/>
        </w:rPr>
        <w:t xml:space="preserve">Health and food security vulnerability </w:t>
      </w:r>
    </w:p>
    <w:p w14:paraId="28D32716"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This method examines conflict, resource scarcity, and health impacts. It focuses on how food and healthcare disruptions worsen vulnerabilities.</w:t>
      </w:r>
    </w:p>
    <w:p w14:paraId="478F3E8C"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5D5F6C9B"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Conflict Exposure (Frequency of attacks, artillery, casualties): These variables correlate with reduced food and health access. This is due to infrastructure destruction and displacement.</w:t>
      </w:r>
    </w:p>
    <w:p w14:paraId="30D657CB"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29F2C649" w14:textId="691A290C"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lastRenderedPageBreak/>
        <w:t>Resource Scarcity (Not enough food, medicine, logs/fuel pellets): These variables indicate the availability of essential resources in crises. They are crucial for survival during emergencies.</w:t>
      </w:r>
      <w:r w:rsidRPr="00A41B4D">
        <w:rPr>
          <w:rFonts w:ascii="Times New Roman" w:hAnsi="Times New Roman" w:cs="Times New Roman"/>
          <w:color w:val="000000" w:themeColor="text1"/>
          <w:sz w:val="24"/>
          <w:szCs w:val="24"/>
        </w:rPr>
        <w:fldChar w:fldCharType="begin">
          <w:fldData xml:space="preserve">PEVuZE5vdGU+PENpdGU+PEF1dGhvcj5NYWg8L0F1dGhvcj48WWVhcj4yMDIzPC9ZZWFyPjxSZWNO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</w:fldData>
        </w:fldChar>
      </w:r>
      <w:r w:rsidR="00335E3C">
        <w:rPr>
          <w:rFonts w:ascii="Times New Roman" w:hAnsi="Times New Roman" w:cs="Times New Roman"/>
          <w:color w:val="000000" w:themeColor="text1"/>
          <w:sz w:val="24"/>
          <w:szCs w:val="24"/>
        </w:rPr>
        <w:instrText xml:space="preserve"> ADDIN EN.CITE </w:instrText>
      </w:r>
      <w:r w:rsidR="00335E3C">
        <w:rPr>
          <w:rFonts w:ascii="Times New Roman" w:hAnsi="Times New Roman" w:cs="Times New Roman"/>
          <w:color w:val="000000" w:themeColor="text1"/>
          <w:sz w:val="24"/>
          <w:szCs w:val="24"/>
        </w:rPr>
        <w:fldChar w:fldCharType="begin">
          <w:fldData xml:space="preserve">PEVuZE5vdGU+PENpdGU+PEF1dGhvcj5NYWg8L0F1dGhvcj48WWVhcj4yMDIzPC9ZZWFyPjxSZWNO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</w:fldData>
        </w:fldChar>
      </w:r>
      <w:r w:rsidR="00335E3C">
        <w:rPr>
          <w:rFonts w:ascii="Times New Roman" w:hAnsi="Times New Roman" w:cs="Times New Roman"/>
          <w:color w:val="000000" w:themeColor="text1"/>
          <w:sz w:val="24"/>
          <w:szCs w:val="24"/>
        </w:rPr>
        <w:instrText xml:space="preserve"> ADDIN EN.CITE.DATA </w:instrText>
      </w:r>
      <w:r w:rsidR="00335E3C">
        <w:rPr>
          <w:rFonts w:ascii="Times New Roman" w:hAnsi="Times New Roman" w:cs="Times New Roman"/>
          <w:color w:val="000000" w:themeColor="text1"/>
          <w:sz w:val="24"/>
          <w:szCs w:val="24"/>
        </w:rPr>
      </w:r>
      <w:r w:rsidR="00335E3C">
        <w:rPr>
          <w:rFonts w:ascii="Times New Roman" w:hAnsi="Times New Roman" w:cs="Times New Roman"/>
          <w:color w:val="000000" w:themeColor="text1"/>
          <w:sz w:val="24"/>
          <w:szCs w:val="24"/>
        </w:rPr>
        <w:fldChar w:fldCharType="end"/>
      </w:r>
      <w:r w:rsidRPr="00A41B4D">
        <w:rPr>
          <w:rFonts w:ascii="Times New Roman" w:hAnsi="Times New Roman" w:cs="Times New Roman"/>
          <w:color w:val="000000" w:themeColor="text1"/>
          <w:sz w:val="24"/>
          <w:szCs w:val="24"/>
        </w:rPr>
      </w:r>
      <w:r w:rsidRPr="00A41B4D">
        <w:rPr>
          <w:rFonts w:ascii="Times New Roman" w:hAnsi="Times New Roman" w:cs="Times New Roman"/>
          <w:color w:val="000000" w:themeColor="text1"/>
          <w:sz w:val="24"/>
          <w:szCs w:val="24"/>
        </w:rPr>
        <w:fldChar w:fldCharType="separate"/>
      </w:r>
      <w:r w:rsidR="00335E3C" w:rsidRPr="00335E3C">
        <w:rPr>
          <w:rFonts w:ascii="Times New Roman" w:hAnsi="Times New Roman" w:cs="Times New Roman"/>
          <w:noProof/>
          <w:color w:val="000000" w:themeColor="text1"/>
          <w:sz w:val="24"/>
          <w:szCs w:val="24"/>
          <w:vertAlign w:val="superscript"/>
        </w:rPr>
        <w:t>7</w:t>
      </w:r>
      <w:r w:rsidRPr="00A41B4D">
        <w:rPr>
          <w:rFonts w:ascii="Times New Roman" w:hAnsi="Times New Roman" w:cs="Times New Roman"/>
          <w:color w:val="000000" w:themeColor="text1"/>
          <w:sz w:val="24"/>
          <w:szCs w:val="24"/>
        </w:rPr>
        <w:fldChar w:fldCharType="end"/>
      </w:r>
    </w:p>
    <w:p w14:paraId="61ADB98E" w14:textId="77777777" w:rsidR="00A41B4D" w:rsidRPr="00A41B4D" w:rsidRDefault="00A41B4D" w:rsidP="00A41B4D">
      <w:pPr>
        <w:spacing w:after="0" w:line="360" w:lineRule="auto"/>
        <w:rPr>
          <w:rFonts w:ascii="Times New Roman" w:hAnsi="Times New Roman" w:cs="Times New Roman"/>
          <w:color w:val="000000" w:themeColor="text1"/>
          <w:sz w:val="24"/>
          <w:szCs w:val="24"/>
        </w:rPr>
      </w:pPr>
    </w:p>
    <w:p w14:paraId="60B47106" w14:textId="77777777" w:rsidR="00A41B4D" w:rsidRPr="00A41B4D" w:rsidRDefault="00A41B4D" w:rsidP="00A41B4D">
      <w:pPr>
        <w:spacing w:after="0" w:line="360" w:lineRule="auto"/>
        <w:rPr>
          <w:rFonts w:ascii="Times New Roman" w:hAnsi="Times New Roman" w:cs="Times New Roman"/>
          <w:color w:val="000000" w:themeColor="text1"/>
          <w:sz w:val="24"/>
          <w:szCs w:val="24"/>
        </w:rPr>
      </w:pPr>
      <w:r w:rsidRPr="00A41B4D">
        <w:rPr>
          <w:rFonts w:ascii="Times New Roman" w:hAnsi="Times New Roman" w:cs="Times New Roman"/>
          <w:color w:val="000000" w:themeColor="text1"/>
          <w:sz w:val="24"/>
          <w:szCs w:val="24"/>
        </w:rPr>
        <w:t>Housing Conditions (Ruined house, poor insulation): Assess housing conditions to evaluate health risks. Inadequate housing heightens exposure and worsens outcomes.</w:t>
      </w:r>
    </w:p>
    <w:p w14:paraId="0A7DA252" w14:textId="77777777" w:rsidR="00335E3C" w:rsidRDefault="00335E3C">
      <w:pPr>
        <w:rPr>
          <w:rFonts w:ascii="Times New Roman" w:hAnsi="Times New Roman" w:cs="Times New Roman"/>
          <w:color w:val="000000" w:themeColor="text1"/>
          <w:sz w:val="24"/>
          <w:szCs w:val="24"/>
        </w:rPr>
      </w:pPr>
    </w:p>
    <w:p w14:paraId="172E2E1F" w14:textId="77777777" w:rsidR="00952EC9" w:rsidRPr="00053D48" w:rsidRDefault="00952EC9" w:rsidP="00053D48">
      <w:pPr>
        <w:spacing w:after="0" w:line="360" w:lineRule="auto"/>
        <w:rPr>
          <w:rFonts w:ascii="Times New Roman" w:hAnsi="Times New Roman" w:cs="Times New Roman"/>
          <w:color w:val="000000" w:themeColor="text1"/>
          <w:sz w:val="24"/>
          <w:szCs w:val="24"/>
        </w:rPr>
      </w:pPr>
    </w:p>
    <w:p w14:paraId="05B78934" w14:textId="2C93168A" w:rsidR="00335E3C" w:rsidRPr="00053D48" w:rsidRDefault="00335E3C" w:rsidP="00053D48">
      <w:pPr>
        <w:spacing w:after="0" w:line="360" w:lineRule="auto"/>
        <w:rPr>
          <w:rFonts w:ascii="Times New Roman" w:hAnsi="Times New Roman" w:cs="Times New Roman"/>
          <w:b/>
          <w:bCs/>
          <w:color w:val="000000" w:themeColor="text1"/>
          <w:sz w:val="24"/>
          <w:szCs w:val="24"/>
        </w:rPr>
      </w:pPr>
      <w:r w:rsidRPr="00053D48">
        <w:rPr>
          <w:rFonts w:ascii="Times New Roman" w:hAnsi="Times New Roman" w:cs="Times New Roman"/>
          <w:b/>
          <w:bCs/>
          <w:color w:val="000000" w:themeColor="text1"/>
          <w:sz w:val="24"/>
          <w:szCs w:val="24"/>
        </w:rPr>
        <w:t>References</w:t>
      </w:r>
    </w:p>
    <w:p w14:paraId="28F94915" w14:textId="77777777"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color w:val="000000" w:themeColor="text1"/>
          <w:sz w:val="24"/>
          <w:szCs w:val="24"/>
        </w:rPr>
        <w:fldChar w:fldCharType="begin"/>
      </w:r>
      <w:r w:rsidRPr="00053D48">
        <w:rPr>
          <w:rFonts w:ascii="Times New Roman" w:hAnsi="Times New Roman" w:cs="Times New Roman"/>
          <w:color w:val="000000" w:themeColor="text1"/>
          <w:sz w:val="24"/>
          <w:szCs w:val="24"/>
        </w:rPr>
        <w:instrText xml:space="preserve"> ADDIN EN.REFLIST </w:instrText>
      </w:r>
      <w:r w:rsidRPr="00053D48">
        <w:rPr>
          <w:rFonts w:ascii="Times New Roman" w:hAnsi="Times New Roman" w:cs="Times New Roman"/>
          <w:color w:val="000000" w:themeColor="text1"/>
          <w:sz w:val="24"/>
          <w:szCs w:val="24"/>
        </w:rPr>
        <w:fldChar w:fldCharType="separate"/>
      </w:r>
      <w:r w:rsidRPr="00053D48">
        <w:rPr>
          <w:rFonts w:ascii="Times New Roman" w:hAnsi="Times New Roman" w:cs="Times New Roman"/>
          <w:sz w:val="24"/>
          <w:szCs w:val="24"/>
        </w:rPr>
        <w:t>1.</w:t>
      </w:r>
      <w:r w:rsidRPr="00053D48">
        <w:rPr>
          <w:rFonts w:ascii="Times New Roman" w:hAnsi="Times New Roman" w:cs="Times New Roman"/>
          <w:sz w:val="24"/>
          <w:szCs w:val="24"/>
        </w:rPr>
        <w:tab/>
        <w:t xml:space="preserve">Jiménez-Fernández E, Sánchez A, Ortega-Pérez M. Dealing with weighting scheme in composite indicators: An unsupervised distance-machine learning proposal for quantitative data. </w:t>
      </w:r>
      <w:r w:rsidRPr="00053D48">
        <w:rPr>
          <w:rFonts w:ascii="Times New Roman" w:hAnsi="Times New Roman" w:cs="Times New Roman"/>
          <w:i/>
          <w:sz w:val="24"/>
          <w:szCs w:val="24"/>
        </w:rPr>
        <w:t>Socio-Economic Planning Sciences</w:t>
      </w:r>
      <w:r w:rsidRPr="00053D48">
        <w:rPr>
          <w:rFonts w:ascii="Times New Roman" w:hAnsi="Times New Roman" w:cs="Times New Roman"/>
          <w:sz w:val="24"/>
          <w:szCs w:val="24"/>
        </w:rPr>
        <w:t xml:space="preserve"> 2022; </w:t>
      </w:r>
      <w:r w:rsidRPr="00053D48">
        <w:rPr>
          <w:rFonts w:ascii="Times New Roman" w:hAnsi="Times New Roman" w:cs="Times New Roman"/>
          <w:b/>
          <w:sz w:val="24"/>
          <w:szCs w:val="24"/>
        </w:rPr>
        <w:t>83</w:t>
      </w:r>
      <w:r w:rsidRPr="00053D48">
        <w:rPr>
          <w:rFonts w:ascii="Times New Roman" w:hAnsi="Times New Roman" w:cs="Times New Roman"/>
          <w:sz w:val="24"/>
          <w:szCs w:val="24"/>
        </w:rPr>
        <w:t>: 101339.</w:t>
      </w:r>
    </w:p>
    <w:p w14:paraId="037B420C" w14:textId="65AA975D"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2.</w:t>
      </w:r>
      <w:r w:rsidRPr="00053D48">
        <w:rPr>
          <w:rFonts w:ascii="Times New Roman" w:hAnsi="Times New Roman" w:cs="Times New Roman"/>
          <w:sz w:val="24"/>
          <w:szCs w:val="24"/>
        </w:rPr>
        <w:tab/>
        <w:t>Xie, W., Li, J., Zong, K., Seco, L. Machine Learning Techniques for Multifactor Analysis of National Carbon Dioxide Emissions. Available at [</w:t>
      </w:r>
      <w:hyperlink r:id="rId4" w:history="1">
        <w:r w:rsidRPr="00053D48">
          <w:rPr>
            <w:rStyle w:val="Hyperlink"/>
            <w:rFonts w:ascii="Times New Roman" w:hAnsi="Times New Roman" w:cs="Times New Roman"/>
            <w:sz w:val="24"/>
            <w:szCs w:val="24"/>
          </w:rPr>
          <w:t>https://arxiv.org/html/2503.15574v1</w:t>
        </w:r>
      </w:hyperlink>
      <w:r w:rsidRPr="00053D48">
        <w:rPr>
          <w:rFonts w:ascii="Times New Roman" w:hAnsi="Times New Roman" w:cs="Times New Roman"/>
          <w:sz w:val="24"/>
          <w:szCs w:val="24"/>
        </w:rPr>
        <w:t>].</w:t>
      </w:r>
    </w:p>
    <w:p w14:paraId="46039F03" w14:textId="77777777"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3.</w:t>
      </w:r>
      <w:r w:rsidRPr="00053D48">
        <w:rPr>
          <w:rFonts w:ascii="Times New Roman" w:hAnsi="Times New Roman" w:cs="Times New Roman"/>
          <w:sz w:val="24"/>
          <w:szCs w:val="24"/>
        </w:rPr>
        <w:tab/>
        <w:t xml:space="preserve">Rabiei-Dastjerdi H, Brereton F, O’Neill E. Towards designing a comprehensive composite index for social vulnerability to natural hazards in the big data era: potential challenges and partial solutions. </w:t>
      </w:r>
      <w:r w:rsidRPr="00053D48">
        <w:rPr>
          <w:rFonts w:ascii="Times New Roman" w:hAnsi="Times New Roman" w:cs="Times New Roman"/>
          <w:i/>
          <w:sz w:val="24"/>
          <w:szCs w:val="24"/>
        </w:rPr>
        <w:t>Natural Hazards</w:t>
      </w:r>
      <w:r w:rsidRPr="00053D48">
        <w:rPr>
          <w:rFonts w:ascii="Times New Roman" w:hAnsi="Times New Roman" w:cs="Times New Roman"/>
          <w:sz w:val="24"/>
          <w:szCs w:val="24"/>
        </w:rPr>
        <w:t xml:space="preserve"> 2024.</w:t>
      </w:r>
    </w:p>
    <w:p w14:paraId="301D3CE6" w14:textId="77777777"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4.</w:t>
      </w:r>
      <w:r w:rsidRPr="00053D48">
        <w:rPr>
          <w:rFonts w:ascii="Times New Roman" w:hAnsi="Times New Roman" w:cs="Times New Roman"/>
          <w:sz w:val="24"/>
          <w:szCs w:val="24"/>
        </w:rPr>
        <w:tab/>
        <w:t>Wang, Peijin. “Development of Composite Index in Clinical Research.” J Biom Biosta 14 (2023): 155.</w:t>
      </w:r>
    </w:p>
    <w:p w14:paraId="2798B11C" w14:textId="646B6E15"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5.</w:t>
      </w:r>
      <w:r w:rsidRPr="00053D48">
        <w:rPr>
          <w:rFonts w:ascii="Times New Roman" w:hAnsi="Times New Roman" w:cs="Times New Roman"/>
          <w:sz w:val="24"/>
          <w:szCs w:val="24"/>
        </w:rPr>
        <w:tab/>
        <w:t>UNDP, MODULE 8.2: VULNERABILITY INDICES. Available at [</w:t>
      </w:r>
      <w:hyperlink r:id="rId5" w:history="1">
        <w:r w:rsidRPr="00053D48">
          <w:rPr>
            <w:rStyle w:val="Hyperlink"/>
            <w:rFonts w:ascii="Times New Roman" w:hAnsi="Times New Roman" w:cs="Times New Roman"/>
            <w:sz w:val="24"/>
            <w:szCs w:val="24"/>
          </w:rPr>
          <w:t>https://www.adaptation-undp.org/sites/default/files/uploaded-images/module_8.2_vulnerability_index_online_0.pdf</w:t>
        </w:r>
      </w:hyperlink>
      <w:r w:rsidRPr="00053D48">
        <w:rPr>
          <w:rFonts w:ascii="Times New Roman" w:hAnsi="Times New Roman" w:cs="Times New Roman"/>
          <w:sz w:val="24"/>
          <w:szCs w:val="24"/>
        </w:rPr>
        <w:t>].</w:t>
      </w:r>
    </w:p>
    <w:p w14:paraId="7A227C49" w14:textId="77777777"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6.</w:t>
      </w:r>
      <w:r w:rsidRPr="00053D48">
        <w:rPr>
          <w:rFonts w:ascii="Times New Roman" w:hAnsi="Times New Roman" w:cs="Times New Roman"/>
          <w:sz w:val="24"/>
          <w:szCs w:val="24"/>
        </w:rPr>
        <w:tab/>
        <w:t xml:space="preserve">Ballesteros LMS, Poleacovschi C, Weems CF, Zambrana IG, Talbot J. Evaluating the interaction effects of housing vulnerability and socioeconomic vulnerability on self-perceptions of psychological resilience in Puerto Rico. </w:t>
      </w:r>
      <w:r w:rsidRPr="00053D48">
        <w:rPr>
          <w:rFonts w:ascii="Times New Roman" w:hAnsi="Times New Roman" w:cs="Times New Roman"/>
          <w:i/>
          <w:sz w:val="24"/>
          <w:szCs w:val="24"/>
        </w:rPr>
        <w:t>International Journal of Disaster Risk Reduction</w:t>
      </w:r>
      <w:r w:rsidRPr="00053D48">
        <w:rPr>
          <w:rFonts w:ascii="Times New Roman" w:hAnsi="Times New Roman" w:cs="Times New Roman"/>
          <w:sz w:val="24"/>
          <w:szCs w:val="24"/>
        </w:rPr>
        <w:t xml:space="preserve"> 2023; </w:t>
      </w:r>
      <w:r w:rsidRPr="00053D48">
        <w:rPr>
          <w:rFonts w:ascii="Times New Roman" w:hAnsi="Times New Roman" w:cs="Times New Roman"/>
          <w:b/>
          <w:sz w:val="24"/>
          <w:szCs w:val="24"/>
        </w:rPr>
        <w:t>84</w:t>
      </w:r>
      <w:r w:rsidRPr="00053D48">
        <w:rPr>
          <w:rFonts w:ascii="Times New Roman" w:hAnsi="Times New Roman" w:cs="Times New Roman"/>
          <w:sz w:val="24"/>
          <w:szCs w:val="24"/>
        </w:rPr>
        <w:t>: 103476.</w:t>
      </w:r>
    </w:p>
    <w:p w14:paraId="2E306359" w14:textId="77777777" w:rsidR="00335E3C" w:rsidRPr="00053D48" w:rsidRDefault="00335E3C" w:rsidP="00053D48">
      <w:pPr>
        <w:pStyle w:val="EndNoteBibliography"/>
        <w:spacing w:after="0" w:line="360" w:lineRule="auto"/>
        <w:rPr>
          <w:rFonts w:ascii="Times New Roman" w:hAnsi="Times New Roman" w:cs="Times New Roman"/>
          <w:sz w:val="24"/>
          <w:szCs w:val="24"/>
        </w:rPr>
      </w:pPr>
      <w:r w:rsidRPr="00053D48">
        <w:rPr>
          <w:rFonts w:ascii="Times New Roman" w:hAnsi="Times New Roman" w:cs="Times New Roman"/>
          <w:sz w:val="24"/>
          <w:szCs w:val="24"/>
        </w:rPr>
        <w:t>7.</w:t>
      </w:r>
      <w:r w:rsidRPr="00053D48">
        <w:rPr>
          <w:rFonts w:ascii="Times New Roman" w:hAnsi="Times New Roman" w:cs="Times New Roman"/>
          <w:sz w:val="24"/>
          <w:szCs w:val="24"/>
        </w:rPr>
        <w:tab/>
        <w:t xml:space="preserve">Mah JC, Penwarden JL, Pott H, Theou O, Andrew MK. Social vulnerability indices: a scoping review. </w:t>
      </w:r>
      <w:r w:rsidRPr="00053D48">
        <w:rPr>
          <w:rFonts w:ascii="Times New Roman" w:hAnsi="Times New Roman" w:cs="Times New Roman"/>
          <w:i/>
          <w:sz w:val="24"/>
          <w:szCs w:val="24"/>
        </w:rPr>
        <w:t>BMC Public Health</w:t>
      </w:r>
      <w:r w:rsidRPr="00053D48">
        <w:rPr>
          <w:rFonts w:ascii="Times New Roman" w:hAnsi="Times New Roman" w:cs="Times New Roman"/>
          <w:sz w:val="24"/>
          <w:szCs w:val="24"/>
        </w:rPr>
        <w:t xml:space="preserve"> 2023; </w:t>
      </w:r>
      <w:r w:rsidRPr="00053D48">
        <w:rPr>
          <w:rFonts w:ascii="Times New Roman" w:hAnsi="Times New Roman" w:cs="Times New Roman"/>
          <w:b/>
          <w:sz w:val="24"/>
          <w:szCs w:val="24"/>
        </w:rPr>
        <w:t>23</w:t>
      </w:r>
      <w:r w:rsidRPr="00053D48">
        <w:rPr>
          <w:rFonts w:ascii="Times New Roman" w:hAnsi="Times New Roman" w:cs="Times New Roman"/>
          <w:sz w:val="24"/>
          <w:szCs w:val="24"/>
        </w:rPr>
        <w:t>(1): 1253.</w:t>
      </w:r>
    </w:p>
    <w:p w14:paraId="6D9F6C44" w14:textId="5FE34DE6" w:rsidR="002C38AD" w:rsidRPr="00822378" w:rsidRDefault="00335E3C" w:rsidP="00053D48">
      <w:pPr>
        <w:spacing w:after="0" w:line="360" w:lineRule="auto"/>
        <w:rPr>
          <w:rFonts w:ascii="Times New Roman" w:hAnsi="Times New Roman" w:cs="Times New Roman"/>
          <w:color w:val="000000" w:themeColor="text1"/>
          <w:sz w:val="24"/>
          <w:szCs w:val="24"/>
        </w:rPr>
      </w:pPr>
      <w:r w:rsidRPr="00053D48">
        <w:rPr>
          <w:rFonts w:ascii="Times New Roman" w:hAnsi="Times New Roman" w:cs="Times New Roman"/>
          <w:color w:val="000000" w:themeColor="text1"/>
          <w:sz w:val="24"/>
          <w:szCs w:val="24"/>
        </w:rPr>
        <w:fldChar w:fldCharType="end"/>
      </w:r>
    </w:p>
    <w:sectPr w:rsidR="002C38AD" w:rsidRPr="008223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dwwedwvwf2xlez997v5xv1ppzwvfrdrrxx&quot;&gt;My EndNote Library&lt;record-ids&gt;&lt;item&gt;512&lt;/item&gt;&lt;item&gt;513&lt;/item&gt;&lt;item&gt;516&lt;/item&gt;&lt;item&gt;517&lt;/item&gt;&lt;item&gt;518&lt;/item&gt;&lt;item&gt;520&lt;/item&gt;&lt;/record-ids&gt;&lt;/item&gt;&lt;/Libraries&gt;"/>
  </w:docVars>
  <w:rsids>
    <w:rsidRoot w:val="00A41B4D"/>
    <w:rsid w:val="00014E12"/>
    <w:rsid w:val="00053D48"/>
    <w:rsid w:val="002007C4"/>
    <w:rsid w:val="00231042"/>
    <w:rsid w:val="002C38AD"/>
    <w:rsid w:val="00315C3B"/>
    <w:rsid w:val="00335E3C"/>
    <w:rsid w:val="003C682A"/>
    <w:rsid w:val="00562C04"/>
    <w:rsid w:val="006F3C37"/>
    <w:rsid w:val="007A3CC0"/>
    <w:rsid w:val="00813204"/>
    <w:rsid w:val="00822378"/>
    <w:rsid w:val="008402EA"/>
    <w:rsid w:val="00842C4A"/>
    <w:rsid w:val="00952EC9"/>
    <w:rsid w:val="009E49CB"/>
    <w:rsid w:val="00A41B4D"/>
    <w:rsid w:val="00A70E99"/>
    <w:rsid w:val="00A752BA"/>
    <w:rsid w:val="00B8395A"/>
    <w:rsid w:val="00BC039C"/>
    <w:rsid w:val="00BD60AA"/>
    <w:rsid w:val="00CB5980"/>
    <w:rsid w:val="00D75A94"/>
    <w:rsid w:val="00EB1F84"/>
    <w:rsid w:val="00F734A0"/>
    <w:rsid w:val="00FF1334"/>
    <w:rsid w:val="00FF7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EE199"/>
  <w15:chartTrackingRefBased/>
  <w15:docId w15:val="{15F53996-5DEE-4E98-AB97-2D4E7AE07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B4D"/>
    <w:pPr>
      <w:spacing w:line="259" w:lineRule="auto"/>
    </w:pPr>
    <w:rPr>
      <w:rFonts w:eastAsiaTheme="minorEastAsia"/>
      <w:sz w:val="22"/>
      <w:szCs w:val="22"/>
    </w:rPr>
  </w:style>
  <w:style w:type="paragraph" w:styleId="Heading1">
    <w:name w:val="heading 1"/>
    <w:basedOn w:val="Normal"/>
    <w:next w:val="Normal"/>
    <w:link w:val="Heading1Char"/>
    <w:uiPriority w:val="9"/>
    <w:qFormat/>
    <w:rsid w:val="00A41B4D"/>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41B4D"/>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41B4D"/>
    <w:pPr>
      <w:keepNext/>
      <w:keepLines/>
      <w:spacing w:before="160" w:after="80" w:line="278"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41B4D"/>
    <w:pPr>
      <w:keepNext/>
      <w:keepLines/>
      <w:spacing w:before="80" w:after="40" w:line="278" w:lineRule="auto"/>
      <w:outlineLvl w:val="3"/>
    </w:pPr>
    <w:rPr>
      <w:rFonts w:eastAsiaTheme="majorEastAsia" w:cstheme="majorBidi"/>
      <w:i/>
      <w:iCs/>
      <w:color w:val="2F5496" w:themeColor="accent1" w:themeShade="BF"/>
      <w:sz w:val="24"/>
      <w:szCs w:val="24"/>
    </w:rPr>
  </w:style>
  <w:style w:type="paragraph" w:styleId="Heading5">
    <w:name w:val="heading 5"/>
    <w:basedOn w:val="Normal"/>
    <w:next w:val="Normal"/>
    <w:link w:val="Heading5Char"/>
    <w:uiPriority w:val="9"/>
    <w:semiHidden/>
    <w:unhideWhenUsed/>
    <w:qFormat/>
    <w:rsid w:val="00A41B4D"/>
    <w:pPr>
      <w:keepNext/>
      <w:keepLines/>
      <w:spacing w:before="80" w:after="40" w:line="278" w:lineRule="auto"/>
      <w:outlineLvl w:val="4"/>
    </w:pPr>
    <w:rPr>
      <w:rFonts w:eastAsiaTheme="majorEastAsia"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A41B4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41B4D"/>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41B4D"/>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41B4D"/>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1B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41B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41B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41B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41B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41B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1B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1B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1B4D"/>
    <w:rPr>
      <w:rFonts w:eastAsiaTheme="majorEastAsia" w:cstheme="majorBidi"/>
      <w:color w:val="272727" w:themeColor="text1" w:themeTint="D8"/>
    </w:rPr>
  </w:style>
  <w:style w:type="paragraph" w:styleId="Title">
    <w:name w:val="Title"/>
    <w:basedOn w:val="Normal"/>
    <w:next w:val="Normal"/>
    <w:link w:val="TitleChar"/>
    <w:uiPriority w:val="10"/>
    <w:qFormat/>
    <w:rsid w:val="00A41B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1B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1B4D"/>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1B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1B4D"/>
    <w:pPr>
      <w:spacing w:before="160" w:line="278" w:lineRule="auto"/>
      <w:jc w:val="center"/>
    </w:pPr>
    <w:rPr>
      <w:rFonts w:eastAsiaTheme="minorHAnsi"/>
      <w:i/>
      <w:iCs/>
      <w:color w:val="404040" w:themeColor="text1" w:themeTint="BF"/>
      <w:sz w:val="24"/>
      <w:szCs w:val="24"/>
    </w:rPr>
  </w:style>
  <w:style w:type="character" w:customStyle="1" w:styleId="QuoteChar">
    <w:name w:val="Quote Char"/>
    <w:basedOn w:val="DefaultParagraphFont"/>
    <w:link w:val="Quote"/>
    <w:uiPriority w:val="29"/>
    <w:rsid w:val="00A41B4D"/>
    <w:rPr>
      <w:i/>
      <w:iCs/>
      <w:color w:val="404040" w:themeColor="text1" w:themeTint="BF"/>
    </w:rPr>
  </w:style>
  <w:style w:type="paragraph" w:styleId="ListParagraph">
    <w:name w:val="List Paragraph"/>
    <w:basedOn w:val="Normal"/>
    <w:uiPriority w:val="34"/>
    <w:qFormat/>
    <w:rsid w:val="00A41B4D"/>
    <w:pPr>
      <w:spacing w:line="278" w:lineRule="auto"/>
      <w:ind w:left="720"/>
      <w:contextualSpacing/>
    </w:pPr>
    <w:rPr>
      <w:rFonts w:eastAsiaTheme="minorHAnsi"/>
      <w:sz w:val="24"/>
      <w:szCs w:val="24"/>
    </w:rPr>
  </w:style>
  <w:style w:type="character" w:styleId="IntenseEmphasis">
    <w:name w:val="Intense Emphasis"/>
    <w:basedOn w:val="DefaultParagraphFont"/>
    <w:uiPriority w:val="21"/>
    <w:qFormat/>
    <w:rsid w:val="00A41B4D"/>
    <w:rPr>
      <w:i/>
      <w:iCs/>
      <w:color w:val="2F5496" w:themeColor="accent1" w:themeShade="BF"/>
    </w:rPr>
  </w:style>
  <w:style w:type="paragraph" w:styleId="IntenseQuote">
    <w:name w:val="Intense Quote"/>
    <w:basedOn w:val="Normal"/>
    <w:next w:val="Normal"/>
    <w:link w:val="IntenseQuoteChar"/>
    <w:uiPriority w:val="30"/>
    <w:qFormat/>
    <w:rsid w:val="00A41B4D"/>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sz w:val="24"/>
      <w:szCs w:val="24"/>
    </w:rPr>
  </w:style>
  <w:style w:type="character" w:customStyle="1" w:styleId="IntenseQuoteChar">
    <w:name w:val="Intense Quote Char"/>
    <w:basedOn w:val="DefaultParagraphFont"/>
    <w:link w:val="IntenseQuote"/>
    <w:uiPriority w:val="30"/>
    <w:rsid w:val="00A41B4D"/>
    <w:rPr>
      <w:i/>
      <w:iCs/>
      <w:color w:val="2F5496" w:themeColor="accent1" w:themeShade="BF"/>
    </w:rPr>
  </w:style>
  <w:style w:type="character" w:styleId="IntenseReference">
    <w:name w:val="Intense Reference"/>
    <w:basedOn w:val="DefaultParagraphFont"/>
    <w:uiPriority w:val="32"/>
    <w:qFormat/>
    <w:rsid w:val="00A41B4D"/>
    <w:rPr>
      <w:b/>
      <w:bCs/>
      <w:smallCaps/>
      <w:color w:val="2F5496" w:themeColor="accent1" w:themeShade="BF"/>
      <w:spacing w:val="5"/>
    </w:rPr>
  </w:style>
  <w:style w:type="character" w:styleId="CommentReference">
    <w:name w:val="annotation reference"/>
    <w:basedOn w:val="DefaultParagraphFont"/>
    <w:uiPriority w:val="99"/>
    <w:semiHidden/>
    <w:unhideWhenUsed/>
    <w:rsid w:val="00A41B4D"/>
    <w:rPr>
      <w:sz w:val="16"/>
      <w:szCs w:val="16"/>
    </w:rPr>
  </w:style>
  <w:style w:type="paragraph" w:styleId="CommentText">
    <w:name w:val="annotation text"/>
    <w:basedOn w:val="Normal"/>
    <w:link w:val="CommentTextChar"/>
    <w:uiPriority w:val="99"/>
    <w:unhideWhenUsed/>
    <w:rsid w:val="00A41B4D"/>
    <w:pPr>
      <w:spacing w:line="240" w:lineRule="auto"/>
    </w:pPr>
    <w:rPr>
      <w:sz w:val="20"/>
      <w:szCs w:val="20"/>
    </w:rPr>
  </w:style>
  <w:style w:type="character" w:customStyle="1" w:styleId="CommentTextChar">
    <w:name w:val="Comment Text Char"/>
    <w:basedOn w:val="DefaultParagraphFont"/>
    <w:link w:val="CommentText"/>
    <w:uiPriority w:val="99"/>
    <w:rsid w:val="00A41B4D"/>
    <w:rPr>
      <w:rFonts w:eastAsiaTheme="minorEastAsia"/>
      <w:sz w:val="20"/>
      <w:szCs w:val="20"/>
    </w:rPr>
  </w:style>
  <w:style w:type="paragraph" w:customStyle="1" w:styleId="EndNoteBibliographyTitle">
    <w:name w:val="EndNote Bibliography Title"/>
    <w:basedOn w:val="Normal"/>
    <w:link w:val="EndNoteBibliographyTitleChar"/>
    <w:rsid w:val="00335E3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35E3C"/>
    <w:rPr>
      <w:rFonts w:ascii="Calibri" w:eastAsiaTheme="minorEastAsia" w:hAnsi="Calibri" w:cs="Calibri"/>
      <w:noProof/>
      <w:sz w:val="22"/>
      <w:szCs w:val="22"/>
    </w:rPr>
  </w:style>
  <w:style w:type="paragraph" w:customStyle="1" w:styleId="EndNoteBibliography">
    <w:name w:val="EndNote Bibliography"/>
    <w:basedOn w:val="Normal"/>
    <w:link w:val="EndNoteBibliographyChar"/>
    <w:rsid w:val="00335E3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35E3C"/>
    <w:rPr>
      <w:rFonts w:ascii="Calibri" w:eastAsiaTheme="minorEastAsia" w:hAnsi="Calibri" w:cs="Calibri"/>
      <w:noProof/>
      <w:sz w:val="22"/>
      <w:szCs w:val="22"/>
    </w:rPr>
  </w:style>
  <w:style w:type="character" w:styleId="Hyperlink">
    <w:name w:val="Hyperlink"/>
    <w:basedOn w:val="DefaultParagraphFont"/>
    <w:uiPriority w:val="99"/>
    <w:unhideWhenUsed/>
    <w:rsid w:val="00335E3C"/>
    <w:rPr>
      <w:color w:val="0563C1" w:themeColor="hyperlink"/>
      <w:u w:val="single"/>
    </w:rPr>
  </w:style>
  <w:style w:type="character" w:styleId="UnresolvedMention">
    <w:name w:val="Unresolved Mention"/>
    <w:basedOn w:val="DefaultParagraphFont"/>
    <w:uiPriority w:val="99"/>
    <w:semiHidden/>
    <w:unhideWhenUsed/>
    <w:rsid w:val="00335E3C"/>
    <w:rPr>
      <w:color w:val="605E5C"/>
      <w:shd w:val="clear" w:color="auto" w:fill="E1DFDD"/>
    </w:rPr>
  </w:style>
  <w:style w:type="paragraph" w:styleId="Revision">
    <w:name w:val="Revision"/>
    <w:hidden/>
    <w:uiPriority w:val="99"/>
    <w:semiHidden/>
    <w:rsid w:val="00014E12"/>
    <w:pPr>
      <w:spacing w:after="0" w:line="240" w:lineRule="auto"/>
    </w:pPr>
    <w:rPr>
      <w:rFonts w:eastAsiaTheme="minorEastAsia"/>
      <w:sz w:val="22"/>
      <w:szCs w:val="22"/>
    </w:rPr>
  </w:style>
  <w:style w:type="paragraph" w:styleId="CommentSubject">
    <w:name w:val="annotation subject"/>
    <w:basedOn w:val="CommentText"/>
    <w:next w:val="CommentText"/>
    <w:link w:val="CommentSubjectChar"/>
    <w:uiPriority w:val="99"/>
    <w:semiHidden/>
    <w:unhideWhenUsed/>
    <w:rsid w:val="00BC039C"/>
    <w:rPr>
      <w:b/>
      <w:bCs/>
    </w:rPr>
  </w:style>
  <w:style w:type="character" w:customStyle="1" w:styleId="CommentSubjectChar">
    <w:name w:val="Comment Subject Char"/>
    <w:basedOn w:val="CommentTextChar"/>
    <w:link w:val="CommentSubject"/>
    <w:uiPriority w:val="99"/>
    <w:semiHidden/>
    <w:rsid w:val="00BC039C"/>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370571">
      <w:bodyDiv w:val="1"/>
      <w:marLeft w:val="0"/>
      <w:marRight w:val="0"/>
      <w:marTop w:val="0"/>
      <w:marBottom w:val="0"/>
      <w:divBdr>
        <w:top w:val="none" w:sz="0" w:space="0" w:color="auto"/>
        <w:left w:val="none" w:sz="0" w:space="0" w:color="auto"/>
        <w:bottom w:val="none" w:sz="0" w:space="0" w:color="auto"/>
        <w:right w:val="none" w:sz="0" w:space="0" w:color="auto"/>
      </w:divBdr>
    </w:div>
    <w:div w:id="2129280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daptation-undp.org/sites/default/files/uploaded-images/module_8.2_vulnerability_index_online_0.pdf" TargetMode="External"/><Relationship Id="rId4" Type="http://schemas.openxmlformats.org/officeDocument/2006/relationships/hyperlink" Target="https://arxiv.org/html/2503.15574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1728</Words>
  <Characters>11804</Characters>
  <Application>Microsoft Office Word</Application>
  <DocSecurity>0</DocSecurity>
  <Lines>214</Lines>
  <Paragraphs>76</Paragraphs>
  <ScaleCrop>false</ScaleCrop>
  <Company/>
  <LinksUpToDate>false</LinksUpToDate>
  <CharactersWithSpaces>13456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Ubydul Haque</dc:creator>
  <cp:keywords/>
  <dc:description/>
  <cp:lastModifiedBy>Ubydul Haque</cp:lastModifiedBy>
  <cp:revision>20</cp:revision>
  <dcterms:created xsi:type="dcterms:W3CDTF">2025-05-08T19:17:00Z</dcterms:created>
  <dcterms:modified xsi:type="dcterms:W3CDTF">2025-05-17T18:34:00Z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d5c7249f-747c-498a-b933-518bd7369440</vt:lpwstr>
  </property>
</Properties>
</file>