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D861" w14:textId="455C8B11" w:rsidR="000008B2" w:rsidRDefault="00000000">
      <w:pPr>
        <w:widowControl/>
        <w:rPr>
          <w:rFonts w:ascii="Times New Roman" w:eastAsia="宋体" w:hAnsi="Times New Roman" w:cs="Times New Roman"/>
          <w:b/>
          <w:bCs/>
          <w:sz w:val="24"/>
          <w:szCs w:val="28"/>
          <w:lang w:bidi="ar"/>
        </w:rPr>
      </w:pPr>
      <w:r>
        <w:rPr>
          <w:rFonts w:ascii="Times New Roman" w:eastAsia="宋体" w:hAnsi="Times New Roman" w:cs="Times New Roman" w:hint="eastAsia"/>
          <w:b/>
          <w:bCs/>
          <w:sz w:val="24"/>
          <w:szCs w:val="28"/>
          <w:lang w:bidi="ar"/>
        </w:rPr>
        <w:t>H</w:t>
      </w:r>
      <w:r>
        <w:rPr>
          <w:rFonts w:ascii="Times New Roman" w:eastAsia="宋体" w:hAnsi="Times New Roman" w:cs="Times New Roman"/>
          <w:b/>
          <w:bCs/>
          <w:sz w:val="24"/>
          <w:szCs w:val="28"/>
          <w:lang w:bidi="ar"/>
        </w:rPr>
        <w:t>ighlight</w:t>
      </w:r>
      <w:r w:rsidR="001C1E82">
        <w:rPr>
          <w:rFonts w:ascii="Times New Roman" w:eastAsia="宋体" w:hAnsi="Times New Roman" w:cs="Times New Roman" w:hint="eastAsia"/>
          <w:b/>
          <w:bCs/>
          <w:sz w:val="24"/>
          <w:szCs w:val="28"/>
          <w:lang w:bidi="ar"/>
        </w:rPr>
        <w:t>s</w:t>
      </w:r>
      <w:r>
        <w:rPr>
          <w:rFonts w:ascii="Times New Roman" w:eastAsia="宋体" w:hAnsi="Times New Roman" w:cs="Times New Roman" w:hint="eastAsia"/>
          <w:b/>
          <w:bCs/>
          <w:sz w:val="24"/>
          <w:szCs w:val="28"/>
          <w:lang w:bidi="ar"/>
        </w:rPr>
        <w:t>：</w:t>
      </w:r>
    </w:p>
    <w:p w14:paraId="1821EA69" w14:textId="6340C844" w:rsidR="000008B2" w:rsidRDefault="00000000">
      <w:pPr>
        <w:widowControl/>
        <w:numPr>
          <w:ilvl w:val="0"/>
          <w:numId w:val="1"/>
        </w:numPr>
        <w:adjustRightInd w:val="0"/>
        <w:snapToGrid w:val="0"/>
        <w:spacing w:beforeLines="40" w:before="124" w:afterLines="40" w:after="124" w:line="360" w:lineRule="auto"/>
        <w:textAlignment w:val="center"/>
        <w:rPr>
          <w:rFonts w:ascii="Times New Roman" w:eastAsia="宋体" w:hAnsi="Times New Roman" w:cs="Times New Roman"/>
          <w:kern w:val="0"/>
          <w:sz w:val="24"/>
        </w:rPr>
      </w:pPr>
      <w:r>
        <w:rPr>
          <w:rFonts w:ascii="Times New Roman" w:eastAsia="宋体" w:hAnsi="Times New Roman" w:cs="Times New Roman" w:hint="eastAsia"/>
          <w:kern w:val="0"/>
          <w:sz w:val="24"/>
        </w:rPr>
        <w:t xml:space="preserve">Introduces </w:t>
      </w:r>
      <w:r w:rsidR="001C1E82">
        <w:rPr>
          <w:rFonts w:ascii="Times New Roman" w:eastAsia="宋体" w:hAnsi="Times New Roman" w:cs="Times New Roman" w:hint="eastAsia"/>
          <w:kern w:val="0"/>
          <w:sz w:val="24"/>
        </w:rPr>
        <w:t xml:space="preserve">two </w:t>
      </w:r>
      <w:r w:rsidR="001C1E82">
        <w:rPr>
          <w:rFonts w:ascii="Times New Roman" w:eastAsia="宋体" w:hAnsi="Times New Roman" w:cs="Times New Roman"/>
          <w:kern w:val="0"/>
          <w:sz w:val="24"/>
        </w:rPr>
        <w:t>thermal</w:t>
      </w:r>
      <w:r>
        <w:rPr>
          <w:rFonts w:ascii="Times New Roman" w:eastAsia="宋体" w:hAnsi="Times New Roman" w:cs="Times New Roman" w:hint="eastAsia"/>
          <w:kern w:val="0"/>
          <w:sz w:val="24"/>
        </w:rPr>
        <w:t xml:space="preserve"> </w:t>
      </w:r>
      <w:r w:rsidR="001C1E82">
        <w:rPr>
          <w:rFonts w:ascii="Times New Roman" w:eastAsia="宋体" w:hAnsi="Times New Roman" w:cs="Times New Roman" w:hint="eastAsia"/>
          <w:kern w:val="0"/>
          <w:sz w:val="24"/>
        </w:rPr>
        <w:t xml:space="preserve">environment </w:t>
      </w:r>
      <w:r>
        <w:rPr>
          <w:rFonts w:ascii="Times New Roman" w:eastAsia="宋体" w:hAnsi="Times New Roman" w:cs="Times New Roman" w:hint="eastAsia"/>
          <w:kern w:val="0"/>
          <w:sz w:val="24"/>
        </w:rPr>
        <w:t xml:space="preserve">resilience </w:t>
      </w:r>
      <w:r w:rsidR="001C1E82">
        <w:rPr>
          <w:rFonts w:ascii="Times New Roman" w:eastAsia="宋体" w:hAnsi="Times New Roman" w:cs="Times New Roman"/>
          <w:kern w:val="0"/>
          <w:sz w:val="24"/>
        </w:rPr>
        <w:t>metrics (</w:t>
      </w:r>
      <w:r>
        <w:rPr>
          <w:rFonts w:ascii="Times New Roman" w:eastAsia="宋体" w:hAnsi="Times New Roman" w:cs="Times New Roman" w:hint="eastAsia"/>
          <w:kern w:val="0"/>
          <w:sz w:val="24"/>
        </w:rPr>
        <w:t>Stability</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 xml:space="preserve"> and </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Resistanc</w:t>
      </w:r>
      <w:r w:rsidR="001C1E82">
        <w:rPr>
          <w:rFonts w:ascii="Times New Roman" w:eastAsia="宋体" w:hAnsi="Times New Roman" w:cs="Times New Roman" w:hint="eastAsia"/>
          <w:kern w:val="0"/>
          <w:sz w:val="24"/>
        </w:rPr>
        <w:t>e</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 and an integrated GWRF-SHAP framework to assess heatwave risk and its non-stationary drivers.</w:t>
      </w:r>
    </w:p>
    <w:p w14:paraId="363EA964" w14:textId="04D39DE2" w:rsidR="000008B2" w:rsidRDefault="00000000">
      <w:pPr>
        <w:widowControl/>
        <w:numPr>
          <w:ilvl w:val="0"/>
          <w:numId w:val="1"/>
        </w:numPr>
        <w:adjustRightInd w:val="0"/>
        <w:snapToGrid w:val="0"/>
        <w:spacing w:beforeLines="40" w:before="124" w:afterLines="40" w:after="124" w:line="360" w:lineRule="auto"/>
        <w:textAlignment w:val="center"/>
        <w:rPr>
          <w:rFonts w:ascii="Times New Roman" w:eastAsia="宋体" w:hAnsi="Times New Roman" w:cs="Times New Roman"/>
          <w:kern w:val="0"/>
          <w:sz w:val="24"/>
        </w:rPr>
      </w:pPr>
      <w:r>
        <w:rPr>
          <w:rFonts w:ascii="Times New Roman" w:eastAsia="宋体" w:hAnsi="Times New Roman" w:cs="Times New Roman" w:hint="eastAsia"/>
          <w:kern w:val="0"/>
          <w:sz w:val="24"/>
        </w:rPr>
        <w:t xml:space="preserve">Heatwave risk and resilience show a </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center-</w:t>
      </w:r>
      <w:proofErr w:type="gramStart"/>
      <w:r>
        <w:rPr>
          <w:rFonts w:ascii="Times New Roman" w:eastAsia="宋体" w:hAnsi="Times New Roman" w:cs="Times New Roman" w:hint="eastAsia"/>
          <w:kern w:val="0"/>
          <w:sz w:val="24"/>
        </w:rPr>
        <w:t>periphery</w:t>
      </w:r>
      <w:r w:rsidR="001C1E82">
        <w:rPr>
          <w:rFonts w:ascii="Times New Roman" w:eastAsia="宋体" w:hAnsi="Times New Roman" w:cs="Times New Roman"/>
          <w:kern w:val="0"/>
          <w:sz w:val="24"/>
        </w:rPr>
        <w:t>’</w:t>
      </w:r>
      <w:proofErr w:type="gramEnd"/>
      <w:r>
        <w:rPr>
          <w:rFonts w:ascii="Times New Roman" w:eastAsia="宋体" w:hAnsi="Times New Roman" w:cs="Times New Roman" w:hint="eastAsia"/>
          <w:kern w:val="0"/>
          <w:sz w:val="24"/>
        </w:rPr>
        <w:t xml:space="preserve"> spatial pattern of synchronous degradation, forming a </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dual vulnerability</w:t>
      </w:r>
      <w:r w:rsidR="001C1E82">
        <w:rPr>
          <w:rFonts w:ascii="Times New Roman" w:eastAsia="宋体" w:hAnsi="Times New Roman" w:cs="Times New Roman"/>
          <w:kern w:val="0"/>
          <w:sz w:val="24"/>
        </w:rPr>
        <w:t>’</w:t>
      </w:r>
      <w:r>
        <w:rPr>
          <w:rFonts w:ascii="Times New Roman" w:eastAsia="宋体" w:hAnsi="Times New Roman" w:cs="Times New Roman" w:hint="eastAsia"/>
          <w:kern w:val="0"/>
          <w:sz w:val="24"/>
        </w:rPr>
        <w:t xml:space="preserve"> hotspot in the urban core.</w:t>
      </w:r>
    </w:p>
    <w:p w14:paraId="350EDAE4" w14:textId="77777777" w:rsidR="000008B2" w:rsidRDefault="00000000">
      <w:pPr>
        <w:widowControl/>
        <w:numPr>
          <w:ilvl w:val="0"/>
          <w:numId w:val="1"/>
        </w:numPr>
        <w:adjustRightInd w:val="0"/>
        <w:snapToGrid w:val="0"/>
        <w:spacing w:beforeLines="40" w:before="124" w:afterLines="40" w:after="124" w:line="360" w:lineRule="auto"/>
        <w:textAlignment w:val="center"/>
        <w:rPr>
          <w:rFonts w:ascii="Times New Roman" w:eastAsia="宋体" w:hAnsi="Times New Roman" w:cs="Times New Roman"/>
          <w:kern w:val="0"/>
          <w:sz w:val="24"/>
        </w:rPr>
      </w:pPr>
      <w:r>
        <w:rPr>
          <w:rFonts w:ascii="Times New Roman" w:eastAsia="宋体" w:hAnsi="Times New Roman" w:cs="Times New Roman" w:hint="eastAsia"/>
          <w:kern w:val="0"/>
          <w:sz w:val="24"/>
        </w:rPr>
        <w:t>Land use patterns are the dominant driver of heat risk, but their effects, such as the cooling from green spaces, are spatially non-stationary and weaken in fragmented urban cores.</w:t>
      </w:r>
    </w:p>
    <w:p w14:paraId="38ED1B91" w14:textId="77777777" w:rsidR="000008B2" w:rsidRDefault="00000000">
      <w:pPr>
        <w:widowControl/>
        <w:numPr>
          <w:ilvl w:val="0"/>
          <w:numId w:val="1"/>
        </w:numPr>
        <w:adjustRightInd w:val="0"/>
        <w:snapToGrid w:val="0"/>
        <w:spacing w:beforeLines="40" w:before="124" w:afterLines="40" w:after="124" w:line="360" w:lineRule="auto"/>
        <w:textAlignment w:val="center"/>
        <w:rPr>
          <w:rFonts w:ascii="Times New Roman" w:eastAsia="宋体" w:hAnsi="Times New Roman" w:cs="Times New Roman"/>
          <w:kern w:val="0"/>
          <w:sz w:val="24"/>
        </w:rPr>
      </w:pPr>
      <w:r>
        <w:rPr>
          <w:rFonts w:ascii="Times New Roman" w:eastAsia="宋体" w:hAnsi="Times New Roman" w:cs="Times New Roman" w:hint="eastAsia"/>
          <w:kern w:val="0"/>
          <w:sz w:val="24"/>
        </w:rPr>
        <w:t>This study reveals the dual role of Aerosol Optical Depth (AOD) in modulating surface temperatures during heatwaves. While AOD typically induces surface cooling by reducing incoming solar radiation, we found that this effect can invert to a net warming mechanism under extreme heat and drought, which intensifies heatwave conditions.</w:t>
      </w:r>
    </w:p>
    <w:sectPr w:rsidR="000008B2">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42F8"/>
    <w:multiLevelType w:val="multilevel"/>
    <w:tmpl w:val="2B8F42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0389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B2"/>
    <w:rsid w:val="000008B2"/>
    <w:rsid w:val="001754F8"/>
    <w:rsid w:val="001C1E82"/>
    <w:rsid w:val="20D32A3E"/>
    <w:rsid w:val="39FC71AA"/>
    <w:rsid w:val="507901C5"/>
    <w:rsid w:val="7E26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48866"/>
  <w15:docId w15:val="{5029CBEF-EA2F-4C35-89D7-1101F8F8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731</Characters>
  <Application>Microsoft Office Word</Application>
  <DocSecurity>0</DocSecurity>
  <Lines>13</Lines>
  <Paragraphs>5</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REBECCA WANG</cp:lastModifiedBy>
  <cp:revision>2</cp:revision>
  <dcterms:created xsi:type="dcterms:W3CDTF">2025-08-07T03:56:00Z</dcterms:created>
  <dcterms:modified xsi:type="dcterms:W3CDTF">2025-08-07T03:56:00Z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eyJoZGlkIjoiYTM3ODFjMzRmMjZiNzhkOWQ1YWIzZGZjOGNlMTBjNTMiLCJ1c2VySWQiOiIzOTkxNzMzODMifQ==</vt:lpwstr>
  </property>
  <property fmtid="{D5CDD505-2E9C-101B-9397-08002B2CF9AE}" pid="4" name="ICV">
    <vt:lpwstr>0F8D51B6588E4562B1F929C91F0BDE84_12</vt:lpwstr>
  </property>
</Properties>
</file>