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8E17B9" w14:textId="77777777" w:rsidR="00C419D2" w:rsidRPr="004A43C5" w:rsidRDefault="00C419D2" w:rsidP="00C419D2">
      <w:pPr>
        <w:pStyle w:val="Heading1"/>
        <w:rPr>
          <w:sz w:val="32"/>
          <w:szCs w:val="32"/>
        </w:rPr>
      </w:pPr>
      <w:r w:rsidRPr="004A43C5">
        <w:rPr>
          <w:sz w:val="32"/>
          <w:szCs w:val="32"/>
        </w:rPr>
        <w:t>Appendix</w:t>
      </w:r>
    </w:p>
    <w:p w14:paraId="3330CFDA" w14:textId="77777777" w:rsidR="00C419D2" w:rsidRDefault="00C419D2" w:rsidP="00C419D2">
      <w:pPr>
        <w:spacing w:line="275" w:lineRule="auto"/>
        <w:jc w:val="center"/>
        <w:rPr>
          <w:rFonts w:cs="Times New Roman"/>
        </w:rPr>
      </w:pPr>
      <w:r>
        <w:rPr>
          <w:rFonts w:cs="Times New Roman"/>
        </w:rPr>
        <w:t xml:space="preserve"> </w:t>
      </w:r>
      <w:r>
        <w:rPr>
          <w:rFonts w:cs="Times New Roman"/>
          <w:b/>
          <w:bCs/>
        </w:rPr>
        <w:t>Exhibit 1</w:t>
      </w:r>
      <w:r>
        <w:rPr>
          <w:rFonts w:cs="Times New Roman"/>
        </w:rPr>
        <w:t xml:space="preserve"> Drivers and their data characteristics</w:t>
      </w:r>
    </w:p>
    <w:tbl>
      <w:tblPr>
        <w:tblW w:w="892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90"/>
        <w:gridCol w:w="1224"/>
        <w:gridCol w:w="1465"/>
        <w:gridCol w:w="2292"/>
        <w:gridCol w:w="1260"/>
        <w:gridCol w:w="1292"/>
      </w:tblGrid>
      <w:tr w:rsidR="00C419D2" w14:paraId="7BFDDF1D" w14:textId="77777777" w:rsidTr="00D176D1">
        <w:trPr>
          <w:jc w:val="center"/>
        </w:trPr>
        <w:tc>
          <w:tcPr>
            <w:tcW w:w="139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72A2A826" w14:textId="77777777" w:rsidR="00C419D2" w:rsidRDefault="00C419D2" w:rsidP="00D176D1">
            <w:pPr>
              <w:jc w:val="center"/>
              <w:rPr>
                <w:rFonts w:cs="Times New Roman"/>
                <w:b/>
                <w:bCs/>
                <w:sz w:val="15"/>
                <w:szCs w:val="15"/>
              </w:rPr>
            </w:pPr>
            <w:r>
              <w:rPr>
                <w:rFonts w:cs="Times New Roman"/>
                <w:b/>
                <w:bCs/>
                <w:sz w:val="15"/>
                <w:szCs w:val="15"/>
              </w:rPr>
              <w:t>Impact Dimension</w:t>
            </w:r>
          </w:p>
        </w:tc>
        <w:tc>
          <w:tcPr>
            <w:tcW w:w="122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65199E5B" w14:textId="77777777" w:rsidR="00C419D2" w:rsidRDefault="00C419D2" w:rsidP="00D176D1">
            <w:pPr>
              <w:jc w:val="center"/>
              <w:rPr>
                <w:rFonts w:cs="Times New Roman"/>
                <w:b/>
                <w:bCs/>
                <w:sz w:val="15"/>
                <w:szCs w:val="15"/>
              </w:rPr>
            </w:pPr>
            <w:r>
              <w:rPr>
                <w:rFonts w:cs="Times New Roman"/>
                <w:b/>
                <w:bCs/>
                <w:sz w:val="15"/>
                <w:szCs w:val="15"/>
              </w:rPr>
              <w:t>Specific Factors</w:t>
            </w:r>
          </w:p>
        </w:tc>
        <w:tc>
          <w:tcPr>
            <w:tcW w:w="1465"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22DD0046" w14:textId="77777777" w:rsidR="00C419D2" w:rsidRDefault="00C419D2" w:rsidP="00D176D1">
            <w:pPr>
              <w:jc w:val="center"/>
              <w:rPr>
                <w:rFonts w:cs="Times New Roman"/>
                <w:b/>
                <w:bCs/>
                <w:sz w:val="15"/>
                <w:szCs w:val="15"/>
              </w:rPr>
            </w:pPr>
            <w:r>
              <w:rPr>
                <w:rFonts w:cs="Times New Roman"/>
                <w:b/>
                <w:bCs/>
                <w:sz w:val="15"/>
                <w:szCs w:val="15"/>
              </w:rPr>
              <w:t>Specific Indicators</w:t>
            </w:r>
          </w:p>
        </w:tc>
        <w:tc>
          <w:tcPr>
            <w:tcW w:w="2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13603089" w14:textId="77777777" w:rsidR="00C419D2" w:rsidRDefault="00C419D2" w:rsidP="00D176D1">
            <w:pPr>
              <w:jc w:val="center"/>
              <w:rPr>
                <w:rFonts w:cs="Times New Roman"/>
                <w:b/>
                <w:bCs/>
                <w:sz w:val="15"/>
                <w:szCs w:val="15"/>
              </w:rPr>
            </w:pPr>
            <w:r>
              <w:rPr>
                <w:rFonts w:cs="Times New Roman"/>
                <w:b/>
                <w:bCs/>
                <w:sz w:val="15"/>
                <w:szCs w:val="15"/>
              </w:rPr>
              <w:t>Brief description of selection basis</w:t>
            </w:r>
          </w:p>
        </w:tc>
        <w:tc>
          <w:tcPr>
            <w:tcW w:w="12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6C32A699" w14:textId="77777777" w:rsidR="00C419D2" w:rsidRDefault="00C419D2" w:rsidP="00D176D1">
            <w:pPr>
              <w:jc w:val="center"/>
              <w:rPr>
                <w:rFonts w:cs="Times New Roman"/>
                <w:b/>
                <w:bCs/>
                <w:sz w:val="15"/>
                <w:szCs w:val="15"/>
              </w:rPr>
            </w:pPr>
            <w:r>
              <w:rPr>
                <w:rFonts w:cs="Times New Roman"/>
                <w:b/>
                <w:bCs/>
                <w:sz w:val="15"/>
                <w:szCs w:val="15"/>
              </w:rPr>
              <w:t>Data source</w:t>
            </w:r>
          </w:p>
        </w:tc>
        <w:tc>
          <w:tcPr>
            <w:tcW w:w="1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6E2E2993" w14:textId="77777777" w:rsidR="00C419D2" w:rsidRDefault="00C419D2" w:rsidP="00D176D1">
            <w:pPr>
              <w:jc w:val="center"/>
              <w:rPr>
                <w:rFonts w:cs="Times New Roman"/>
                <w:b/>
                <w:bCs/>
                <w:sz w:val="15"/>
                <w:szCs w:val="15"/>
              </w:rPr>
            </w:pPr>
            <w:r>
              <w:rPr>
                <w:rFonts w:cs="Times New Roman"/>
                <w:b/>
                <w:bCs/>
                <w:sz w:val="15"/>
                <w:szCs w:val="15"/>
              </w:rPr>
              <w:t>Spatial and temporal resolution</w:t>
            </w:r>
          </w:p>
        </w:tc>
      </w:tr>
      <w:tr w:rsidR="00C419D2" w14:paraId="7EBDD818" w14:textId="77777777" w:rsidTr="00D176D1">
        <w:trPr>
          <w:jc w:val="center"/>
        </w:trPr>
        <w:tc>
          <w:tcPr>
            <w:tcW w:w="1390" w:type="dxa"/>
            <w:vMerge w:val="restart"/>
            <w:tcBorders>
              <w:top w:val="single" w:sz="6" w:space="0" w:color="000000"/>
              <w:left w:val="single" w:sz="6" w:space="0" w:color="000000"/>
              <w:right w:val="single" w:sz="6" w:space="0" w:color="000000"/>
            </w:tcBorders>
            <w:shd w:val="clear" w:color="auto" w:fill="F8FAFD"/>
            <w:tcMar>
              <w:top w:w="120" w:type="dxa"/>
              <w:left w:w="180" w:type="dxa"/>
              <w:bottom w:w="120" w:type="dxa"/>
              <w:right w:w="180" w:type="dxa"/>
            </w:tcMar>
            <w:vAlign w:val="center"/>
          </w:tcPr>
          <w:p w14:paraId="55655F55" w14:textId="77777777" w:rsidR="00C419D2" w:rsidRDefault="00C419D2" w:rsidP="00D176D1">
            <w:pPr>
              <w:jc w:val="center"/>
              <w:rPr>
                <w:rFonts w:cs="Times New Roman"/>
                <w:sz w:val="15"/>
                <w:szCs w:val="15"/>
              </w:rPr>
            </w:pPr>
            <w:bookmarkStart w:id="0" w:name="_Hlk201928548"/>
            <w:r>
              <w:rPr>
                <w:rFonts w:cs="Times New Roman"/>
                <w:sz w:val="15"/>
                <w:szCs w:val="15"/>
              </w:rPr>
              <w:t>Climate factors</w:t>
            </w:r>
          </w:p>
        </w:tc>
        <w:tc>
          <w:tcPr>
            <w:tcW w:w="122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2D072D33" w14:textId="77777777" w:rsidR="00C419D2" w:rsidRDefault="00C419D2" w:rsidP="00D176D1">
            <w:pPr>
              <w:jc w:val="center"/>
              <w:rPr>
                <w:rFonts w:cs="Times New Roman"/>
                <w:sz w:val="15"/>
                <w:szCs w:val="15"/>
              </w:rPr>
            </w:pPr>
            <w:r>
              <w:rPr>
                <w:rFonts w:cs="Times New Roman"/>
                <w:sz w:val="15"/>
                <w:szCs w:val="15"/>
              </w:rPr>
              <w:t>Temperature (Ta)</w:t>
            </w:r>
          </w:p>
        </w:tc>
        <w:tc>
          <w:tcPr>
            <w:tcW w:w="1465"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075DD7E5" w14:textId="77777777" w:rsidR="00C419D2" w:rsidRDefault="00C419D2" w:rsidP="00D176D1">
            <w:pPr>
              <w:jc w:val="center"/>
              <w:rPr>
                <w:rFonts w:cs="Times New Roman"/>
                <w:sz w:val="15"/>
                <w:szCs w:val="15"/>
              </w:rPr>
            </w:pPr>
            <w:r>
              <w:rPr>
                <w:rFonts w:cs="Times New Roman"/>
                <w:sz w:val="15"/>
                <w:szCs w:val="15"/>
              </w:rPr>
              <w:t>Monthly average temperature (°C) over the study period</w:t>
            </w:r>
          </w:p>
        </w:tc>
        <w:tc>
          <w:tcPr>
            <w:tcW w:w="2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363021EA" w14:textId="77777777" w:rsidR="00C419D2" w:rsidRDefault="00C419D2" w:rsidP="00D176D1">
            <w:pPr>
              <w:jc w:val="center"/>
              <w:rPr>
                <w:rFonts w:cs="Times New Roman"/>
                <w:sz w:val="15"/>
                <w:szCs w:val="15"/>
              </w:rPr>
            </w:pPr>
            <w:r>
              <w:rPr>
                <w:rFonts w:cs="Times New Roman"/>
                <w:sz w:val="15"/>
                <w:szCs w:val="15"/>
              </w:rPr>
              <w:t>Basic measure of heat wave intensity</w:t>
            </w:r>
            <w:r>
              <w:rPr>
                <w:rFonts w:cs="Times New Roman"/>
                <w:sz w:val="18"/>
                <w:szCs w:val="20"/>
              </w:rPr>
              <w:fldChar w:fldCharType="begin"/>
            </w:r>
            <w:r>
              <w:rPr>
                <w:rFonts w:cs="Times New Roman"/>
                <w:sz w:val="18"/>
                <w:szCs w:val="20"/>
              </w:rPr>
              <w:instrText xml:space="preserve"> ADDIN ZOTERO_ITEM CSL_CITATION {"citationID":"pkBp48iO","properties":{"formattedCitation":"(Wang et al., 2021)","plainCitation":"(Wang et al., 2021)","noteIndex":0},"citationItems":[{"id":773,"uris":["http://zotero.org/users/14190624/items/4R7KP2BN"],"itemData":{"id":773,"type":"article-journal","abstract":"Urban areas are experiencing strongly increasing hot temperature extremes. However, these urban heat events have seldom been the focus of traditional detection and attribution analysis designed for regional to global changes. Here we show that compound (day–night sustained) hot extremes are more dangerous than solely daytime or nighttime heat, especially to female and older urban residents. Urban compound hot extremes across eastern China have increased by 1.76 days per decade from 1961 to 2014 with fingerprints of urban expansion and anthropogenic emissions detected by a stepwise detection and attribution method. Their attributable fractions are estimated as 0.51 (urbanization), 1.63 (greenhouse gases) and −0.54 (other anthropogenic forcings) days per decade. Future emissions and urbanization would make these compound events two to five times more frequent (2090s versus 2010s), leading to a threefold-to-sixfold growth in urban population exposure. Our findings call for tailored adaptation planning against rapidly growing health threats from compound heat in cities.","container-title":"Nature Climate Change","DOI":"10.1038/s41558-021-01196-2","ISSN":"1758-6798","issue":"12","journalAbbreviation":"Nat. Clim. Chang.","language":"en","license":"2021 The Author(s), under exclusive licence to Springer Nature Limited","note":"publisher: Nature Publishing Group","page":"1084-1089","source":"www.nature.com","title":"Anthropogenic emissions and urbanization increase risk of compound hot extremes in cities","volume":"11","author":[{"family":"Wang","given":"Jun"},{"family":"Chen","given":"Yang"},{"family":"Liao","given":"Weilin"},{"family":"He","given":"Guanhao"},{"family":"Tett","given":"Simon F. B."},{"family":"Yan","given":"Zhongwei"},{"family":"Zhai","given":"Panmao"},{"family":"Feng","given":"Jinming"},{"family":"Ma","given":"Wenjun"},{"family":"Huang","given":"Cunrui"},{"family":"Hu","given":"Yamin"}],"issued":{"date-parts":[["2021",12]]}}}],"schema":"https://github.com/citation-style-language/schema/raw/master/csl-citation.json"} </w:instrText>
            </w:r>
            <w:r>
              <w:rPr>
                <w:rFonts w:cs="Times New Roman"/>
                <w:sz w:val="18"/>
                <w:szCs w:val="20"/>
              </w:rPr>
              <w:fldChar w:fldCharType="separate"/>
            </w:r>
            <w:r>
              <w:rPr>
                <w:rFonts w:cs="Times New Roman"/>
                <w:sz w:val="18"/>
              </w:rPr>
              <w:t>(Wang et al., 2021)</w:t>
            </w:r>
            <w:r>
              <w:rPr>
                <w:rFonts w:cs="Times New Roman"/>
                <w:sz w:val="18"/>
                <w:szCs w:val="20"/>
              </w:rPr>
              <w:fldChar w:fldCharType="end"/>
            </w:r>
            <w:r>
              <w:rPr>
                <w:rFonts w:cs="Times New Roman"/>
                <w:sz w:val="15"/>
                <w:szCs w:val="15"/>
              </w:rPr>
              <w:t xml:space="preserve"> .</w:t>
            </w:r>
          </w:p>
        </w:tc>
        <w:tc>
          <w:tcPr>
            <w:tcW w:w="12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6F91F0E9" w14:textId="77777777" w:rsidR="00C419D2" w:rsidRDefault="00C419D2" w:rsidP="00D176D1">
            <w:pPr>
              <w:jc w:val="center"/>
              <w:rPr>
                <w:rFonts w:cs="Times New Roman"/>
                <w:sz w:val="15"/>
                <w:szCs w:val="15"/>
              </w:rPr>
            </w:pPr>
            <w:r>
              <w:rPr>
                <w:rFonts w:cs="Times New Roman"/>
                <w:sz w:val="15"/>
                <w:szCs w:val="15"/>
              </w:rPr>
              <w:t>Data from meteorological observing stations NCEI</w:t>
            </w:r>
          </w:p>
        </w:tc>
        <w:tc>
          <w:tcPr>
            <w:tcW w:w="1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4CD411DB" w14:textId="77777777" w:rsidR="00C419D2" w:rsidRDefault="00C419D2" w:rsidP="00D176D1">
            <w:pPr>
              <w:jc w:val="center"/>
              <w:rPr>
                <w:rFonts w:cs="Times New Roman"/>
                <w:sz w:val="15"/>
                <w:szCs w:val="15"/>
              </w:rPr>
            </w:pPr>
            <w:r>
              <w:rPr>
                <w:rFonts w:cs="Times New Roman"/>
                <w:sz w:val="15"/>
                <w:szCs w:val="15"/>
              </w:rPr>
              <w:t>Month, Station</w:t>
            </w:r>
          </w:p>
        </w:tc>
      </w:tr>
      <w:tr w:rsidR="00C419D2" w14:paraId="42D839F8" w14:textId="77777777" w:rsidTr="00D176D1">
        <w:trPr>
          <w:jc w:val="center"/>
        </w:trPr>
        <w:tc>
          <w:tcPr>
            <w:tcW w:w="1390" w:type="dxa"/>
            <w:vMerge/>
            <w:tcBorders>
              <w:left w:val="single" w:sz="6" w:space="0" w:color="000000"/>
              <w:right w:val="single" w:sz="6" w:space="0" w:color="000000"/>
            </w:tcBorders>
            <w:shd w:val="clear" w:color="auto" w:fill="F8FAFD"/>
            <w:tcMar>
              <w:top w:w="120" w:type="dxa"/>
              <w:left w:w="180" w:type="dxa"/>
              <w:bottom w:w="120" w:type="dxa"/>
              <w:right w:w="180" w:type="dxa"/>
            </w:tcMar>
            <w:vAlign w:val="center"/>
          </w:tcPr>
          <w:p w14:paraId="5418133E" w14:textId="77777777" w:rsidR="00C419D2" w:rsidRDefault="00C419D2" w:rsidP="00D176D1">
            <w:pPr>
              <w:jc w:val="center"/>
              <w:rPr>
                <w:rFonts w:cs="Times New Roman"/>
                <w:sz w:val="15"/>
                <w:szCs w:val="15"/>
              </w:rPr>
            </w:pPr>
          </w:p>
        </w:tc>
        <w:tc>
          <w:tcPr>
            <w:tcW w:w="122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3AA71B8C" w14:textId="77777777" w:rsidR="00C419D2" w:rsidRDefault="00C419D2" w:rsidP="00D176D1">
            <w:pPr>
              <w:jc w:val="center"/>
              <w:rPr>
                <w:rFonts w:cs="Times New Roman"/>
                <w:sz w:val="15"/>
                <w:szCs w:val="15"/>
              </w:rPr>
            </w:pPr>
            <w:r>
              <w:rPr>
                <w:rFonts w:cs="Times New Roman"/>
                <w:sz w:val="15"/>
                <w:szCs w:val="15"/>
              </w:rPr>
              <w:t>Precipitation (Pre)</w:t>
            </w:r>
          </w:p>
        </w:tc>
        <w:tc>
          <w:tcPr>
            <w:tcW w:w="1465"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37D8A486" w14:textId="77777777" w:rsidR="00C419D2" w:rsidRDefault="00C419D2" w:rsidP="00D176D1">
            <w:pPr>
              <w:jc w:val="center"/>
              <w:rPr>
                <w:rFonts w:cs="Times New Roman"/>
                <w:sz w:val="15"/>
                <w:szCs w:val="15"/>
              </w:rPr>
            </w:pPr>
            <w:r>
              <w:rPr>
                <w:rFonts w:cs="Times New Roman"/>
                <w:sz w:val="15"/>
                <w:szCs w:val="15"/>
              </w:rPr>
              <w:t>Monthly cumulative precipitation over the study time</w:t>
            </w:r>
          </w:p>
        </w:tc>
        <w:tc>
          <w:tcPr>
            <w:tcW w:w="2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0D2C7A48" w14:textId="77777777" w:rsidR="00C419D2" w:rsidRDefault="00C419D2" w:rsidP="00D176D1">
            <w:pPr>
              <w:jc w:val="center"/>
              <w:rPr>
                <w:rFonts w:cs="Times New Roman"/>
                <w:sz w:val="15"/>
                <w:szCs w:val="15"/>
              </w:rPr>
            </w:pPr>
            <w:r>
              <w:rPr>
                <w:rFonts w:cs="Times New Roman"/>
                <w:sz w:val="15"/>
                <w:szCs w:val="15"/>
              </w:rPr>
              <w:t>Affects the surface energy balance and air humidity, regulating the development of heat waves</w:t>
            </w:r>
            <w:r>
              <w:rPr>
                <w:rFonts w:cs="Times New Roman"/>
                <w:sz w:val="15"/>
                <w:szCs w:val="15"/>
                <w:vertAlign w:val="superscript"/>
              </w:rPr>
              <w:fldChar w:fldCharType="begin"/>
            </w:r>
            <w:r>
              <w:rPr>
                <w:rFonts w:cs="Times New Roman"/>
                <w:sz w:val="15"/>
                <w:szCs w:val="15"/>
                <w:vertAlign w:val="superscript"/>
              </w:rPr>
              <w:instrText xml:space="preserve"> ADDIN ZOTERO_ITEM CSL_CITATION {"citationID":"5IYveVFO","properties":{"formattedCitation":"(Miao et al., 2024)","plainCitation":"(Miao et al., 2024)","noteIndex":0},"citationItems":[{"id":821,"uris":["http://zotero.org/users/14190624/items/F7ZJERAM"],"itemData":{"id":821,"type":"article-journal","abstract":"Amidst the escalating impacts of global warming, the occurrence and severity of compound extreme weather events have risen significantly, presenting substantial threats to both lives and property. Existing response strategies predominantly focus on individual events, often overlooking the cumulative effects rising from their inherent complexity. To address this critical gap, we conducted a thorough examination of sequential extreme precipitation–heatwave compound events (SEPHCE) in China from 1975 to 2020, utilizing data from 1929 meteorological stations. Our investigation revealed a consistent rise in the frequency and duration of SEPHCE, with a particularly notable surge since 1993. Furthermore, shorter interval events disproportionately affected the regions of southwestern and southeast coastal China. Furthermore, SEPHCE onset times exhibited advancement, and the endings were delayed, thereby intensifying the overall trend. These findings underscore the pressing need to prioritize effective planning and adaptation strategies to mitigate the impact of these compound event, while also addressing the potential exacerbation of inequality resulting from climate change.","container-title":"npj Climate and Atmospheric Science","DOI":"10.1038/s41612-024-00613-5","ISSN":"2397-3722","issue":"1","journalAbbreviation":"npj Climate and Atmospheric Science","language":"en","page":"67","title":"Unveiling the dynamics of sequential extreme precipitation-heatwave compounds in China","volume":"7","author":[{"family":"Miao","given":"Lijuan"},{"family":"Ju","given":"Lei"},{"family":"Sun","given":"Shao"},{"family":"Agathokleous","given":"Evgenios"},{"family":"Wang","given":"Qianfeng"},{"family":"Zhu","given":"Zhiwei"},{"family":"Liu","given":"Ran"},{"family":"Zou","given":"Yangfeng"},{"family":"Lu","given":"Yutian"},{"family":"Liu","given":"Qiang"}],"issued":{"date-parts":[["2024",3,11]]}}}],"schema":"https://github.com/citation-style-language/schema/raw/master/csl-citation.json"} </w:instrText>
            </w:r>
            <w:r>
              <w:rPr>
                <w:rFonts w:cs="Times New Roman"/>
                <w:sz w:val="15"/>
                <w:szCs w:val="15"/>
                <w:vertAlign w:val="superscript"/>
              </w:rPr>
              <w:fldChar w:fldCharType="separate"/>
            </w:r>
            <w:r>
              <w:rPr>
                <w:rFonts w:cs="Times New Roman"/>
                <w:sz w:val="15"/>
              </w:rPr>
              <w:t>(Miao et al., 2024)</w:t>
            </w:r>
            <w:r>
              <w:rPr>
                <w:rFonts w:cs="Times New Roman"/>
                <w:sz w:val="15"/>
                <w:szCs w:val="15"/>
                <w:vertAlign w:val="superscript"/>
              </w:rPr>
              <w:fldChar w:fldCharType="end"/>
            </w:r>
          </w:p>
        </w:tc>
        <w:tc>
          <w:tcPr>
            <w:tcW w:w="12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7E5BC836" w14:textId="77777777" w:rsidR="00C419D2" w:rsidRDefault="00C419D2" w:rsidP="00D176D1">
            <w:pPr>
              <w:jc w:val="center"/>
              <w:rPr>
                <w:rFonts w:cs="Times New Roman"/>
                <w:sz w:val="15"/>
                <w:szCs w:val="15"/>
              </w:rPr>
            </w:pPr>
            <w:r>
              <w:rPr>
                <w:rFonts w:cs="Times New Roman"/>
                <w:sz w:val="15"/>
                <w:szCs w:val="15"/>
              </w:rPr>
              <w:t>National Tibetan Plateau / Third Pole Environment Data Center</w:t>
            </w:r>
            <w:r>
              <w:rPr>
                <w:rFonts w:cs="Times New Roman"/>
                <w:sz w:val="15"/>
                <w:szCs w:val="15"/>
              </w:rPr>
              <w:fldChar w:fldCharType="begin"/>
            </w:r>
            <w:r>
              <w:rPr>
                <w:rFonts w:cs="Times New Roman"/>
                <w:sz w:val="15"/>
                <w:szCs w:val="15"/>
              </w:rPr>
              <w:instrText xml:space="preserve"> ADDIN ZOTERO_ITEM CSL_CITATION {"citationID":"8Sloq36w","properties":{"formattedCitation":"(PENG Shouzhang, 2024)","plainCitation":"(PENG Shouzhang, 2024)","noteIndex":0},"citationItems":[{"id":913,"uris":["http://zotero.org/users/14190624/items/JU9ZR8SR"],"itemData":{"id":913,"type":"dataset","DOI":"10.5281/zenodo.3114194","language":"en","note":"journalAbbreviation: National Tibetan Plateau Data Center\ncontainer-title: National Tibetan Plateau Data Center","publisher":"National Tibetan Plateau Data Center","title":"1-km monthly precipitation dataset for China (1901-2023)","URL":"https://dx.doi.org/10.5281/zenodo.3114194","author":[{"literal":"PENG Shouzhang"}],"issued":{"date-parts":[["2024",7,18]]}}}],"schema":"https://github.com/citation-style-language/schema/raw/master/csl-citation.json"} </w:instrText>
            </w:r>
            <w:r>
              <w:rPr>
                <w:rFonts w:cs="Times New Roman"/>
                <w:sz w:val="15"/>
                <w:szCs w:val="15"/>
              </w:rPr>
              <w:fldChar w:fldCharType="separate"/>
            </w:r>
            <w:r>
              <w:rPr>
                <w:rFonts w:cs="Times New Roman"/>
                <w:sz w:val="15"/>
              </w:rPr>
              <w:t>(PENG Shouzhang, 2024)</w:t>
            </w:r>
            <w:r>
              <w:rPr>
                <w:rFonts w:cs="Times New Roman"/>
                <w:sz w:val="15"/>
                <w:szCs w:val="15"/>
              </w:rPr>
              <w:fldChar w:fldCharType="end"/>
            </w:r>
          </w:p>
        </w:tc>
        <w:tc>
          <w:tcPr>
            <w:tcW w:w="1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221CB854" w14:textId="77777777" w:rsidR="00C419D2" w:rsidRDefault="00C419D2" w:rsidP="00D176D1">
            <w:pPr>
              <w:jc w:val="center"/>
              <w:rPr>
                <w:rFonts w:cs="Times New Roman"/>
                <w:sz w:val="15"/>
                <w:szCs w:val="15"/>
              </w:rPr>
            </w:pPr>
            <w:r>
              <w:rPr>
                <w:rFonts w:cs="Times New Roman"/>
                <w:sz w:val="15"/>
                <w:szCs w:val="15"/>
              </w:rPr>
              <w:t>Month, 1km</w:t>
            </w:r>
          </w:p>
        </w:tc>
      </w:tr>
      <w:tr w:rsidR="00C419D2" w14:paraId="26A1DE8D" w14:textId="77777777" w:rsidTr="00D176D1">
        <w:trPr>
          <w:jc w:val="center"/>
        </w:trPr>
        <w:tc>
          <w:tcPr>
            <w:tcW w:w="1390" w:type="dxa"/>
            <w:vMerge/>
            <w:tcBorders>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7C34B58F" w14:textId="77777777" w:rsidR="00C419D2" w:rsidRDefault="00C419D2" w:rsidP="00D176D1">
            <w:pPr>
              <w:jc w:val="center"/>
              <w:rPr>
                <w:rFonts w:cs="Times New Roman"/>
                <w:sz w:val="15"/>
                <w:szCs w:val="15"/>
              </w:rPr>
            </w:pPr>
          </w:p>
        </w:tc>
        <w:tc>
          <w:tcPr>
            <w:tcW w:w="122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0D262052" w14:textId="77777777" w:rsidR="00C419D2" w:rsidRDefault="00C419D2" w:rsidP="00D176D1">
            <w:pPr>
              <w:jc w:val="center"/>
              <w:rPr>
                <w:rFonts w:cs="Times New Roman"/>
                <w:sz w:val="15"/>
                <w:szCs w:val="15"/>
              </w:rPr>
            </w:pPr>
            <w:r>
              <w:rPr>
                <w:rFonts w:cs="Times New Roman"/>
                <w:sz w:val="15"/>
                <w:szCs w:val="15"/>
              </w:rPr>
              <w:t>Surface Solar Radiation (SSR)</w:t>
            </w:r>
          </w:p>
        </w:tc>
        <w:tc>
          <w:tcPr>
            <w:tcW w:w="1465"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0AB29686" w14:textId="77777777" w:rsidR="00C419D2" w:rsidRDefault="00C419D2" w:rsidP="00D176D1">
            <w:pPr>
              <w:jc w:val="center"/>
              <w:rPr>
                <w:rFonts w:cs="Times New Roman"/>
                <w:sz w:val="15"/>
                <w:szCs w:val="15"/>
              </w:rPr>
            </w:pPr>
            <w:r>
              <w:rPr>
                <w:rFonts w:cs="Times New Roman"/>
                <w:sz w:val="15"/>
                <w:szCs w:val="15"/>
              </w:rPr>
              <w:t xml:space="preserve">Flux of shortwave radiation reaching the surface </w:t>
            </w:r>
          </w:p>
          <w:p w14:paraId="00455705" w14:textId="77777777" w:rsidR="00C419D2" w:rsidRDefault="00C419D2" w:rsidP="00D176D1">
            <w:pPr>
              <w:jc w:val="center"/>
              <w:rPr>
                <w:rFonts w:cs="Times New Roman"/>
                <w:sz w:val="15"/>
                <w:szCs w:val="15"/>
              </w:rPr>
            </w:pPr>
            <w:r>
              <w:rPr>
                <w:rFonts w:cs="Times New Roman"/>
                <w:sz w:val="15"/>
                <w:szCs w:val="15"/>
              </w:rPr>
              <w:t>(</w:t>
            </w:r>
            <m:oMath>
              <m:r>
                <w:rPr>
                  <w:rFonts w:ascii="Cambria Math" w:hAnsi="Cambria Math" w:cs="Times New Roman"/>
                  <w:sz w:val="15"/>
                  <w:szCs w:val="15"/>
                </w:rPr>
                <m:t>MJ/m²</m:t>
              </m:r>
            </m:oMath>
            <w:r>
              <w:rPr>
                <w:rFonts w:cs="Times New Roman"/>
                <w:sz w:val="15"/>
                <w:szCs w:val="15"/>
              </w:rPr>
              <w:t>)</w:t>
            </w:r>
          </w:p>
        </w:tc>
        <w:tc>
          <w:tcPr>
            <w:tcW w:w="2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7F28011A" w14:textId="77777777" w:rsidR="00C419D2" w:rsidRDefault="00C419D2" w:rsidP="00D176D1">
            <w:pPr>
              <w:jc w:val="center"/>
              <w:rPr>
                <w:rFonts w:cs="Times New Roman"/>
                <w:sz w:val="15"/>
                <w:szCs w:val="15"/>
              </w:rPr>
            </w:pPr>
            <w:r>
              <w:rPr>
                <w:rFonts w:cs="Times New Roman"/>
                <w:sz w:val="15"/>
                <w:szCs w:val="15"/>
              </w:rPr>
              <w:t>The main source of energy at the surface, directly influencing the rate of surface warming</w:t>
            </w:r>
            <w:r>
              <w:rPr>
                <w:rFonts w:cs="Times New Roman"/>
                <w:sz w:val="18"/>
                <w:szCs w:val="20"/>
              </w:rPr>
              <w:fldChar w:fldCharType="begin"/>
            </w:r>
            <w:r>
              <w:rPr>
                <w:rFonts w:cs="Times New Roman"/>
                <w:sz w:val="18"/>
                <w:szCs w:val="20"/>
              </w:rPr>
              <w:instrText xml:space="preserve"> ADDIN ZOTERO_ITEM CSL_CITATION {"citationID":"c24qeUlN","properties":{"formattedCitation":"(Zhang et al., 2025)","plainCitation":"(Zhang et al., 2025)","noteIndex":0},"citationItems":[{"id":815,"uris":["http://zotero.org/users/14190624/items/HTDRLVZC"],"itemData":{"id":815,"type":"article-journal","abstract":"Under the backdrop of rapid urbanization and global warming, urban environments have undergone significant changes, with the one of the most pronounced being the urban heat island effect. This phenomenon can disrupt the functions of urban ecosystems, affect residents’ comfort and health, and even pose life-threatening risks. existing research has predominantly focused on developed cities during urbanization, often overlooking smaller towns. As urbanization accelerates, the urban heat island effect is becoming increasingly pronounced in medium and small cities. Therefore, investigating the urban heat island effect in small and medium-sized cities can provide reliable data for long-term monitoring of various levels of urbanization across China, which is crucial for developing green, low-carbon, and livable ecological cities. This study leveraged long-term MODIS land surface temperature data, delving into the temporal variations and spatial patterns of surface urban heat island intensity (SUHII) across 1444 counties in China from both annual and seasonal time scales, as well as from national and climatic zone spatial dimensions. Meanwhile, the primary reasons influencing SUHII changes were investigated. The results indicated that a significant upward trend in SUHII nationwide, with the exception for winter, and the most rapid increase was observed in spring. In different climatic zones, the mid-temperate, warm temperate, and northern subtropical zones experienced notable growth in spring and autumn, while the mid-subtropical to marginal tropical zones demonstrated a pronounced rise in all seasons. Furthermore, weak hot islands dominated in China, except in winter, although their proportion declined over time. Strong and moderate hot islands were on the rise, primarily in the south of the Qinling-Huaihe line at 34°N. Winter was mainly characterized by no clear cold/hot islands, concentrated in the warm temperature and northern subtropics, with weak hot islands expanding southward into temperature regions. Besides, over the 20 years, approximately 47 % of cities maintained stable cold/hot island levels, while 53 % underwent transitions, predominantly hot island level conversions. In addition, natural factors such as precipitation and relative humidity played a critical role in SUHII changes, alongside an increasing impact of aerosol optical depth and white-sky albedo in the last decade.","container-title":"City and Environment Interactions","DOI":"https://doi.org/10.1016/j.cacint.2025.100203","ISSN":"2590-2520","language":"en","page":"100203","title":"Dynamic changes and drives of surface urban heat islands in China","volume":"27","author":[{"family":"Zhang","given":"Qiumeng"},{"family":"Jia","given":"Baoquan"},{"family":"Li","given":"Tong"},{"family":"Yang","given":"Yarong"},{"family":"Fang","given":"Youxin"}],"issued":{"date-parts":[["2025"]]}}}],"schema":"https://github.com/citation-style-language/schema/raw/master/csl-citation.json"} </w:instrText>
            </w:r>
            <w:r>
              <w:rPr>
                <w:rFonts w:cs="Times New Roman"/>
                <w:sz w:val="18"/>
                <w:szCs w:val="20"/>
              </w:rPr>
              <w:fldChar w:fldCharType="separate"/>
            </w:r>
            <w:r>
              <w:rPr>
                <w:rFonts w:cs="Times New Roman"/>
                <w:sz w:val="18"/>
              </w:rPr>
              <w:t>(Zhang et al., 2025)</w:t>
            </w:r>
            <w:r>
              <w:rPr>
                <w:rFonts w:cs="Times New Roman"/>
                <w:sz w:val="18"/>
                <w:szCs w:val="20"/>
              </w:rPr>
              <w:fldChar w:fldCharType="end"/>
            </w:r>
            <w:r>
              <w:rPr>
                <w:rFonts w:cs="Times New Roman"/>
                <w:sz w:val="15"/>
                <w:szCs w:val="15"/>
              </w:rPr>
              <w:t xml:space="preserve"> .</w:t>
            </w:r>
          </w:p>
        </w:tc>
        <w:tc>
          <w:tcPr>
            <w:tcW w:w="12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3CBF3BAE" w14:textId="77777777" w:rsidR="00C419D2" w:rsidRDefault="00C419D2" w:rsidP="00D176D1">
            <w:pPr>
              <w:jc w:val="center"/>
              <w:rPr>
                <w:rFonts w:cs="Times New Roman"/>
                <w:sz w:val="15"/>
                <w:szCs w:val="15"/>
              </w:rPr>
            </w:pPr>
            <w:r>
              <w:rPr>
                <w:rFonts w:cs="Times New Roman"/>
                <w:sz w:val="15"/>
                <w:szCs w:val="15"/>
              </w:rPr>
              <w:t>GEE</w:t>
            </w:r>
          </w:p>
        </w:tc>
        <w:tc>
          <w:tcPr>
            <w:tcW w:w="1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0F616665" w14:textId="77777777" w:rsidR="00C419D2" w:rsidRDefault="00C419D2" w:rsidP="00D176D1">
            <w:pPr>
              <w:jc w:val="center"/>
              <w:rPr>
                <w:rFonts w:cs="Times New Roman"/>
                <w:sz w:val="15"/>
                <w:szCs w:val="15"/>
              </w:rPr>
            </w:pPr>
            <w:r>
              <w:rPr>
                <w:rFonts w:cs="Times New Roman"/>
                <w:sz w:val="15"/>
                <w:szCs w:val="15"/>
              </w:rPr>
              <w:t>Year, 0.1° x 0.1°</w:t>
            </w:r>
          </w:p>
        </w:tc>
      </w:tr>
      <w:tr w:rsidR="00C419D2" w14:paraId="3DBC1000" w14:textId="77777777" w:rsidTr="00D176D1">
        <w:trPr>
          <w:jc w:val="center"/>
        </w:trPr>
        <w:tc>
          <w:tcPr>
            <w:tcW w:w="1390" w:type="dxa"/>
            <w:vMerge w:val="restart"/>
            <w:tcBorders>
              <w:top w:val="single" w:sz="6" w:space="0" w:color="000000"/>
              <w:left w:val="single" w:sz="6" w:space="0" w:color="000000"/>
              <w:right w:val="single" w:sz="6" w:space="0" w:color="000000"/>
            </w:tcBorders>
            <w:shd w:val="clear" w:color="auto" w:fill="F8FAFD"/>
            <w:tcMar>
              <w:top w:w="120" w:type="dxa"/>
              <w:left w:w="180" w:type="dxa"/>
              <w:bottom w:w="120" w:type="dxa"/>
              <w:right w:w="180" w:type="dxa"/>
            </w:tcMar>
            <w:vAlign w:val="center"/>
          </w:tcPr>
          <w:p w14:paraId="2AE380FE" w14:textId="77777777" w:rsidR="00C419D2" w:rsidRDefault="00C419D2" w:rsidP="00D176D1">
            <w:pPr>
              <w:jc w:val="center"/>
              <w:rPr>
                <w:rFonts w:cs="Times New Roman"/>
                <w:sz w:val="15"/>
                <w:szCs w:val="15"/>
              </w:rPr>
            </w:pPr>
            <w:r>
              <w:rPr>
                <w:rFonts w:cs="Times New Roman"/>
                <w:sz w:val="15"/>
                <w:szCs w:val="15"/>
              </w:rPr>
              <w:t>Urban subsurface characteristics</w:t>
            </w:r>
          </w:p>
        </w:tc>
        <w:tc>
          <w:tcPr>
            <w:tcW w:w="122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74D86BD5" w14:textId="77777777" w:rsidR="00C419D2" w:rsidRDefault="00C419D2" w:rsidP="00D176D1">
            <w:pPr>
              <w:jc w:val="center"/>
              <w:rPr>
                <w:rFonts w:cs="Times New Roman"/>
                <w:sz w:val="15"/>
                <w:szCs w:val="15"/>
              </w:rPr>
            </w:pPr>
            <w:r>
              <w:rPr>
                <w:rFonts w:cs="Times New Roman"/>
                <w:sz w:val="15"/>
                <w:szCs w:val="15"/>
              </w:rPr>
              <w:t>Normalized Vegetation Index (NDVI)</w:t>
            </w:r>
          </w:p>
          <w:p w14:paraId="2DADC93C" w14:textId="77777777" w:rsidR="00C419D2" w:rsidRDefault="00C419D2" w:rsidP="00D176D1">
            <w:pPr>
              <w:jc w:val="center"/>
              <w:rPr>
                <w:rFonts w:cs="Times New Roman"/>
                <w:sz w:val="15"/>
                <w:szCs w:val="15"/>
              </w:rPr>
            </w:pPr>
            <w:r>
              <w:rPr>
                <w:rFonts w:cs="Times New Roman"/>
                <w:sz w:val="15"/>
                <w:szCs w:val="15"/>
              </w:rPr>
              <w:t>Impervious Surface Percentage</w:t>
            </w:r>
          </w:p>
        </w:tc>
        <w:tc>
          <w:tcPr>
            <w:tcW w:w="1465"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7F0DCA33" w14:textId="77777777" w:rsidR="00C419D2" w:rsidRDefault="00C419D2" w:rsidP="00D176D1">
            <w:pPr>
              <w:jc w:val="center"/>
              <w:rPr>
                <w:rFonts w:cs="Times New Roman"/>
                <w:sz w:val="15"/>
                <w:szCs w:val="15"/>
              </w:rPr>
            </w:pPr>
            <w:r>
              <w:rPr>
                <w:rFonts w:cs="Times New Roman"/>
                <w:sz w:val="15"/>
                <w:szCs w:val="15"/>
              </w:rPr>
              <w:t>(NIR-Red)/(NIR+Red)</w:t>
            </w:r>
          </w:p>
        </w:tc>
        <w:tc>
          <w:tcPr>
            <w:tcW w:w="2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4F130AB3" w14:textId="77777777" w:rsidR="00C419D2" w:rsidRDefault="00C419D2" w:rsidP="00D176D1">
            <w:pPr>
              <w:jc w:val="center"/>
              <w:rPr>
                <w:rFonts w:cs="Times New Roman"/>
                <w:sz w:val="15"/>
                <w:szCs w:val="15"/>
              </w:rPr>
            </w:pPr>
            <w:r>
              <w:rPr>
                <w:rFonts w:cs="Times New Roman"/>
                <w:sz w:val="15"/>
                <w:szCs w:val="15"/>
              </w:rPr>
              <w:t>Reflects vegetation cover, which mitigates the heat island effect through transpiration and shading</w:t>
            </w:r>
            <w:bookmarkStart w:id="1" w:name="OLE_LINK68"/>
            <w:r>
              <w:rPr>
                <w:rFonts w:cs="Times New Roman"/>
                <w:sz w:val="15"/>
                <w:szCs w:val="15"/>
                <w:vertAlign w:val="superscript"/>
              </w:rPr>
              <w:fldChar w:fldCharType="begin"/>
            </w:r>
            <w:r>
              <w:rPr>
                <w:rFonts w:cs="Times New Roman"/>
                <w:sz w:val="15"/>
                <w:szCs w:val="15"/>
                <w:vertAlign w:val="superscript"/>
              </w:rPr>
              <w:instrText xml:space="preserve"> ADDIN ZOTERO_ITEM CSL_CITATION {"citationID":"wklyEAqV","properties":{"formattedCitation":"(Weng et al., 2004)","plainCitation":"(Weng et al., 2004)","noteIndex":0},"citationItems":[{"id":822,"uris":["http://zotero.org/users/14190624/items/ZR23EINF"],"itemData":{"id":822,"type":"article-journal","abstract":"Remote sensing of urban heat islands (UHIs) has traditionally used the Normalized Difference Vegetation Index (NDVI) as the indicator of vegetation abundance to estimate the land surface temperature (LST)–vegetation relationship. This study investigates the applicability of vegetation fraction derived from a spectral mixture model as an alternative indicator of vegetation abundance. This is based on examination of a Landsat Enhanced Thematic Mapper Plus (ETM+) image of Indianapolis City, IN, USA, acquired on June 22, 2002. The transformed ETM+ image was unmixed into three fraction images (green vegetation, dry soil, and shade) with a constrained least-square solution. These fraction images were then used for land cover classification based on a hybrid classification procedure that combined maximum likelihood and decision tree algorithms. Results demonstrate that LST possessed a slightly stronger negative correlation with the unmixed vegetation fraction than with NDVI for all land cover types across the spatial resolution (30 to 960 m). Correlations reached their strongest at the 120-m resolution, which is believed to be the operational scale of LST, NDVI, and vegetation fraction images. Fractal analysis of image texture shows that the complexity of these images increased initially with pixel aggregation and peaked around 120 m, but decreased with further aggregation. The spatial variability of texture in LST was positively correlated with those in NDVI and in vegetation fraction. The interplay between thermal and vegetation dynamics in the context of different land cover types leads to the variations in spectral radiance and texture in LST. These variations are also present in the other imagery, and are responsible for the spatial patterns of urban heat islands. It is suggested that the areal measure of vegetation abundance by unmixed vegetation fraction has a more direct correspondence with the radiative, thermal, and moisture properties of the Earth's surface that determine LST.","container-title":"Remote Sensing of Environment","DOI":"https://doi.org/10.1016/j.rse.2003.11.005","ISSN":"0034-4257","issue":"4","language":"en","page":"467-483","title":"Estimation of land surface temperature–vegetation abundance relationship for urban heat island studies","volume":"89","author":[{"family":"Weng","given":"Qihao"},{"family":"Lu","given":"Dengsheng"},{"family":"Schubring","given":"Jacquelyn"}],"issued":{"date-parts":[["2004"]]}}}],"schema":"https://github.com/citation-style-language/schema/raw/master/csl-citation.json"} </w:instrText>
            </w:r>
            <w:r>
              <w:rPr>
                <w:rFonts w:cs="Times New Roman"/>
                <w:sz w:val="15"/>
                <w:szCs w:val="15"/>
                <w:vertAlign w:val="superscript"/>
              </w:rPr>
              <w:fldChar w:fldCharType="separate"/>
            </w:r>
            <w:bookmarkEnd w:id="1"/>
            <w:r>
              <w:rPr>
                <w:rFonts w:cs="Times New Roman"/>
                <w:sz w:val="15"/>
              </w:rPr>
              <w:t>(Weng et al., 2004)</w:t>
            </w:r>
            <w:r>
              <w:rPr>
                <w:rFonts w:cs="Times New Roman"/>
                <w:sz w:val="15"/>
                <w:szCs w:val="15"/>
                <w:vertAlign w:val="superscript"/>
              </w:rPr>
              <w:fldChar w:fldCharType="end"/>
            </w:r>
            <w:r>
              <w:rPr>
                <w:rFonts w:cs="Times New Roman"/>
                <w:sz w:val="15"/>
                <w:szCs w:val="15"/>
              </w:rPr>
              <w:t xml:space="preserve"> .</w:t>
            </w:r>
          </w:p>
        </w:tc>
        <w:tc>
          <w:tcPr>
            <w:tcW w:w="12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288E5EC1" w14:textId="77777777" w:rsidR="00C419D2" w:rsidRDefault="00C419D2" w:rsidP="00D176D1">
            <w:pPr>
              <w:jc w:val="center"/>
              <w:rPr>
                <w:rFonts w:cs="Times New Roman"/>
                <w:sz w:val="15"/>
                <w:szCs w:val="15"/>
              </w:rPr>
            </w:pPr>
            <w:r>
              <w:rPr>
                <w:rFonts w:cs="Times New Roman"/>
                <w:sz w:val="15"/>
                <w:szCs w:val="15"/>
              </w:rPr>
              <w:t>NASA EOSDIS Land Processes Distributed Active Archive Center</w:t>
            </w:r>
            <w:r>
              <w:rPr>
                <w:rFonts w:cs="Times New Roman"/>
                <w:sz w:val="15"/>
                <w:szCs w:val="15"/>
              </w:rPr>
              <w:fldChar w:fldCharType="begin"/>
            </w:r>
            <w:r>
              <w:rPr>
                <w:rFonts w:cs="Times New Roman"/>
                <w:sz w:val="15"/>
                <w:szCs w:val="15"/>
              </w:rPr>
              <w:instrText xml:space="preserve"> ADDIN ZOTERO_ITEM CSL_CITATION {"citationID":"C0GXCRAR","properties":{"formattedCitation":"(Didan, 2015)","plainCitation":"(Didan, 2015)","noteIndex":0},"citationItems":[{"id":812,"uris":["http://zotero.org/users/14190624/items/8M8EGK9X"],"itemData":{"id":812,"type":"dataset","DOI":"10.5067/MODIS/MOD13A3.006","language":"en","publisher":"NASA Land Processes Distributed Active Archive Center","source":"DOI.org (Datacite)","title":"MOD13A3 MODIS/Terra Vegetation Indices Monthly L3 Global 1km SIN Grid V006","URL":"https://lpdaac.usgs.gov/products/mod13a3v006/","author":[{"family":"Didan","given":"Kamel"}],"accessed":{"date-parts":[["2025",6,21]]},"issued":{"date-parts":[["2015"]]}}}],"schema":"https://github.com/citation-style-language/schema/raw/master/csl-citation.json"} </w:instrText>
            </w:r>
            <w:r>
              <w:rPr>
                <w:rFonts w:cs="Times New Roman"/>
                <w:sz w:val="15"/>
                <w:szCs w:val="15"/>
              </w:rPr>
              <w:fldChar w:fldCharType="separate"/>
            </w:r>
            <w:r>
              <w:rPr>
                <w:rFonts w:cs="Times New Roman"/>
                <w:sz w:val="15"/>
              </w:rPr>
              <w:t>(Didan, 2015)</w:t>
            </w:r>
            <w:r>
              <w:rPr>
                <w:rFonts w:cs="Times New Roman"/>
                <w:sz w:val="15"/>
                <w:szCs w:val="15"/>
              </w:rPr>
              <w:fldChar w:fldCharType="end"/>
            </w:r>
          </w:p>
        </w:tc>
        <w:tc>
          <w:tcPr>
            <w:tcW w:w="1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78D5D0E6" w14:textId="77777777" w:rsidR="00C419D2" w:rsidRDefault="00C419D2" w:rsidP="00D176D1">
            <w:pPr>
              <w:jc w:val="center"/>
              <w:rPr>
                <w:rFonts w:cs="Times New Roman"/>
                <w:sz w:val="15"/>
                <w:szCs w:val="15"/>
              </w:rPr>
            </w:pPr>
            <w:r>
              <w:rPr>
                <w:rFonts w:cs="Times New Roman"/>
                <w:sz w:val="15"/>
                <w:szCs w:val="15"/>
              </w:rPr>
              <w:t>Month, 1km</w:t>
            </w:r>
          </w:p>
        </w:tc>
      </w:tr>
      <w:tr w:rsidR="00C419D2" w14:paraId="5B43C01D" w14:textId="77777777" w:rsidTr="00D176D1">
        <w:trPr>
          <w:jc w:val="center"/>
        </w:trPr>
        <w:tc>
          <w:tcPr>
            <w:tcW w:w="1390" w:type="dxa"/>
            <w:vMerge/>
            <w:tcBorders>
              <w:left w:val="single" w:sz="6" w:space="0" w:color="000000"/>
              <w:right w:val="single" w:sz="6" w:space="0" w:color="000000"/>
            </w:tcBorders>
            <w:shd w:val="clear" w:color="auto" w:fill="F8FAFD"/>
            <w:tcMar>
              <w:top w:w="120" w:type="dxa"/>
              <w:left w:w="180" w:type="dxa"/>
              <w:bottom w:w="120" w:type="dxa"/>
              <w:right w:w="180" w:type="dxa"/>
            </w:tcMar>
            <w:vAlign w:val="center"/>
          </w:tcPr>
          <w:p w14:paraId="72BEA0FF" w14:textId="77777777" w:rsidR="00C419D2" w:rsidRDefault="00C419D2" w:rsidP="00D176D1">
            <w:pPr>
              <w:jc w:val="center"/>
              <w:rPr>
                <w:rFonts w:cs="Times New Roman"/>
                <w:sz w:val="15"/>
                <w:szCs w:val="15"/>
              </w:rPr>
            </w:pPr>
          </w:p>
        </w:tc>
        <w:tc>
          <w:tcPr>
            <w:tcW w:w="122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16333E0A" w14:textId="77777777" w:rsidR="00C419D2" w:rsidRDefault="00C419D2" w:rsidP="00D176D1">
            <w:pPr>
              <w:jc w:val="center"/>
              <w:rPr>
                <w:rFonts w:cs="Times New Roman"/>
                <w:sz w:val="15"/>
                <w:szCs w:val="15"/>
              </w:rPr>
            </w:pPr>
            <w:r>
              <w:rPr>
                <w:rFonts w:cs="Times New Roman"/>
                <w:sz w:val="15"/>
                <w:szCs w:val="15"/>
              </w:rPr>
              <w:t>Digital Elevation Model (DEM)</w:t>
            </w:r>
          </w:p>
          <w:p w14:paraId="46DFD296" w14:textId="77777777" w:rsidR="00C419D2" w:rsidRDefault="00C419D2" w:rsidP="00D176D1">
            <w:pPr>
              <w:jc w:val="center"/>
              <w:rPr>
                <w:rFonts w:cs="Times New Roman"/>
                <w:sz w:val="15"/>
                <w:szCs w:val="15"/>
              </w:rPr>
            </w:pPr>
            <w:r>
              <w:rPr>
                <w:rFonts w:cs="Times New Roman"/>
                <w:sz w:val="15"/>
                <w:szCs w:val="15"/>
              </w:rPr>
              <w:t>Impervious Surface Percentage</w:t>
            </w:r>
          </w:p>
        </w:tc>
        <w:tc>
          <w:tcPr>
            <w:tcW w:w="1465"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139E8CE0" w14:textId="77777777" w:rsidR="00C419D2" w:rsidRDefault="00C419D2" w:rsidP="00D176D1">
            <w:pPr>
              <w:jc w:val="center"/>
              <w:rPr>
                <w:rFonts w:cs="Times New Roman"/>
                <w:sz w:val="15"/>
                <w:szCs w:val="15"/>
              </w:rPr>
            </w:pPr>
            <w:r>
              <w:rPr>
                <w:rFonts w:cs="Times New Roman"/>
                <w:sz w:val="15"/>
                <w:szCs w:val="15"/>
              </w:rPr>
              <w:t>Elevation (</w:t>
            </w:r>
            <m:oMath>
              <m:r>
                <w:rPr>
                  <w:rFonts w:ascii="Cambria Math" w:hAnsi="Cambria Math" w:cs="Times New Roman"/>
                  <w:sz w:val="15"/>
                  <w:szCs w:val="15"/>
                </w:rPr>
                <m:t>m</m:t>
              </m:r>
            </m:oMath>
            <w:r>
              <w:rPr>
                <w:rFonts w:cs="Times New Roman"/>
                <w:sz w:val="15"/>
                <w:szCs w:val="15"/>
              </w:rPr>
              <w:t>)</w:t>
            </w:r>
          </w:p>
        </w:tc>
        <w:tc>
          <w:tcPr>
            <w:tcW w:w="2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448F32AF" w14:textId="77777777" w:rsidR="00C419D2" w:rsidRDefault="00C419D2" w:rsidP="00D176D1">
            <w:pPr>
              <w:jc w:val="center"/>
              <w:rPr>
                <w:rFonts w:cs="Times New Roman"/>
                <w:sz w:val="15"/>
                <w:szCs w:val="15"/>
              </w:rPr>
            </w:pPr>
            <w:r>
              <w:rPr>
                <w:rFonts w:cs="Times New Roman"/>
                <w:sz w:val="15"/>
                <w:szCs w:val="15"/>
              </w:rPr>
              <w:t>Characterizes topography and influences solar radiation reception and local ventilation</w:t>
            </w:r>
            <w:r>
              <w:rPr>
                <w:rFonts w:cs="Times New Roman"/>
                <w:sz w:val="18"/>
                <w:szCs w:val="20"/>
              </w:rPr>
              <w:fldChar w:fldCharType="begin"/>
            </w:r>
            <w:r>
              <w:rPr>
                <w:rFonts w:cs="Times New Roman"/>
                <w:sz w:val="18"/>
                <w:szCs w:val="20"/>
              </w:rPr>
              <w:instrText xml:space="preserve"> ADDIN ZOTERO_ITEM CSL_CITATION {"citationID":"5fFbeC8T","properties":{"formattedCitation":"(Guo et al., 2020)","plainCitation":"(Guo et al., 2020)","noteIndex":0},"citationItems":[{"id":823,"uris":["http://zotero.org/users/14190624/items/WINP3X7I"],"itemData":{"id":823,"type":"article-journal","abstract":"Owing to increasing population densities and impervious surface areas, heat island effects increasingly dominate urban environments and hinder sustainable development. The urban spatial form plays an important role in mitigating urban heat islands. Taking Ganjingzi District, Dalian, as an example, this study considered urban spatial form at the community scale using spatial autocorrelation and spatial regression methods to explore 2003–2018 spatial and temporal differentiation characteristics and driving factors of Land Surface Temperature (LST). The LST of each community showed a gradually increasing trend; high values (&gt;30°C) were concentrated in central and eastern areas; low values were (&lt;25°C) was concentrated in the south and west. LSTs were influenced by spatial variables (e.g., land use); however, building form was only weakly related to LST. The global autocorrelation Moran’s I value for LST exceeded 0.7, indicating strong positive correlation in terms of spatial distribution. H-H and L-L LISA values were distributed in central and southern areas, respectively. The spatial error model (SEM) was a better fit than the spatial lag (SLM) or ordinary least squares models (OLS) and was used to explore these relationships. This study focuses on community surface temperature and hopes to provide a valuable reference for community planning, resource allocation and sustainable development.","container-title":"Sustainable Cities and Society","DOI":"10.1016/j.scs.2019.101972","ISSN":"2210-6707","journalAbbreviation":"Sustainable Cities and Society","language":"en","page":"101972","title":"Influences of urban spatial form on urban heat island effects at the community level in China","volume":"53","author":[{"family":"Guo","given":"Andong"},{"family":"Yang","given":"Jun"},{"family":"Xiao","given":"Xiangming"},{"family":"Xia (Cecilia)","given":"Jianhong"},{"family":"Jin","given":"Cui"},{"family":"Li","given":"Xueming"}],"issued":{"date-parts":[["2020",2,1]]}}}],"schema":"https://github.com/citation-style-language/schema/raw/master/csl-citation.json"} </w:instrText>
            </w:r>
            <w:r>
              <w:rPr>
                <w:rFonts w:cs="Times New Roman"/>
                <w:sz w:val="18"/>
                <w:szCs w:val="20"/>
              </w:rPr>
              <w:fldChar w:fldCharType="separate"/>
            </w:r>
            <w:r>
              <w:rPr>
                <w:rFonts w:cs="Times New Roman"/>
                <w:sz w:val="18"/>
              </w:rPr>
              <w:t>(Guo et al., 2020)</w:t>
            </w:r>
            <w:r>
              <w:rPr>
                <w:rFonts w:cs="Times New Roman"/>
                <w:sz w:val="18"/>
                <w:szCs w:val="20"/>
              </w:rPr>
              <w:fldChar w:fldCharType="end"/>
            </w:r>
            <w:r>
              <w:rPr>
                <w:rFonts w:cs="Times New Roman"/>
                <w:sz w:val="15"/>
                <w:szCs w:val="15"/>
              </w:rPr>
              <w:t>.</w:t>
            </w:r>
          </w:p>
        </w:tc>
        <w:tc>
          <w:tcPr>
            <w:tcW w:w="12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44983E16" w14:textId="77777777" w:rsidR="00C419D2" w:rsidRDefault="00C419D2" w:rsidP="00D176D1">
            <w:pPr>
              <w:jc w:val="center"/>
              <w:rPr>
                <w:rFonts w:cs="Times New Roman"/>
                <w:sz w:val="15"/>
                <w:szCs w:val="15"/>
              </w:rPr>
            </w:pPr>
            <w:r>
              <w:rPr>
                <w:rFonts w:cs="Times New Roman"/>
                <w:sz w:val="15"/>
                <w:szCs w:val="15"/>
              </w:rPr>
              <w:t>National Cryosphere Desert Data Center</w:t>
            </w:r>
            <w:r>
              <w:rPr>
                <w:rFonts w:cs="Times New Roman"/>
                <w:sz w:val="15"/>
                <w:szCs w:val="15"/>
              </w:rPr>
              <w:fldChar w:fldCharType="begin"/>
            </w:r>
            <w:r>
              <w:rPr>
                <w:rFonts w:cs="Times New Roman"/>
                <w:sz w:val="15"/>
                <w:szCs w:val="15"/>
              </w:rPr>
              <w:instrText xml:space="preserve"> ADDIN ZOTERO_ITEM CSL_CITATION {"citationID":"UsO7FPK7","properties":{"formattedCitation":"(jianfang)","plainCitation":"(jianfang)","noteIndex":0},"citationItems":[{"id":905,"uris":["http://zotero.org/users/14190624/items/3BIBDS5S"],"itemData":{"id":905,"type":"book","abstract":"DEM (digital elevation model) is the abbreviation of digital elevation model, which is an important original data for watershed terrain and feature recognition. The principle of DEM is to divide the watershed into M rows and N columns of quadrilateral (cell), calculate the average elevation of each quadrilateral, and then store the elevation in a two-dimensional matrix. Because DEM data can reflect the local terrain features of a certain resolution, a large number of surface morphology information can be extracted by DEM, which includes the slope, slope direction and the relationship between cells. At the same time, the surface water flow path, river network and watershed boundary can be determined by certain algorithm. Therefore, to extract basin features from DEM, a good basin structure model is the premise and key of the design algorithm. Data include:1: 1km basic DEMData from 1:250000 contours and elevation points in China, including DEM, mountain shadow, slope and aspect map</w:instrText>
            </w:r>
            <w:r>
              <w:rPr>
                <w:rFonts w:cs="Times New Roman" w:hint="eastAsia"/>
                <w:sz w:val="15"/>
                <w:szCs w:val="15"/>
              </w:rPr>
              <w:instrText>2</w:instrText>
            </w:r>
            <w:r>
              <w:rPr>
                <w:rFonts w:cs="Times New Roman" w:hint="eastAsia"/>
                <w:sz w:val="15"/>
                <w:szCs w:val="15"/>
              </w:rPr>
              <w:instrText>、</w:instrText>
            </w:r>
            <w:r>
              <w:rPr>
                <w:rFonts w:cs="Times New Roman" w:hint="eastAsia"/>
                <w:sz w:val="15"/>
                <w:szCs w:val="15"/>
              </w:rPr>
              <w:instrText>SRTM 1km DEMSRTM data cut from 1km around the world, including DEM, mountain shadow, slope and aspect map3</w:instrText>
            </w:r>
            <w:r>
              <w:rPr>
                <w:rFonts w:cs="Times New Roman" w:hint="eastAsia"/>
                <w:sz w:val="15"/>
                <w:szCs w:val="15"/>
              </w:rPr>
              <w:instrText>、</w:instrText>
            </w:r>
            <w:r>
              <w:rPr>
                <w:rFonts w:cs="Times New Roman" w:hint="eastAsia"/>
                <w:sz w:val="15"/>
                <w:szCs w:val="15"/>
              </w:rPr>
              <w:instrText>Aster GDEMSplicing, cutting and resampling to 1km according to 30m aster GDEMThe file format is: geotifDataset projection:Projection = Albers Coni</w:instrText>
            </w:r>
            <w:r>
              <w:rPr>
                <w:rFonts w:cs="Times New Roman"/>
                <w:sz w:val="15"/>
                <w:szCs w:val="15"/>
              </w:rPr>
              <w:instrText xml:space="preserve">cal Equal Area\",GEOGCS[\"Krasovsky\",DATUM[\"Krasovsky\", SPHEROID[\"Krasovsky\",6378245,298.3000003760163]],PRIMEM[\"Greenwich\",0],UNIT[\"degree\",0.0174532925199433]],PROJECTION[\"Albers_Conic_Equal_Area\"],PARAMETER[\"standard_parallel_1\",25],PARAMETER[\"standard_parallel_2\",47],PARAMETER[\"latitude_of_center\",0],PARAMETER[\"longitude_of_center\",105],PARAMETER[\"false_easting\",0],PARAMETER[\"false_northing\",0],UNIT[\"metre\",1,]","archive_location":"NCDC","language":"en","note":"container-title: National Cryosphere Desert Data Center\ntype: 10.12072/ncdc.westdc.db3745.2023","publisher":"National Cryosphere Desert Data Center(www.ncdc.ac.cn)","title":"Data set of 1 km resolution DEM in China","URL":"http://www.ncdc.ac.cn/portal/metadata/ba0e4b6b-8fef-4eec-9c84-81646f266282","author":[{"family":"jianfang","given":"Kang"}]}}],"schema":"https://github.com/citation-style-language/schema/raw/master/csl-citation.json"} </w:instrText>
            </w:r>
            <w:r>
              <w:rPr>
                <w:rFonts w:cs="Times New Roman"/>
                <w:sz w:val="15"/>
                <w:szCs w:val="15"/>
              </w:rPr>
              <w:fldChar w:fldCharType="separate"/>
            </w:r>
            <w:r>
              <w:rPr>
                <w:rFonts w:cs="Times New Roman"/>
                <w:sz w:val="15"/>
              </w:rPr>
              <w:t>(jianfang)</w:t>
            </w:r>
            <w:r>
              <w:rPr>
                <w:rFonts w:cs="Times New Roman"/>
                <w:sz w:val="15"/>
                <w:szCs w:val="15"/>
              </w:rPr>
              <w:fldChar w:fldCharType="end"/>
            </w:r>
          </w:p>
        </w:tc>
        <w:tc>
          <w:tcPr>
            <w:tcW w:w="1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1F92BC05" w14:textId="77777777" w:rsidR="00C419D2" w:rsidRDefault="00C419D2" w:rsidP="00D176D1">
            <w:pPr>
              <w:jc w:val="center"/>
              <w:rPr>
                <w:rFonts w:cs="Times New Roman"/>
                <w:sz w:val="15"/>
                <w:szCs w:val="15"/>
              </w:rPr>
            </w:pPr>
            <w:bookmarkStart w:id="2" w:name="OLE_LINK61"/>
            <w:r>
              <w:rPr>
                <w:rFonts w:cs="Times New Roman"/>
                <w:sz w:val="15"/>
                <w:szCs w:val="15"/>
              </w:rPr>
              <w:t>-, 1km</w:t>
            </w:r>
            <w:bookmarkEnd w:id="2"/>
          </w:p>
        </w:tc>
      </w:tr>
      <w:tr w:rsidR="00C419D2" w14:paraId="23FFC1EB" w14:textId="77777777" w:rsidTr="00D176D1">
        <w:trPr>
          <w:jc w:val="center"/>
        </w:trPr>
        <w:tc>
          <w:tcPr>
            <w:tcW w:w="1390" w:type="dxa"/>
            <w:vMerge/>
            <w:tcBorders>
              <w:left w:val="single" w:sz="6" w:space="0" w:color="000000"/>
              <w:right w:val="single" w:sz="6" w:space="0" w:color="000000"/>
            </w:tcBorders>
            <w:shd w:val="clear" w:color="auto" w:fill="F8FAFD"/>
            <w:tcMar>
              <w:top w:w="120" w:type="dxa"/>
              <w:left w:w="180" w:type="dxa"/>
              <w:bottom w:w="120" w:type="dxa"/>
              <w:right w:w="180" w:type="dxa"/>
            </w:tcMar>
            <w:vAlign w:val="center"/>
          </w:tcPr>
          <w:p w14:paraId="512E107F" w14:textId="77777777" w:rsidR="00C419D2" w:rsidRDefault="00C419D2" w:rsidP="00D176D1">
            <w:pPr>
              <w:jc w:val="center"/>
              <w:rPr>
                <w:rFonts w:cs="Times New Roman"/>
                <w:sz w:val="15"/>
                <w:szCs w:val="15"/>
              </w:rPr>
            </w:pPr>
          </w:p>
        </w:tc>
        <w:tc>
          <w:tcPr>
            <w:tcW w:w="122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6F3BAA8E" w14:textId="77777777" w:rsidR="00C419D2" w:rsidRDefault="00C419D2" w:rsidP="00D176D1">
            <w:pPr>
              <w:jc w:val="center"/>
              <w:rPr>
                <w:rFonts w:cs="Times New Roman"/>
                <w:sz w:val="15"/>
                <w:szCs w:val="15"/>
              </w:rPr>
            </w:pPr>
            <w:r>
              <w:rPr>
                <w:rFonts w:cs="Times New Roman"/>
                <w:sz w:val="15"/>
                <w:szCs w:val="15"/>
              </w:rPr>
              <w:t>Impervious Surface Percentage (ISP)</w:t>
            </w:r>
          </w:p>
        </w:tc>
        <w:tc>
          <w:tcPr>
            <w:tcW w:w="1465"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5F0B024B" w14:textId="77777777" w:rsidR="00C419D2" w:rsidRDefault="00C419D2" w:rsidP="00D176D1">
            <w:pPr>
              <w:jc w:val="center"/>
              <w:rPr>
                <w:rFonts w:cs="Times New Roman"/>
                <w:sz w:val="15"/>
                <w:szCs w:val="15"/>
              </w:rPr>
            </w:pPr>
            <w:r>
              <w:rPr>
                <w:rFonts w:cs="Times New Roman"/>
                <w:sz w:val="15"/>
                <w:szCs w:val="15"/>
              </w:rPr>
              <w:t>Percentage of impervious surface per unit area (%)</w:t>
            </w:r>
          </w:p>
        </w:tc>
        <w:tc>
          <w:tcPr>
            <w:tcW w:w="2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4463E910" w14:textId="77777777" w:rsidR="00C419D2" w:rsidRDefault="00C419D2" w:rsidP="00D176D1">
            <w:pPr>
              <w:jc w:val="center"/>
              <w:rPr>
                <w:rFonts w:cs="Times New Roman"/>
                <w:sz w:val="15"/>
                <w:szCs w:val="15"/>
              </w:rPr>
            </w:pPr>
            <w:r>
              <w:rPr>
                <w:rFonts w:cs="Times New Roman"/>
                <w:sz w:val="15"/>
                <w:szCs w:val="15"/>
              </w:rPr>
              <w:t>High heat capacity low albedo, a key factor in urban heat island effect</w:t>
            </w:r>
            <w:bookmarkStart w:id="3" w:name="OLE_LINK70"/>
            <w:r>
              <w:rPr>
                <w:rFonts w:cs="Times New Roman"/>
                <w:sz w:val="18"/>
                <w:szCs w:val="20"/>
              </w:rPr>
              <w:fldChar w:fldCharType="begin"/>
            </w:r>
            <w:r>
              <w:rPr>
                <w:rFonts w:cs="Times New Roman"/>
                <w:sz w:val="18"/>
                <w:szCs w:val="20"/>
              </w:rPr>
              <w:instrText xml:space="preserve"> ADDIN ZOTERO_ITEM CSL_CITATION {"citationID":"sxl25ACe","properties":{"formattedCitation":"(Zhang et al., 2012)","plainCitation":"(Zhang et al., 2012)","noteIndex":0},"citationItems":[{"id":824,"uris":["http://zotero.org/users/14190624/items/F4LGTVUI"],"itemData":{"id":824,"type":"article-journal","container-title":"Canadian Journal of Remote Sensing","DOI":"10.5589/m12-036","issue":"4","language":"en","note":"publisher: Canadian Aeronautics and Space Institute\n_eprint: https://www.tandfonline.com/doi/pdf/10.5589/m12-036","page":"441–451","title":"Exploring the influence of impervious surface density and shape on urban heat islands in the northeast United States using MODIS and Landsat","volume":"38","author":[{"family":"Zhang","given":"Ping"},{"family":"Imhoff","given":"Marc L."},{"family":"Bounoua","given":"Lahouari"},{"family":"and","given":"Robert E. Wolfe"}],"issued":{"date-parts":[["2012"]]}}}],"schema":"https://github.com/citation-style-language/schema/raw/master/csl-citation.json"} </w:instrText>
            </w:r>
            <w:r>
              <w:rPr>
                <w:rFonts w:cs="Times New Roman"/>
                <w:sz w:val="18"/>
                <w:szCs w:val="20"/>
              </w:rPr>
              <w:fldChar w:fldCharType="separate"/>
            </w:r>
            <w:r>
              <w:rPr>
                <w:rFonts w:cs="Times New Roman"/>
                <w:sz w:val="18"/>
              </w:rPr>
              <w:t>(Zhang et al., 2012)</w:t>
            </w:r>
            <w:r>
              <w:rPr>
                <w:rFonts w:cs="Times New Roman"/>
                <w:sz w:val="18"/>
                <w:szCs w:val="20"/>
              </w:rPr>
              <w:fldChar w:fldCharType="end"/>
            </w:r>
            <w:bookmarkEnd w:id="3"/>
            <w:r>
              <w:rPr>
                <w:rFonts w:cs="Times New Roman"/>
                <w:sz w:val="15"/>
                <w:szCs w:val="15"/>
              </w:rPr>
              <w:t>.</w:t>
            </w:r>
          </w:p>
        </w:tc>
        <w:tc>
          <w:tcPr>
            <w:tcW w:w="12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47F0E148" w14:textId="77777777" w:rsidR="00C419D2" w:rsidRDefault="00C419D2" w:rsidP="00D176D1">
            <w:pPr>
              <w:jc w:val="center"/>
              <w:rPr>
                <w:rFonts w:cs="Times New Roman"/>
                <w:sz w:val="15"/>
                <w:szCs w:val="15"/>
              </w:rPr>
            </w:pPr>
            <w:r>
              <w:rPr>
                <w:rFonts w:cs="Times New Roman"/>
                <w:sz w:val="15"/>
                <w:szCs w:val="15"/>
              </w:rPr>
              <w:t>Based on land use, calculated using Fragstats v4.2</w:t>
            </w:r>
          </w:p>
        </w:tc>
        <w:tc>
          <w:tcPr>
            <w:tcW w:w="1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7EFF5228" w14:textId="77777777" w:rsidR="00C419D2" w:rsidRDefault="00C419D2" w:rsidP="00D176D1">
            <w:pPr>
              <w:jc w:val="center"/>
              <w:rPr>
                <w:rFonts w:cs="Times New Roman"/>
                <w:sz w:val="15"/>
                <w:szCs w:val="15"/>
              </w:rPr>
            </w:pPr>
            <w:r>
              <w:rPr>
                <w:rFonts w:cs="Times New Roman"/>
                <w:sz w:val="15"/>
                <w:szCs w:val="15"/>
              </w:rPr>
              <w:t>Year, 1km</w:t>
            </w:r>
          </w:p>
        </w:tc>
      </w:tr>
      <w:tr w:rsidR="00C419D2" w14:paraId="084B30FB" w14:textId="77777777" w:rsidTr="00D176D1">
        <w:trPr>
          <w:jc w:val="center"/>
        </w:trPr>
        <w:tc>
          <w:tcPr>
            <w:tcW w:w="1390" w:type="dxa"/>
            <w:vMerge/>
            <w:tcBorders>
              <w:left w:val="single" w:sz="6" w:space="0" w:color="000000"/>
              <w:right w:val="single" w:sz="6" w:space="0" w:color="000000"/>
            </w:tcBorders>
            <w:shd w:val="clear" w:color="auto" w:fill="F8FAFD"/>
            <w:tcMar>
              <w:top w:w="120" w:type="dxa"/>
              <w:left w:w="180" w:type="dxa"/>
              <w:bottom w:w="120" w:type="dxa"/>
              <w:right w:w="180" w:type="dxa"/>
            </w:tcMar>
            <w:vAlign w:val="center"/>
          </w:tcPr>
          <w:p w14:paraId="25BF11BD" w14:textId="77777777" w:rsidR="00C419D2" w:rsidRDefault="00C419D2" w:rsidP="00D176D1">
            <w:pPr>
              <w:jc w:val="center"/>
              <w:rPr>
                <w:rFonts w:cs="Times New Roman"/>
                <w:sz w:val="15"/>
                <w:szCs w:val="15"/>
              </w:rPr>
            </w:pPr>
          </w:p>
        </w:tc>
        <w:tc>
          <w:tcPr>
            <w:tcW w:w="122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2E18506F" w14:textId="77777777" w:rsidR="00C419D2" w:rsidRDefault="00C419D2" w:rsidP="00D176D1">
            <w:pPr>
              <w:jc w:val="center"/>
              <w:rPr>
                <w:rFonts w:cs="Times New Roman"/>
                <w:sz w:val="15"/>
                <w:szCs w:val="15"/>
              </w:rPr>
            </w:pPr>
            <w:r>
              <w:rPr>
                <w:rFonts w:cs="Times New Roman"/>
                <w:sz w:val="15"/>
                <w:szCs w:val="15"/>
              </w:rPr>
              <w:t>Urban Blue-green Spatial Pattern (PLAND, PD, LSI)</w:t>
            </w:r>
          </w:p>
        </w:tc>
        <w:tc>
          <w:tcPr>
            <w:tcW w:w="1465"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75D284D1" w14:textId="77777777" w:rsidR="00C419D2" w:rsidRDefault="00C419D2" w:rsidP="00D176D1">
            <w:pPr>
              <w:jc w:val="center"/>
              <w:rPr>
                <w:rFonts w:cs="Times New Roman"/>
                <w:sz w:val="15"/>
                <w:szCs w:val="15"/>
              </w:rPr>
            </w:pPr>
            <w:r>
              <w:rPr>
                <w:rFonts w:cs="Times New Roman"/>
                <w:sz w:val="15"/>
                <w:szCs w:val="15"/>
              </w:rPr>
              <w:t>Patch percentage of landscape area, patch density, landscape shape index</w:t>
            </w:r>
          </w:p>
        </w:tc>
        <w:tc>
          <w:tcPr>
            <w:tcW w:w="2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283E459B" w14:textId="77777777" w:rsidR="00C419D2" w:rsidRDefault="00C419D2" w:rsidP="00D176D1">
            <w:pPr>
              <w:jc w:val="center"/>
              <w:rPr>
                <w:rFonts w:cs="Times New Roman"/>
                <w:sz w:val="15"/>
                <w:szCs w:val="15"/>
              </w:rPr>
            </w:pPr>
            <w:r>
              <w:rPr>
                <w:rFonts w:cs="Times New Roman"/>
                <w:sz w:val="15"/>
                <w:szCs w:val="15"/>
              </w:rPr>
              <w:t>Quantifying blue-green spatial area, fragmentation, and shape that influence ecological cooling benefits</w:t>
            </w:r>
            <w:r>
              <w:rPr>
                <w:rFonts w:cs="Times New Roman"/>
                <w:sz w:val="18"/>
                <w:szCs w:val="20"/>
              </w:rPr>
              <w:fldChar w:fldCharType="begin"/>
            </w:r>
            <w:r>
              <w:rPr>
                <w:rFonts w:cs="Times New Roman"/>
                <w:sz w:val="18"/>
                <w:szCs w:val="20"/>
              </w:rPr>
              <w:instrText xml:space="preserve"> ADDIN ZOTERO_ITEM CSL_CITATION {"citationID":"jA7p0EIK","properties":{"formattedCitation":"(Yang et al., 2024)","plainCitation":"(Yang et al., 2024)","noteIndex":0},"citationItems":[{"id":817,"uris":["http://zotero.org/users/14190624/items/P8U2L2RP"],"itemData":{"id":817,"type":"article-journal","abstract":"Globally, the deteriorating Urban Heat Island (UHI) effect poses a significant threat to human health and undermines ecosystem stability. UHI mitigation strategies have been investigated and utilized extensively within cities by the provision of green, blue or gray infrastructures. However, urban land is precious and limited for these interventions, making it challenging to address this issue. Neighboring rural land cover may serve as a cooling source and have a great potential to mitigate UHI through processes such as heat absorption and circulation. This study aims to address the following questions: (1) what is the location of neighboring rural land cover to effectively mitigate UHI for the entire city and (2) what are the key parameters of the landscape. We investigated the quantitative and qualitative relationships between rural land cover and UHI, drawing on geographical and environmental data from 30 Chinese cities between 2000 and 2020. We found that the rural land cover extending outward from the urban boundary, approximately half of the equivalent diameter of city, had the most pronounced impact on UHI mitigation. The number and adjacency of landscape patches (a patch is a homogeneous and nonlinear basic unit of a landscape pattern, distinct from its surroundings) emerged as two key factors in mitigating UHI, with their individual potential to reduce UHI by up to 0.5 °C. The proposed recommendations were to avoid fragmentation and enhance shape complexity and distribution uniformity of patches. This work opens new avenues for addressing high-temperature urban catastrophes from a rural perspective, which may also promote coordinated development between urban and rural areas.","container-title":"Nature Cities","DOI":"10.1038/s44284-024-00091-z","ISSN":"2731-9997","issue":"8","journalAbbreviation":"Nature Cities","language":"en","page":"522-532","title":"Mitigating urban heat island through neighboring rural land cover","volume":"1","author":[{"family":"Yang","given":"Miao"},{"family":"Ren","given":"Chen"},{"family":"Wang","given":"Haorui"},{"family":"Wang","given":"Junqi"},{"family":"Feng","given":"Zhuangbo"},{"family":"Kumar","given":"Prashant"},{"family":"Haghighat","given":"Fariborz"},{"family":"Cao","given":"Shi-Jie"}],"issued":{"date-parts":[["2024",8,1]]}}}],"schema":"https://github.com/citation-style-language/schema/raw/master/csl-citation.json"} </w:instrText>
            </w:r>
            <w:r>
              <w:rPr>
                <w:rFonts w:cs="Times New Roman"/>
                <w:sz w:val="18"/>
                <w:szCs w:val="20"/>
              </w:rPr>
              <w:fldChar w:fldCharType="separate"/>
            </w:r>
            <w:r>
              <w:rPr>
                <w:rFonts w:cs="Times New Roman"/>
                <w:sz w:val="18"/>
              </w:rPr>
              <w:t>(Yang et al., 2024)</w:t>
            </w:r>
            <w:r>
              <w:rPr>
                <w:rFonts w:cs="Times New Roman"/>
                <w:sz w:val="18"/>
                <w:szCs w:val="20"/>
              </w:rPr>
              <w:fldChar w:fldCharType="end"/>
            </w:r>
            <w:r>
              <w:rPr>
                <w:rFonts w:cs="Times New Roman"/>
                <w:sz w:val="15"/>
                <w:szCs w:val="15"/>
              </w:rPr>
              <w:t xml:space="preserve"> .</w:t>
            </w:r>
          </w:p>
        </w:tc>
        <w:tc>
          <w:tcPr>
            <w:tcW w:w="12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78011290" w14:textId="77777777" w:rsidR="00C419D2" w:rsidRDefault="00C419D2" w:rsidP="00D176D1">
            <w:pPr>
              <w:jc w:val="center"/>
              <w:rPr>
                <w:rFonts w:cs="Times New Roman"/>
                <w:sz w:val="15"/>
                <w:szCs w:val="15"/>
              </w:rPr>
            </w:pPr>
            <w:bookmarkStart w:id="4" w:name="OLE_LINK8"/>
            <w:r>
              <w:rPr>
                <w:rFonts w:cs="Times New Roman"/>
                <w:sz w:val="15"/>
                <w:szCs w:val="15"/>
              </w:rPr>
              <w:t>Based on land use, calculated using Fragstats v4.2</w:t>
            </w:r>
            <w:bookmarkEnd w:id="4"/>
          </w:p>
        </w:tc>
        <w:tc>
          <w:tcPr>
            <w:tcW w:w="1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5C32148C" w14:textId="77777777" w:rsidR="00C419D2" w:rsidRDefault="00C419D2" w:rsidP="00D176D1">
            <w:pPr>
              <w:jc w:val="center"/>
              <w:rPr>
                <w:rFonts w:cs="Times New Roman"/>
                <w:sz w:val="15"/>
                <w:szCs w:val="15"/>
              </w:rPr>
            </w:pPr>
            <w:r>
              <w:rPr>
                <w:rFonts w:cs="Times New Roman"/>
                <w:sz w:val="15"/>
                <w:szCs w:val="15"/>
              </w:rPr>
              <w:t>Year, 1km</w:t>
            </w:r>
          </w:p>
        </w:tc>
      </w:tr>
      <w:tr w:rsidR="00C419D2" w14:paraId="390F4C2D" w14:textId="77777777" w:rsidTr="00D176D1">
        <w:trPr>
          <w:jc w:val="center"/>
        </w:trPr>
        <w:tc>
          <w:tcPr>
            <w:tcW w:w="1390" w:type="dxa"/>
            <w:vMerge/>
            <w:tcBorders>
              <w:left w:val="single" w:sz="6" w:space="0" w:color="000000"/>
              <w:right w:val="single" w:sz="6" w:space="0" w:color="000000"/>
            </w:tcBorders>
            <w:shd w:val="clear" w:color="auto" w:fill="F8FAFD"/>
            <w:tcMar>
              <w:top w:w="120" w:type="dxa"/>
              <w:left w:w="180" w:type="dxa"/>
              <w:bottom w:w="120" w:type="dxa"/>
              <w:right w:w="180" w:type="dxa"/>
            </w:tcMar>
            <w:vAlign w:val="center"/>
          </w:tcPr>
          <w:p w14:paraId="47A2B2CC" w14:textId="77777777" w:rsidR="00C419D2" w:rsidRDefault="00C419D2" w:rsidP="00D176D1">
            <w:pPr>
              <w:jc w:val="center"/>
              <w:rPr>
                <w:rFonts w:cs="Times New Roman"/>
                <w:sz w:val="15"/>
                <w:szCs w:val="15"/>
              </w:rPr>
            </w:pPr>
          </w:p>
        </w:tc>
        <w:tc>
          <w:tcPr>
            <w:tcW w:w="122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47B21CFE" w14:textId="77777777" w:rsidR="00C419D2" w:rsidRDefault="00C419D2" w:rsidP="00D176D1">
            <w:pPr>
              <w:jc w:val="center"/>
              <w:rPr>
                <w:rFonts w:cs="Times New Roman"/>
                <w:sz w:val="15"/>
                <w:szCs w:val="15"/>
              </w:rPr>
            </w:pPr>
            <w:r>
              <w:rPr>
                <w:rFonts w:cs="Times New Roman"/>
                <w:sz w:val="15"/>
                <w:szCs w:val="15"/>
              </w:rPr>
              <w:t xml:space="preserve">Aerosol Optical Depth (AOD) </w:t>
            </w:r>
          </w:p>
        </w:tc>
        <w:tc>
          <w:tcPr>
            <w:tcW w:w="1465"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170F10CC" w14:textId="77777777" w:rsidR="00C419D2" w:rsidRDefault="00C419D2" w:rsidP="00D176D1">
            <w:pPr>
              <w:jc w:val="center"/>
              <w:rPr>
                <w:rFonts w:cs="Times New Roman"/>
                <w:sz w:val="15"/>
                <w:szCs w:val="15"/>
              </w:rPr>
            </w:pPr>
            <w:r>
              <w:rPr>
                <w:rFonts w:cs="Times New Roman"/>
                <w:sz w:val="15"/>
                <w:szCs w:val="15"/>
              </w:rPr>
              <w:t>Integration of aerosol extinction coefficients in the atmospheric column</w:t>
            </w:r>
          </w:p>
        </w:tc>
        <w:tc>
          <w:tcPr>
            <w:tcW w:w="2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38041164" w14:textId="77777777" w:rsidR="00C419D2" w:rsidRDefault="00C419D2" w:rsidP="00D176D1">
            <w:pPr>
              <w:jc w:val="center"/>
              <w:rPr>
                <w:rFonts w:cs="Times New Roman"/>
                <w:sz w:val="15"/>
                <w:szCs w:val="15"/>
              </w:rPr>
            </w:pPr>
            <w:r>
              <w:rPr>
                <w:rFonts w:cs="Times New Roman"/>
                <w:sz w:val="15"/>
                <w:szCs w:val="15"/>
              </w:rPr>
              <w:t>Affects atmospheric transparency and surface energy balance</w:t>
            </w:r>
            <w:r>
              <w:rPr>
                <w:rFonts w:cs="Times New Roman"/>
                <w:sz w:val="18"/>
                <w:szCs w:val="20"/>
              </w:rPr>
              <w:fldChar w:fldCharType="begin"/>
            </w:r>
            <w:r>
              <w:rPr>
                <w:rFonts w:cs="Times New Roman"/>
                <w:sz w:val="18"/>
                <w:szCs w:val="20"/>
              </w:rPr>
              <w:instrText xml:space="preserve"> ADDIN ZOTERO_ITEM CSL_CITATION {"citationID":"yR31y4Ej","properties":{"formattedCitation":"(Cao et al., 2016)","plainCitation":"(Cao et al., 2016)","noteIndex":0},"citationItems":[{"id":819,"uris":["http://zotero.org/users/14190624/items/65DNQN8L"],"itemData":{"id":819,"type":"article-journal","abstract":"The urban heat island (UHI), the phenomenon of higher temperatures in urban land than the surrounding rural land, is commonly attributed to changes in biophysical properties of the land surface associated with urbanization. Here we provide evidence for a long-held hypothesis that the biogeochemical effect of urban aerosol or haze pollution is also a contributor to the UHI. Our results are based on satellite observations and urban climate model calculations. We find that a significant factor controlling the nighttime surface UHI across China is the urban–rural difference in the haze pollution level. The average haze contribution to the nighttime surface UHI is 0.7±0.3 K (mean±1 s.e.) for semi-arid cities, which is stronger than that in the humid climate due to a stronger longwave radiative forcing of coarser aerosols. Mitigation of haze pollution therefore provides a co-benefit of reducing heat stress on urban residents.","container-title":"Nature Communications","DOI":"10.1038/ncomms12509","ISSN":"2041-1723","issue":"1","journalAbbreviation":"Nature Communications","language":"en","page":"12509","title":"Urban heat islands in China enhanced by haze pollution","volume":"7","author":[{"family":"Cao","given":"Chang"},{"family":"Lee","given":"Xuhui"},{"family":"Liu","given":"Shoudong"},{"family":"Schultz","given":"Natalie"},{"family":"Xiao","given":"Wei"},{"family":"Zhang","given":"Mi"},{"family":"Zhao","given":"Lei"}],"issued":{"date-parts":[["2016",8,23]]}}}],"schema":"https://github.com/citation-style-language/schema/raw/master/csl-citation.json"} </w:instrText>
            </w:r>
            <w:r>
              <w:rPr>
                <w:rFonts w:cs="Times New Roman"/>
                <w:sz w:val="18"/>
                <w:szCs w:val="20"/>
              </w:rPr>
              <w:fldChar w:fldCharType="separate"/>
            </w:r>
            <w:r>
              <w:rPr>
                <w:rFonts w:cs="Times New Roman"/>
                <w:sz w:val="18"/>
              </w:rPr>
              <w:t>(Cao et al., 2016)</w:t>
            </w:r>
            <w:r>
              <w:rPr>
                <w:rFonts w:cs="Times New Roman"/>
                <w:sz w:val="18"/>
                <w:szCs w:val="20"/>
              </w:rPr>
              <w:fldChar w:fldCharType="end"/>
            </w:r>
            <w:r>
              <w:rPr>
                <w:rFonts w:cs="Times New Roman"/>
                <w:sz w:val="15"/>
                <w:szCs w:val="15"/>
              </w:rPr>
              <w:t xml:space="preserve"> .</w:t>
            </w:r>
          </w:p>
        </w:tc>
        <w:tc>
          <w:tcPr>
            <w:tcW w:w="12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0F1BF469" w14:textId="77777777" w:rsidR="00C419D2" w:rsidRDefault="00C419D2" w:rsidP="00D176D1">
            <w:pPr>
              <w:jc w:val="center"/>
              <w:rPr>
                <w:rFonts w:cs="Times New Roman"/>
                <w:sz w:val="15"/>
                <w:szCs w:val="15"/>
              </w:rPr>
            </w:pPr>
            <w:r>
              <w:rPr>
                <w:rFonts w:cs="Times New Roman"/>
                <w:sz w:val="15"/>
                <w:szCs w:val="15"/>
              </w:rPr>
              <w:t>National Earth System Science Data Center, National Science &amp; Technology Infrastructure of China</w:t>
            </w:r>
            <w:r>
              <w:rPr>
                <w:rFonts w:cs="Times New Roman"/>
                <w:sz w:val="18"/>
                <w:szCs w:val="20"/>
              </w:rPr>
              <w:fldChar w:fldCharType="begin"/>
            </w:r>
            <w:r>
              <w:rPr>
                <w:rFonts w:cs="Times New Roman"/>
                <w:sz w:val="18"/>
                <w:szCs w:val="20"/>
              </w:rPr>
              <w:instrText xml:space="preserve"> ADDIN ZOTERO_ITEM CSL_CITATION {"citationID":"iDcL7Fhv","properties":{"formattedCitation":"(Bai et al., 2022)","plainCitation":"(Bai et al., 2022)","noteIndex":0},"citationItems":[{"id":800,"uris":["http://zotero.org/users/14190624/items/7RYIS9VF"],"itemData":{"id":800,"type":"article-journal","abstract":"Abstract. Developing a big data analytics framework for generating the\nLong-term Gap-free High-resolution Air Pollutant concentration dataset\n(abbreviated as LGHAP) is of great significance for environmental management\nand Earth system science analysis. By synergistically integrating multimodal\naerosol data acquired from diverse sources via a tensor-flow-based data\nfusion method, a gap-free aerosol optical depth (AOD) dataset with a daily\n1 km resolution covering the period of 2000–2020 in China was generated.\nSpecifically, data gaps in daily AOD imageries from the Moderate Resolution Imaging Spectroradiometer (MODIS) aboard Terra were\nreconstructed based on a set of AOD data tensors acquired from diverse\nsatellites, numerical analysis, and in situ air quality measurements via\nintegrative efforts of spatial pattern recognition for high-dimensional\ngridded image analysis and knowledge transfer in statistical data mining. To\nour knowledge, this is the first long-term gap-free high-resolution AOD\ndataset in China, from which spatially contiguous PM2.5 and PM10\nconcentrations were then estimated using an ensemble learning approach.\nGround validation results indicate that the LGHAP AOD data are in good\nagreement with in situ AOD observations from the Aerosol Robotic Network (AERONET), with an R of 0.91 and RMSE\nequaling 0.21. Meanwhile, PM2.5 and PM10 estimations also\nagreed well with ground measurements, with R values of 0.95 and 0.94 and RMSEs of\n12.03 and 19.56 µg m−3, respectively. The LGHAP provides a suite\nof long-term gap-free gridded maps with a high resolution to better examine\naerosol changes in China over the past 2 decades, from which three major\nvariation periods of haze pollution in China were revealed. Additionally,\nthe proportion of the population exposed to unhealthy PM2.5 increased\nfrom 50.60 % in 2000 to 63.81 % in 2014 across China, which was then\nreduced drastically to 34.03 % in 2020. Overall, the generated LGHAP\ndataset has great potential to trigger multidisciplinary applications in\nEarth observations, climate change, public health, ecosystem assessment, and\nenvironmental management. The daily resolution AOD, PM2.5, and\nPM10 datasets are publicly available at https://doi.org/10.5281/zenodo.5652257 (Bai et al., 2021a), https://doi.org/10.5281/zenodo.5652265 (Bai et al., 2021b), and https://doi.org/10.5281/zenodo.5652263 (Bai et al., 2021c), respectively.\nMonthly and annual datasets can be acquired from https://doi.org/10.5281/zenodo.5655797 (Bai et al., 2021d) and https://doi.org/10.5281/zenodo.5655807 (Bai et al., 2021e), respectively.\nPython, MATLAB, R, and IDL codes are also provided to help users read and\nvisualize these data.","container-title":"Earth System Science Data","DOI":"10.5194/essd-14-907-2022","ISSN":"1866-3516","issue":"2","journalAbbreviation":"Earth Syst. Sci. Data","language":"en","license":"https://creativecommons.org/licenses/by/4.0/","page":"907-927","source":"DOI.org (Crossref)","title":"LGHAP: the Long-term Gap-free High-resolution Air Pollutant concentration dataset, derived via tensor-flow-based multimodal data fusion","title-short":"LGHAP","volume":"14","author":[{"family":"Bai","given":"Kaixu"},{"family":"Li","given":"Ke"},{"family":"Ma","given":"Mingliang"},{"family":"Li","given":"Kaitao"},{"family":"Li","given":"Zhengqiang"},{"family":"Guo","given":"Jianping"},{"family":"Chang","given":"Ni-Bin"},{"family":"Tan","given":"Zhuo"},{"family":"Han","given":"Di"}],"issued":{"date-parts":[["2022",2,24]]}}}],"schema":"https://github.com/citation-style-language/schema/raw/master/csl-citation.json"} </w:instrText>
            </w:r>
            <w:r>
              <w:rPr>
                <w:rFonts w:cs="Times New Roman"/>
                <w:sz w:val="18"/>
                <w:szCs w:val="20"/>
              </w:rPr>
              <w:fldChar w:fldCharType="separate"/>
            </w:r>
            <w:r>
              <w:rPr>
                <w:rFonts w:cs="Times New Roman"/>
                <w:sz w:val="18"/>
              </w:rPr>
              <w:t>(Bai et al., 2022)</w:t>
            </w:r>
            <w:r>
              <w:rPr>
                <w:rFonts w:cs="Times New Roman"/>
                <w:sz w:val="18"/>
                <w:szCs w:val="20"/>
              </w:rPr>
              <w:fldChar w:fldCharType="end"/>
            </w:r>
          </w:p>
        </w:tc>
        <w:tc>
          <w:tcPr>
            <w:tcW w:w="1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3E7C13C5" w14:textId="77777777" w:rsidR="00C419D2" w:rsidRDefault="00C419D2" w:rsidP="00D176D1">
            <w:pPr>
              <w:jc w:val="center"/>
              <w:rPr>
                <w:rFonts w:cs="Times New Roman"/>
                <w:sz w:val="15"/>
                <w:szCs w:val="15"/>
              </w:rPr>
            </w:pPr>
            <w:r>
              <w:rPr>
                <w:rFonts w:cs="Times New Roman"/>
                <w:sz w:val="15"/>
                <w:szCs w:val="15"/>
              </w:rPr>
              <w:t>Month, 1km</w:t>
            </w:r>
          </w:p>
        </w:tc>
      </w:tr>
      <w:tr w:rsidR="00C419D2" w14:paraId="2EA20F2B" w14:textId="77777777" w:rsidTr="00D176D1">
        <w:trPr>
          <w:jc w:val="center"/>
        </w:trPr>
        <w:tc>
          <w:tcPr>
            <w:tcW w:w="1390" w:type="dxa"/>
            <w:vMerge/>
            <w:tcBorders>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1AEA2B7F" w14:textId="77777777" w:rsidR="00C419D2" w:rsidRDefault="00C419D2" w:rsidP="00D176D1">
            <w:pPr>
              <w:jc w:val="center"/>
              <w:rPr>
                <w:rFonts w:cs="Times New Roman"/>
                <w:sz w:val="15"/>
                <w:szCs w:val="15"/>
              </w:rPr>
            </w:pPr>
          </w:p>
        </w:tc>
        <w:tc>
          <w:tcPr>
            <w:tcW w:w="122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2493761D" w14:textId="77777777" w:rsidR="00C419D2" w:rsidRDefault="00C419D2" w:rsidP="00D176D1">
            <w:pPr>
              <w:jc w:val="center"/>
              <w:rPr>
                <w:rFonts w:cs="Times New Roman"/>
                <w:sz w:val="15"/>
                <w:szCs w:val="15"/>
              </w:rPr>
            </w:pPr>
            <w:r>
              <w:rPr>
                <w:rFonts w:cs="Times New Roman"/>
                <w:sz w:val="15"/>
                <w:szCs w:val="15"/>
              </w:rPr>
              <w:t>Wind Speed</w:t>
            </w:r>
          </w:p>
        </w:tc>
        <w:tc>
          <w:tcPr>
            <w:tcW w:w="1465"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4826FB3F" w14:textId="77777777" w:rsidR="00C419D2" w:rsidRDefault="00C419D2" w:rsidP="00D176D1">
            <w:pPr>
              <w:jc w:val="center"/>
              <w:rPr>
                <w:rFonts w:cs="Times New Roman"/>
                <w:sz w:val="15"/>
                <w:szCs w:val="15"/>
              </w:rPr>
            </w:pPr>
            <w:r>
              <w:rPr>
                <w:rFonts w:cs="Times New Roman"/>
                <w:sz w:val="15"/>
                <w:szCs w:val="15"/>
              </w:rPr>
              <w:t>Wind speed (</w:t>
            </w:r>
            <m:oMath>
              <m:r>
                <w:rPr>
                  <w:rFonts w:ascii="Cambria Math" w:hAnsi="Cambria Math" w:cs="Times New Roman"/>
                  <w:sz w:val="15"/>
                  <w:szCs w:val="15"/>
                </w:rPr>
                <m:t>m/s</m:t>
              </m:r>
            </m:oMath>
            <w:r>
              <w:rPr>
                <w:rFonts w:cs="Times New Roman"/>
                <w:sz w:val="15"/>
                <w:szCs w:val="15"/>
              </w:rPr>
              <w:t xml:space="preserve">) at a specific height (e.g., 10 m) above the </w:t>
            </w:r>
            <w:r>
              <w:rPr>
                <w:rFonts w:cs="Times New Roman"/>
                <w:sz w:val="15"/>
                <w:szCs w:val="15"/>
              </w:rPr>
              <w:lastRenderedPageBreak/>
              <w:t>ground surface</w:t>
            </w:r>
          </w:p>
        </w:tc>
        <w:tc>
          <w:tcPr>
            <w:tcW w:w="2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1A816905" w14:textId="77777777" w:rsidR="00C419D2" w:rsidRDefault="00C419D2" w:rsidP="00D176D1">
            <w:pPr>
              <w:jc w:val="center"/>
              <w:rPr>
                <w:rFonts w:cs="Times New Roman"/>
                <w:sz w:val="15"/>
                <w:szCs w:val="15"/>
              </w:rPr>
            </w:pPr>
            <w:r>
              <w:rPr>
                <w:rFonts w:cs="Times New Roman"/>
                <w:sz w:val="15"/>
                <w:szCs w:val="15"/>
              </w:rPr>
              <w:lastRenderedPageBreak/>
              <w:t>Affects the dispersion of heat and pollutants, and is critical for relieving urban heat</w:t>
            </w:r>
            <w:r>
              <w:rPr>
                <w:rFonts w:cs="Times New Roman"/>
                <w:sz w:val="18"/>
                <w:szCs w:val="20"/>
              </w:rPr>
              <w:fldChar w:fldCharType="begin"/>
            </w:r>
            <w:r>
              <w:rPr>
                <w:rFonts w:cs="Times New Roman"/>
                <w:sz w:val="18"/>
                <w:szCs w:val="20"/>
              </w:rPr>
              <w:instrText xml:space="preserve"> ADDIN ZOTERO_ITEM CSL_CITATION {"citationID":"J649rtGS","properties":{"formattedCitation":"(Li et al., 2013)","plainCitation":"(Li et al., 2013)","noteIndex":0},"citationItems":[{"id":820,"uris":["http://zotero.org/users/14190624/items/MTVHTR73"],"itemData":{"id":820,"type":"article-journal","container-title":"Journal of Applied Meteorology and Climatology","DOI":"10.1175/JAMC-D-13-02.1","issue":"9","language":"en","note":"publisher-place: Boston MA, USA\npublisher: American Meteorological Society","page":"2051 - 2064","title":"Synergistic Interactions between Urban Heat Islands and Heat Waves: The Impact in Cities Is Larger than the Sum of Its Parts","volume":"52","author":[{"family":"Li","given":"Dan"},{"family":"Bou-Zeid","given":"Elie"}],"issued":{"date-parts":[["2013"]]}}}],"schema":"https://github.com/citation-style-language/schema/raw/master/csl-citation.json"} </w:instrText>
            </w:r>
            <w:r>
              <w:rPr>
                <w:rFonts w:cs="Times New Roman"/>
                <w:sz w:val="18"/>
                <w:szCs w:val="20"/>
              </w:rPr>
              <w:fldChar w:fldCharType="separate"/>
            </w:r>
            <w:r>
              <w:rPr>
                <w:rFonts w:cs="Times New Roman"/>
                <w:sz w:val="18"/>
              </w:rPr>
              <w:t xml:space="preserve">(Li et </w:t>
            </w:r>
            <w:r>
              <w:rPr>
                <w:rFonts w:cs="Times New Roman"/>
                <w:sz w:val="18"/>
              </w:rPr>
              <w:lastRenderedPageBreak/>
              <w:t>al., 2013)</w:t>
            </w:r>
            <w:r>
              <w:rPr>
                <w:rFonts w:cs="Times New Roman"/>
                <w:sz w:val="18"/>
                <w:szCs w:val="20"/>
              </w:rPr>
              <w:fldChar w:fldCharType="end"/>
            </w:r>
            <w:r>
              <w:rPr>
                <w:rFonts w:cs="Times New Roman"/>
                <w:sz w:val="15"/>
                <w:szCs w:val="15"/>
              </w:rPr>
              <w:t>.</w:t>
            </w:r>
          </w:p>
        </w:tc>
        <w:tc>
          <w:tcPr>
            <w:tcW w:w="12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71A6A314" w14:textId="77777777" w:rsidR="00C419D2" w:rsidRDefault="00C419D2" w:rsidP="00D176D1">
            <w:pPr>
              <w:jc w:val="center"/>
              <w:rPr>
                <w:rFonts w:cs="Times New Roman"/>
                <w:sz w:val="15"/>
                <w:szCs w:val="15"/>
              </w:rPr>
            </w:pPr>
            <w:r>
              <w:rPr>
                <w:rFonts w:cs="Times New Roman"/>
                <w:sz w:val="15"/>
                <w:szCs w:val="15"/>
              </w:rPr>
              <w:lastRenderedPageBreak/>
              <w:t xml:space="preserve">Weather station observations, reanalyzed </w:t>
            </w:r>
            <w:r>
              <w:rPr>
                <w:rFonts w:cs="Times New Roman"/>
                <w:sz w:val="15"/>
                <w:szCs w:val="15"/>
              </w:rPr>
              <w:lastRenderedPageBreak/>
              <w:t>data</w:t>
            </w:r>
          </w:p>
        </w:tc>
        <w:tc>
          <w:tcPr>
            <w:tcW w:w="1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20CB344C" w14:textId="77777777" w:rsidR="00C419D2" w:rsidRDefault="00C419D2" w:rsidP="00D176D1">
            <w:pPr>
              <w:jc w:val="center"/>
              <w:rPr>
                <w:rFonts w:cs="Times New Roman"/>
                <w:sz w:val="15"/>
                <w:szCs w:val="15"/>
              </w:rPr>
            </w:pPr>
            <w:r>
              <w:rPr>
                <w:rFonts w:cs="Times New Roman"/>
                <w:sz w:val="15"/>
                <w:szCs w:val="15"/>
              </w:rPr>
              <w:lastRenderedPageBreak/>
              <w:t>year, the administrative district</w:t>
            </w:r>
          </w:p>
        </w:tc>
      </w:tr>
      <w:tr w:rsidR="00C419D2" w14:paraId="2AD70DD4" w14:textId="77777777" w:rsidTr="00D176D1">
        <w:trPr>
          <w:jc w:val="center"/>
        </w:trPr>
        <w:tc>
          <w:tcPr>
            <w:tcW w:w="1390" w:type="dxa"/>
            <w:vMerge w:val="restart"/>
            <w:tcBorders>
              <w:top w:val="single" w:sz="6" w:space="0" w:color="000000"/>
              <w:left w:val="single" w:sz="6" w:space="0" w:color="000000"/>
              <w:right w:val="single" w:sz="6" w:space="0" w:color="000000"/>
            </w:tcBorders>
            <w:shd w:val="clear" w:color="auto" w:fill="F8FAFD"/>
            <w:tcMar>
              <w:top w:w="120" w:type="dxa"/>
              <w:left w:w="180" w:type="dxa"/>
              <w:bottom w:w="120" w:type="dxa"/>
              <w:right w:w="180" w:type="dxa"/>
            </w:tcMar>
            <w:vAlign w:val="center"/>
          </w:tcPr>
          <w:p w14:paraId="1A2CAA02" w14:textId="77777777" w:rsidR="00C419D2" w:rsidRDefault="00C419D2" w:rsidP="00D176D1">
            <w:pPr>
              <w:jc w:val="center"/>
              <w:rPr>
                <w:rFonts w:cs="Times New Roman"/>
                <w:sz w:val="15"/>
                <w:szCs w:val="15"/>
              </w:rPr>
            </w:pPr>
            <w:r>
              <w:rPr>
                <w:rFonts w:cs="Times New Roman"/>
                <w:sz w:val="15"/>
                <w:szCs w:val="15"/>
              </w:rPr>
              <w:t>Human Socio-Economic Activities</w:t>
            </w:r>
          </w:p>
        </w:tc>
        <w:tc>
          <w:tcPr>
            <w:tcW w:w="122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3E82C9D8" w14:textId="77777777" w:rsidR="00C419D2" w:rsidRDefault="00C419D2" w:rsidP="00D176D1">
            <w:pPr>
              <w:jc w:val="center"/>
              <w:rPr>
                <w:rFonts w:cs="Times New Roman"/>
                <w:sz w:val="15"/>
                <w:szCs w:val="15"/>
              </w:rPr>
            </w:pPr>
            <w:r>
              <w:rPr>
                <w:rFonts w:cs="Times New Roman"/>
                <w:sz w:val="15"/>
                <w:szCs w:val="15"/>
              </w:rPr>
              <w:t>Carbon Emission</w:t>
            </w:r>
          </w:p>
        </w:tc>
        <w:tc>
          <w:tcPr>
            <w:tcW w:w="1465"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3A86495F" w14:textId="77777777" w:rsidR="00C419D2" w:rsidRDefault="00C419D2" w:rsidP="00D176D1">
            <w:pPr>
              <w:jc w:val="center"/>
              <w:rPr>
                <w:rFonts w:cs="Times New Roman"/>
                <w:iCs/>
                <w:sz w:val="15"/>
                <w:szCs w:val="15"/>
              </w:rPr>
            </w:pPr>
            <m:oMathPara>
              <m:oMath>
                <m:r>
                  <w:rPr>
                    <w:rFonts w:ascii="Cambria Math" w:hAnsi="Cambria Math" w:cs="Times New Roman"/>
                    <w:sz w:val="15"/>
                    <w:szCs w:val="15"/>
                  </w:rPr>
                  <m:t>C</m:t>
                </m:r>
                <m:sSub>
                  <m:sSubPr>
                    <m:ctrlPr>
                      <w:rPr>
                        <w:rFonts w:ascii="Cambria Math" w:hAnsi="Cambria Math" w:cs="Times New Roman"/>
                        <w:i/>
                        <w:iCs/>
                        <w:sz w:val="15"/>
                        <w:szCs w:val="15"/>
                      </w:rPr>
                    </m:ctrlPr>
                  </m:sSubPr>
                  <m:e>
                    <m:r>
                      <w:rPr>
                        <w:rFonts w:ascii="Cambria Math" w:hAnsi="Cambria Math" w:cs="Times New Roman"/>
                        <w:sz w:val="15"/>
                        <w:szCs w:val="15"/>
                      </w:rPr>
                      <m:t>O</m:t>
                    </m:r>
                  </m:e>
                  <m:sub>
                    <m:r>
                      <w:rPr>
                        <w:rFonts w:ascii="Cambria Math" w:hAnsi="Cambria Math" w:cs="Times New Roman"/>
                        <w:sz w:val="15"/>
                        <w:szCs w:val="15"/>
                      </w:rPr>
                      <m:t>2</m:t>
                    </m:r>
                  </m:sub>
                </m:sSub>
                <m:r>
                  <w:rPr>
                    <w:rFonts w:ascii="Cambria Math" w:hAnsi="Cambria Math" w:cs="Times New Roman"/>
                    <w:sz w:val="15"/>
                    <w:szCs w:val="15"/>
                  </w:rPr>
                  <m:t xml:space="preserve"> </m:t>
                </m:r>
              </m:oMath>
            </m:oMathPara>
          </w:p>
          <w:p w14:paraId="4CB99C8D" w14:textId="77777777" w:rsidR="00C419D2" w:rsidRDefault="00C419D2" w:rsidP="00D176D1">
            <w:pPr>
              <w:jc w:val="center"/>
              <w:rPr>
                <w:rFonts w:cs="Times New Roman"/>
                <w:sz w:val="15"/>
                <w:szCs w:val="15"/>
              </w:rPr>
            </w:pPr>
            <w:r>
              <w:rPr>
                <w:rFonts w:cs="Times New Roman"/>
                <w:sz w:val="15"/>
                <w:szCs w:val="15"/>
              </w:rPr>
              <w:t>emissions per unit area/per capita (tons)</w:t>
            </w:r>
          </w:p>
        </w:tc>
        <w:tc>
          <w:tcPr>
            <w:tcW w:w="2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07B79B4D" w14:textId="77777777" w:rsidR="00C419D2" w:rsidRDefault="00C419D2" w:rsidP="00D176D1">
            <w:pPr>
              <w:jc w:val="center"/>
              <w:rPr>
                <w:rFonts w:cs="Times New Roman"/>
                <w:sz w:val="15"/>
                <w:szCs w:val="15"/>
              </w:rPr>
            </w:pPr>
            <w:r>
              <w:rPr>
                <w:rFonts w:cs="Times New Roman"/>
                <w:sz w:val="15"/>
                <w:szCs w:val="15"/>
              </w:rPr>
              <w:t>Measure of energy consumption and intensity of human activity, related to anthropogenic heat</w:t>
            </w:r>
            <w:r>
              <w:rPr>
                <w:rFonts w:cs="Times New Roman"/>
                <w:sz w:val="18"/>
                <w:szCs w:val="20"/>
              </w:rPr>
              <w:fldChar w:fldCharType="begin"/>
            </w:r>
            <w:r>
              <w:rPr>
                <w:rFonts w:cs="Times New Roman"/>
                <w:sz w:val="18"/>
                <w:szCs w:val="20"/>
              </w:rPr>
              <w:instrText xml:space="preserve"> ADDIN ZOTERO_ITEM CSL_CITATION {"citationID":"wKkJ2omH","properties":{"formattedCitation":"(Liao et al., 2017)","plainCitation":"(Liao et al., 2017)","noteIndex":0},"citationItems":[{"id":874,"uris":["http://zotero.org/users/14190624/items/BTGRU99T"],"itemData":{"id":874,"type":"article-journal","abstract":"Supported by the rapid economic development in the last few decades, China has become the largest energy consumer in the world. Alongside this, the effect of the anthropogenic heat released from energy consumption is increasingly apparent. We quantified the daytime and nighttime surface urban heat island intensity (SUHII) for the 32 major cities in mainland China, using MODIS land surface temperature data from 2008 to 2012, and estimated the energy consumption intensity (ECI) based on the correlation between energy consumption and the sum of nighttime lights. On this basis, the impact of energy consumption on the surface urban heat island in China’s 32 major cities was analyzed, by directly examining the relationship between SUHII and the urban-suburban difference in ECI. The results show that energy consumption has a significantly positive correlation with the nighttime SUHII, but no correlation with the daytime SUHII. It indicates that the cities with a larger urban-suburban difference in ECI have a far greater impact on SUHII during the nighttime. Therefore, the statistical analysis of the historical observation data in this study provides evidence for a long-held hypothesis that the anthropogenic heat released from energy consumption is an important contributor to the urban thermal environment.","container-title":"Remote Sensing","DOI":"10.3390/rs9030250","ISSN":"2072-4292","issue":"3","journalAbbreviation":"Remote Sensing","language":"en","license":"https://creativecommons.org/licenses/by/4.0/","page":"250","source":"DOI.org (Crossref)","title":"The Impact of Energy Consumption on the Surface Urban Heat Island in China’s 32 Major Cities","volume":"9","author":[{"family":"Liao","given":"Weilin"},{"family":"Liu","given":"Xiaoping"},{"family":"Wang","given":"Dagang"},{"family":"Sheng","given":"Yanling"}],"issued":{"date-parts":[["2017",3,8]]}}}],"schema":"https://github.com/citation-style-language/schema/raw/master/csl-citation.json"} </w:instrText>
            </w:r>
            <w:r>
              <w:rPr>
                <w:rFonts w:cs="Times New Roman"/>
                <w:sz w:val="18"/>
                <w:szCs w:val="20"/>
              </w:rPr>
              <w:fldChar w:fldCharType="separate"/>
            </w:r>
            <w:r>
              <w:rPr>
                <w:rFonts w:cs="Times New Roman"/>
                <w:sz w:val="18"/>
              </w:rPr>
              <w:t>(Liao et al., 2017)</w:t>
            </w:r>
            <w:r>
              <w:rPr>
                <w:rFonts w:cs="Times New Roman"/>
                <w:sz w:val="18"/>
                <w:szCs w:val="20"/>
              </w:rPr>
              <w:fldChar w:fldCharType="end"/>
            </w:r>
            <w:r>
              <w:rPr>
                <w:rFonts w:cs="Times New Roman"/>
                <w:sz w:val="15"/>
                <w:szCs w:val="15"/>
              </w:rPr>
              <w:t xml:space="preserve"> .</w:t>
            </w:r>
          </w:p>
        </w:tc>
        <w:tc>
          <w:tcPr>
            <w:tcW w:w="12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29CD96CA" w14:textId="77777777" w:rsidR="00C419D2" w:rsidRDefault="00C419D2" w:rsidP="00D176D1">
            <w:pPr>
              <w:jc w:val="center"/>
              <w:rPr>
                <w:rFonts w:cs="Times New Roman"/>
                <w:sz w:val="15"/>
                <w:szCs w:val="15"/>
              </w:rPr>
            </w:pPr>
            <w:r>
              <w:rPr>
                <w:rFonts w:cs="Times New Roman"/>
                <w:bCs/>
                <w:sz w:val="15"/>
                <w:szCs w:val="15"/>
              </w:rPr>
              <w:t>DPECv1.0-v1.2 emissions data</w:t>
            </w:r>
            <w:hyperlink r:id="rId4" w:history="1">
              <w:r>
                <w:rPr>
                  <w:rStyle w:val="Hyperlink"/>
                  <w:rFonts w:eastAsia="Google Sans Text" w:cs="Times New Roman"/>
                  <w:b/>
                  <w:bCs/>
                  <w:sz w:val="15"/>
                  <w:szCs w:val="15"/>
                </w:rPr>
                <w:t xml:space="preserve"> http://meicmodel.org.cn</w:t>
              </w:r>
            </w:hyperlink>
            <w:r>
              <w:rPr>
                <w:rFonts w:cs="Times New Roman"/>
                <w:sz w:val="15"/>
                <w:szCs w:val="15"/>
                <w:vertAlign w:val="superscript"/>
              </w:rPr>
              <w:fldChar w:fldCharType="begin"/>
            </w:r>
            <w:r>
              <w:rPr>
                <w:rFonts w:cs="Times New Roman"/>
                <w:sz w:val="15"/>
                <w:szCs w:val="15"/>
                <w:vertAlign w:val="superscript"/>
              </w:rPr>
              <w:instrText xml:space="preserve"> ADDIN ZOTERO_ITEM CSL_CITATION {"citationID":"kUg3RGb5","properties":{"formattedCitation":"\\super [52]\\nosupersub{}","plainCitation":"[52]","dontUpdate":true,"noteIndex":0},"citationItems":[{"id":874,"uris":["http://zotero.org/users/14190624/items/BTGRU99T"],"itemData":{"id":874,"type":"article-journal","abstract":"Supported by the rapid economic development in the last few decades, China has become the largest energy consumer in the world. Alongside this, the effect of the anthropogenic heat released from energy consumption is increasingly apparent. We quantified the daytime and nighttime surface urban heat island intensity (SUHII) for the 32 major cities in mainland China, using MODIS land surface temperature data from 2008 to 2012, and estimated the energy consumption intensity (ECI) based on the correlation between energy consumption and the sum of nighttime lights. On this basis, the impact of energy consumption on the surface urban heat island in China’s 32 major cities was analyzed, by directly examining the relationship between SUHII and the urban-suburban difference in ECI. The results show that energy consumption has a significantly positive correlation with the nighttime SUHII, but no correlation with the daytime SUHII. It indicates that the cities with a larger urban-suburban difference in ECI have a far greater impact on SUHII during the nighttime. Therefore, the statistical analysis of the historical observation data in this study provides evidence for a long-held hypothesis that the anthropogenic heat released from energy consumption is an important contributor to the urban thermal environment.","container-title":"Remote Sensing","DOI":"10.3390/rs9030250","ISSN":"2072-4292","issue":"3","journalAbbreviation":"Remote Sensing","language":"en","license":"https://creativecommons.org/licenses/by/4.0/","page":"250","source":"DOI.org (Crossref)","title":"The Impact of Energy Consumption on the Surface Urban Heat Island in China’s 32 Major Cities","volume":"9","author":[{"family":"Liao","given":"Weilin"},{"family":"Liu","given":"Xiaoping"},{"family":"Wang","given":"Dagang"},{"family":"Sheng","given":"Yanling"}],"issued":{"date-parts":[["2017",3,8]]}}}],"schema":"https://github.com/citation-style-language/schema/raw/master/csl-citation.json"} </w:instrText>
            </w:r>
            <w:r>
              <w:rPr>
                <w:rFonts w:cs="Times New Roman"/>
                <w:sz w:val="15"/>
                <w:szCs w:val="15"/>
                <w:vertAlign w:val="superscript"/>
              </w:rPr>
              <w:fldChar w:fldCharType="separate"/>
            </w:r>
            <w:r>
              <w:rPr>
                <w:rFonts w:cs="Times New Roman"/>
                <w:sz w:val="18"/>
                <w:szCs w:val="20"/>
              </w:rPr>
              <w:fldChar w:fldCharType="begin"/>
            </w:r>
            <w:r>
              <w:rPr>
                <w:rFonts w:cs="Times New Roman"/>
                <w:sz w:val="18"/>
                <w:szCs w:val="20"/>
              </w:rPr>
              <w:instrText xml:space="preserve"> ADDIN ZOTERO_ITEM CSL_CITATION {"citationID":"c1073dCZ","properties":{"unsorted":true,"formattedCitation":"(Cheng et al., 2023)","plainCitation":"(Cheng et al., 2023)","noteIndex":0},"citationItems":[{"id":806,"uris":["http://zotero.org/users/14190624/items/UFX4SX2I"],"itemData":{"id":806,"type":"article-journal","container-title":"One Earth","DOI":"10.1016/j.oneear.2023.07.007","ISSN":"25903322","issue":"8","journalAbbreviation":"One Earth","language":"en","page":"978-989","source":"DOI.org (Crossref)","title":"A synergistic approach to air pollution control and carbon neutrality in China can avoid millions of premature deaths annually by 2060","volume":"6","author":[{"family":"Cheng","given":"Jing"},{"family":"Tong","given":"Dan"},{"family":"Liu","given":"Yang"},{"family":"Geng","given":"Guannan"},{"family":"Davis","given":"Steven J."},{"family":"He","given":"Kebin"},{"family":"Zhang","given":"Qiang"}],"issued":{"date-parts":[["2023",8]]}}}],"schema":"https://github.com/citation-style-language/schema/raw/master/csl-citation.json"} </w:instrText>
            </w:r>
            <w:r>
              <w:rPr>
                <w:rFonts w:cs="Times New Roman"/>
                <w:sz w:val="18"/>
                <w:szCs w:val="20"/>
              </w:rPr>
              <w:fldChar w:fldCharType="separate"/>
            </w:r>
            <w:r>
              <w:rPr>
                <w:rFonts w:cs="Times New Roman"/>
                <w:sz w:val="18"/>
              </w:rPr>
              <w:t>(Cheng et al., 2023)</w:t>
            </w:r>
            <w:r>
              <w:rPr>
                <w:rFonts w:cs="Times New Roman"/>
                <w:sz w:val="18"/>
                <w:szCs w:val="20"/>
              </w:rPr>
              <w:fldChar w:fldCharType="end"/>
            </w:r>
            <w:r>
              <w:rPr>
                <w:rFonts w:cs="Times New Roman"/>
                <w:sz w:val="15"/>
                <w:szCs w:val="15"/>
                <w:vertAlign w:val="superscript"/>
              </w:rPr>
              <w:fldChar w:fldCharType="end"/>
            </w:r>
          </w:p>
        </w:tc>
        <w:tc>
          <w:tcPr>
            <w:tcW w:w="1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4F1E979A" w14:textId="77777777" w:rsidR="00C419D2" w:rsidRDefault="00C419D2" w:rsidP="00D176D1">
            <w:pPr>
              <w:jc w:val="center"/>
              <w:rPr>
                <w:rFonts w:cs="Times New Roman"/>
                <w:sz w:val="15"/>
                <w:szCs w:val="15"/>
              </w:rPr>
            </w:pPr>
            <w:r>
              <w:rPr>
                <w:rFonts w:cs="Times New Roman"/>
                <w:sz w:val="15"/>
                <w:szCs w:val="15"/>
              </w:rPr>
              <w:t>Month, 0.1°</w:t>
            </w:r>
            <m:oMath>
              <m:r>
                <m:rPr>
                  <m:sty m:val="p"/>
                </m:rPr>
                <w:rPr>
                  <w:rFonts w:ascii="Cambria Math" w:hAnsi="Cambria Math" w:cs="Times New Roman"/>
                  <w:sz w:val="15"/>
                  <w:szCs w:val="15"/>
                </w:rPr>
                <m:t>×</m:t>
              </m:r>
            </m:oMath>
          </w:p>
          <w:p w14:paraId="63AACF14" w14:textId="77777777" w:rsidR="00C419D2" w:rsidRDefault="00C419D2" w:rsidP="00D176D1">
            <w:pPr>
              <w:jc w:val="center"/>
              <w:rPr>
                <w:rFonts w:cs="Times New Roman"/>
                <w:sz w:val="15"/>
                <w:szCs w:val="15"/>
              </w:rPr>
            </w:pPr>
            <w:r>
              <w:rPr>
                <w:rFonts w:cs="Times New Roman"/>
                <w:sz w:val="15"/>
                <w:szCs w:val="15"/>
              </w:rPr>
              <w:t>0.1°</w:t>
            </w:r>
          </w:p>
        </w:tc>
      </w:tr>
      <w:tr w:rsidR="00C419D2" w14:paraId="593909DA" w14:textId="77777777" w:rsidTr="00D176D1">
        <w:trPr>
          <w:jc w:val="center"/>
        </w:trPr>
        <w:tc>
          <w:tcPr>
            <w:tcW w:w="1390" w:type="dxa"/>
            <w:vMerge/>
            <w:tcBorders>
              <w:left w:val="single" w:sz="6" w:space="0" w:color="000000"/>
              <w:right w:val="single" w:sz="6" w:space="0" w:color="000000"/>
            </w:tcBorders>
            <w:shd w:val="clear" w:color="auto" w:fill="F8FAFD"/>
            <w:tcMar>
              <w:top w:w="120" w:type="dxa"/>
              <w:left w:w="180" w:type="dxa"/>
              <w:bottom w:w="120" w:type="dxa"/>
              <w:right w:w="180" w:type="dxa"/>
            </w:tcMar>
            <w:vAlign w:val="center"/>
          </w:tcPr>
          <w:p w14:paraId="173A5682" w14:textId="77777777" w:rsidR="00C419D2" w:rsidRDefault="00C419D2" w:rsidP="00D176D1">
            <w:pPr>
              <w:jc w:val="center"/>
              <w:rPr>
                <w:rFonts w:cs="Times New Roman"/>
                <w:sz w:val="15"/>
                <w:szCs w:val="15"/>
              </w:rPr>
            </w:pPr>
          </w:p>
        </w:tc>
        <w:tc>
          <w:tcPr>
            <w:tcW w:w="122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3415808F" w14:textId="77777777" w:rsidR="00C419D2" w:rsidRDefault="00C419D2" w:rsidP="00D176D1">
            <w:pPr>
              <w:jc w:val="center"/>
              <w:rPr>
                <w:rFonts w:cs="Times New Roman"/>
                <w:sz w:val="15"/>
                <w:szCs w:val="15"/>
              </w:rPr>
            </w:pPr>
            <w:r>
              <w:rPr>
                <w:rFonts w:cs="Times New Roman"/>
                <w:sz w:val="15"/>
                <w:szCs w:val="15"/>
              </w:rPr>
              <w:t xml:space="preserve">Nighttime Lights </w:t>
            </w:r>
          </w:p>
        </w:tc>
        <w:tc>
          <w:tcPr>
            <w:tcW w:w="1465"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37F1C4CB" w14:textId="77777777" w:rsidR="00C419D2" w:rsidRDefault="00C419D2" w:rsidP="00D176D1">
            <w:pPr>
              <w:jc w:val="center"/>
              <w:rPr>
                <w:rFonts w:cs="Times New Roman"/>
                <w:sz w:val="15"/>
                <w:szCs w:val="15"/>
              </w:rPr>
            </w:pPr>
            <w:r>
              <w:rPr>
                <w:rFonts w:cs="Times New Roman"/>
                <w:sz w:val="15"/>
                <w:szCs w:val="15"/>
              </w:rPr>
              <w:t>Radiant luminance values</w:t>
            </w:r>
          </w:p>
        </w:tc>
        <w:tc>
          <w:tcPr>
            <w:tcW w:w="2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5117673A" w14:textId="77777777" w:rsidR="00C419D2" w:rsidRDefault="00C419D2" w:rsidP="00D176D1">
            <w:pPr>
              <w:jc w:val="center"/>
              <w:rPr>
                <w:rFonts w:cs="Times New Roman"/>
                <w:sz w:val="15"/>
                <w:szCs w:val="15"/>
              </w:rPr>
            </w:pPr>
            <w:r>
              <w:rPr>
                <w:rFonts w:cs="Times New Roman"/>
                <w:sz w:val="15"/>
                <w:szCs w:val="15"/>
              </w:rPr>
              <w:t>Proxy for urban sprawl, population concentration and intensity of economic activity, reflecting the distribution of anthropogenic heat sources</w:t>
            </w:r>
            <w:r>
              <w:rPr>
                <w:rFonts w:cs="Times New Roman"/>
                <w:sz w:val="18"/>
                <w:szCs w:val="20"/>
              </w:rPr>
              <w:fldChar w:fldCharType="begin"/>
            </w:r>
            <w:r>
              <w:rPr>
                <w:rFonts w:cs="Times New Roman"/>
                <w:sz w:val="18"/>
                <w:szCs w:val="20"/>
              </w:rPr>
              <w:instrText xml:space="preserve"> ADDIN ZOTERO_ITEM CSL_CITATION {"citationID":"hzmHgm0n","properties":{"formattedCitation":"(Xie et al., 2019)","plainCitation":"(Xie et al., 2019)","noteIndex":0},"citationItems":[{"id":826,"uris":["http://zotero.org/users/14190624/items/DQ3ENARP"],"itemData":{"id":826,"type":"article-journal","abstract":"Artificial nighttime lights (NTL) generated by human activities offer a unique opportunity to understand urban environments. Although previous studies have widely used NTL images to map urban extent at multiple scales, it remains a challenging task to address how NTL respond exactly to urbanization and thus to map urbanization from NTL. In this study, using monthly Suomi National Polar-orbiting Partnership/Visible Infrared Imaging Radiometer Suite (NPP/VIIRS) NTL images between 2013 and 2017, we developed a method to decompose time-series NTL signal into annual and seasonal components. Further, we proposed an NTL-based indicator for the detection of impervious surfaces change (ISC) by integrating annual increment and seasonal variation of NTL brightness. The indicator was then used to identify ISC by using a thresholding method. The application of the methodology in the conterminous United States (CONUS) revealed a more rapid urbanization in the southern CONUS than the northern states and a northeastern-southwestern gradient of NTL seasonality. It was also found that NTL of November and December provided the most accurate characterization of urban extent for most areas in the CONUS. The detection of ISC in four representative regions (i.e. Dallas-Fort Worth-Arlington, greater Washington D.C., Denver-Aurora, and Atlanta) resulted in a moderate to high accuracy with the overall accuracy of 80% and the Kappa value ranging from 0.56 to 0.73. Despite of this, the results showed a low accuracy of NTL-derived changing year of ISC (Kappa: 0.28) because of the existence of temporal inconsistency between NTL increase and ISC. The proposed method has the potential to timely map urban expansion at large geographical scales (e.g., continental and global) in a cost-efficient manner.","container-title":"Remote Sensing of Environment","DOI":"https://doi.org/10.1016/j.rse.2019.03.008","ISSN":"0034-4257","language":"en","page":"160-174","title":"Temporal variations of artificial nighttime lights and their implications for urbanization in the conterminous United States, 2013–2017","volume":"225","author":[{"family":"Xie","given":"Yanhua"},{"family":"Weng","given":"Qihao"},{"family":"Fu","given":"Peng"}],"issued":{"date-parts":[["2019"]]}}}],"schema":"https://github.com/citation-style-language/schema/raw/master/csl-citation.json"} </w:instrText>
            </w:r>
            <w:r>
              <w:rPr>
                <w:rFonts w:cs="Times New Roman"/>
                <w:sz w:val="18"/>
                <w:szCs w:val="20"/>
              </w:rPr>
              <w:fldChar w:fldCharType="separate"/>
            </w:r>
            <w:r>
              <w:rPr>
                <w:rFonts w:cs="Times New Roman"/>
                <w:sz w:val="18"/>
              </w:rPr>
              <w:t>(Xie et al., 2019)</w:t>
            </w:r>
            <w:r>
              <w:rPr>
                <w:rFonts w:cs="Times New Roman"/>
                <w:sz w:val="18"/>
                <w:szCs w:val="20"/>
              </w:rPr>
              <w:fldChar w:fldCharType="end"/>
            </w:r>
            <w:r>
              <w:rPr>
                <w:rFonts w:cs="Times New Roman"/>
                <w:sz w:val="15"/>
                <w:szCs w:val="15"/>
              </w:rPr>
              <w:t>.</w:t>
            </w:r>
          </w:p>
        </w:tc>
        <w:tc>
          <w:tcPr>
            <w:tcW w:w="12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09E000DA" w14:textId="77777777" w:rsidR="00C419D2" w:rsidRDefault="00C419D2" w:rsidP="00D176D1">
            <w:pPr>
              <w:jc w:val="center"/>
              <w:rPr>
                <w:rFonts w:cs="Times New Roman"/>
                <w:sz w:val="15"/>
                <w:szCs w:val="15"/>
              </w:rPr>
            </w:pPr>
            <w:r>
              <w:rPr>
                <w:rFonts w:cs="Times New Roman"/>
                <w:sz w:val="15"/>
                <w:szCs w:val="15"/>
              </w:rPr>
              <w:t>global NPP-VIIRS-like nighttime light data</w:t>
            </w:r>
            <w:r>
              <w:rPr>
                <w:rFonts w:cs="Times New Roman"/>
                <w:sz w:val="18"/>
                <w:szCs w:val="20"/>
              </w:rPr>
              <w:fldChar w:fldCharType="begin"/>
            </w:r>
            <w:r>
              <w:rPr>
                <w:rFonts w:cs="Times New Roman"/>
                <w:sz w:val="18"/>
                <w:szCs w:val="20"/>
              </w:rPr>
              <w:instrText xml:space="preserve"> ADDIN ZOTERO_ITEM CSL_CITATION {"citationID":"Lu4HPQEC","properties":{"formattedCitation":"(Chen et al., 2021)","plainCitation":"(Chen et al., 2021)","noteIndex":0},"citationItems":[{"id":868,"uris":["http://zotero.org/users/14190624/items/GBGWNYWW"],"itemData":{"id":868,"type":"article-journal","abstract":"Abstract. The nighttime light (NTL) satellite data have been widely\nused to investigate the urbanization process. The Defense Meteorological\nSatellite Program Operational Linescan System (DMSP-OLS) stable nighttime\nlight data and Suomi National Polar-orbiting Partnership Visible Infrared\nImaging Radiometer Suite (NPP-VIIRS) nighttime light data are two widely\nused NTL datasets. However, the difference in their spatial resolutions and\nsensor design requires a cross-sensor calibration of these two datasets for\nanalyzing a long-term urbanization process. Different from the traditional\ncross-sensor calibration of NTL data by converting NPP-VIIRS to\nDMSP-OLS-like NTL data, this study built an extended time series (2000–2018)\nof NPP-VIIRS-like NTL data through a new cross-sensor calibration from\nDMSP-OLS NTL data (2000–2012) and a composition of monthly NPP-VIIRS NTL\ndata (2013–2018). The proposed cross-sensor calibration is unique due to the\nimage enhancement by using a vegetation index and an auto-encoder model.\nCompared with the annual composited NPP-VIIRS NTL data in 2012, our product\nof extended NPP-VIIRS-like NTL data shows a good consistency at the pixel\nand city levels with R2 of 0.87 and 0.95, respectively. We also found\nthat our product has great accuracy by comparing it with DMSP-OLS radiance-calibrated NTL (RNTL) data in 2000, 2004, 2006, and 2010. Generally, our\nextended NPP-VIIRS-like NTL data (2000–2018) have an excellent spatial\npattern and temporal consistency which are similar to the composited\nNPP-VIIRS NTL data. In addition, the resulting product could be easily\nupdated and provide a useful proxy to monitor the dynamics of demographic\nand socioeconomic activities for a longer time period compared to existing\nproducts. The extended time series (2000–2018) of nighttime light data is\nfreely accessible at https://doi.org/10.7910/DVN/YGIVCD (Chen et\nal., 2020).","container-title":"Earth System Science Data","DOI":"10.5194/essd-13-889-2021","ISSN":"1866-3516","issue":"3","journalAbbreviation":"Earth Syst. Sci. Data","language":"en","license":"https://creativecommons.org/licenses/by/4.0/","page":"889-906","source":"DOI.org (Crossref)","title":"An extended time series (2000–2018) of global NPP-VIIRS-like nighttime light data from a cross-sensor calibration","volume":"13","author":[{"family":"Chen","given":"Zuoqi"},{"family":"Yu","given":"Bailang"},{"family":"Yang","given":"Chengshu"},{"family":"Zhou","given":"Yuyu"},{"family":"Yao","given":"Shenjun"},{"family":"Qian","given":"Xingjian"},{"family":"Wang","given":"Congxiao"},{"family":"Wu","given":"Bin"},{"family":"Wu","given":"Jianping"}],"issued":{"date-parts":[["2021",3,5]]}}}],"schema":"https://github.com/citation-style-language/schema/raw/master/csl-citation.json"} </w:instrText>
            </w:r>
            <w:r>
              <w:rPr>
                <w:rFonts w:cs="Times New Roman"/>
                <w:sz w:val="18"/>
                <w:szCs w:val="20"/>
              </w:rPr>
              <w:fldChar w:fldCharType="separate"/>
            </w:r>
            <w:r>
              <w:rPr>
                <w:rFonts w:cs="Times New Roman"/>
                <w:sz w:val="18"/>
              </w:rPr>
              <w:t>(Chen et al., 2021)</w:t>
            </w:r>
            <w:r>
              <w:rPr>
                <w:rFonts w:cs="Times New Roman"/>
                <w:sz w:val="18"/>
                <w:szCs w:val="20"/>
              </w:rPr>
              <w:fldChar w:fldCharType="end"/>
            </w:r>
          </w:p>
        </w:tc>
        <w:tc>
          <w:tcPr>
            <w:tcW w:w="1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718D6A6F" w14:textId="77777777" w:rsidR="00C419D2" w:rsidRDefault="00C419D2" w:rsidP="00D176D1">
            <w:pPr>
              <w:jc w:val="center"/>
              <w:rPr>
                <w:rFonts w:cs="Times New Roman"/>
                <w:sz w:val="15"/>
                <w:szCs w:val="15"/>
              </w:rPr>
            </w:pPr>
            <w:r>
              <w:rPr>
                <w:rFonts w:cs="Times New Roman"/>
                <w:sz w:val="15"/>
                <w:szCs w:val="15"/>
              </w:rPr>
              <w:t>Year, 500m</w:t>
            </w:r>
          </w:p>
        </w:tc>
      </w:tr>
      <w:tr w:rsidR="00C419D2" w14:paraId="5917B2EA" w14:textId="77777777" w:rsidTr="00D176D1">
        <w:trPr>
          <w:jc w:val="center"/>
        </w:trPr>
        <w:tc>
          <w:tcPr>
            <w:tcW w:w="1390" w:type="dxa"/>
            <w:vMerge/>
            <w:tcBorders>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7C3BCED4" w14:textId="77777777" w:rsidR="00C419D2" w:rsidRDefault="00C419D2" w:rsidP="00D176D1">
            <w:pPr>
              <w:jc w:val="center"/>
              <w:rPr>
                <w:rFonts w:cs="Times New Roman"/>
                <w:sz w:val="15"/>
                <w:szCs w:val="15"/>
              </w:rPr>
            </w:pPr>
          </w:p>
        </w:tc>
        <w:tc>
          <w:tcPr>
            <w:tcW w:w="1224"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1D7A84AB" w14:textId="77777777" w:rsidR="00C419D2" w:rsidRDefault="00C419D2" w:rsidP="00D176D1">
            <w:pPr>
              <w:jc w:val="center"/>
              <w:rPr>
                <w:rFonts w:cs="Times New Roman"/>
                <w:sz w:val="15"/>
                <w:szCs w:val="15"/>
              </w:rPr>
            </w:pPr>
            <w:r>
              <w:rPr>
                <w:rFonts w:cs="Times New Roman"/>
                <w:sz w:val="15"/>
                <w:szCs w:val="15"/>
              </w:rPr>
              <w:t>Population Density</w:t>
            </w:r>
          </w:p>
        </w:tc>
        <w:tc>
          <w:tcPr>
            <w:tcW w:w="1465"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00404C19" w14:textId="77777777" w:rsidR="00C419D2" w:rsidRDefault="00C419D2" w:rsidP="00D176D1">
            <w:pPr>
              <w:jc w:val="center"/>
              <w:rPr>
                <w:rFonts w:cs="Times New Roman"/>
                <w:sz w:val="15"/>
                <w:szCs w:val="15"/>
              </w:rPr>
            </w:pPr>
            <w:r>
              <w:rPr>
                <w:rFonts w:cs="Times New Roman"/>
                <w:sz w:val="15"/>
                <w:szCs w:val="15"/>
              </w:rPr>
              <w:t>Population per unit area (</w:t>
            </w:r>
            <m:oMath>
              <m:r>
                <w:rPr>
                  <w:rFonts w:ascii="Cambria Math" w:hAnsi="Cambria Math" w:cs="Times New Roman"/>
                  <w:sz w:val="15"/>
                  <w:szCs w:val="15"/>
                </w:rPr>
                <m:t>people/k</m:t>
              </m:r>
              <m:sSup>
                <m:sSupPr>
                  <m:ctrlPr>
                    <w:rPr>
                      <w:rFonts w:ascii="Cambria Math" w:hAnsi="Cambria Math" w:cs="Times New Roman"/>
                      <w:i/>
                      <w:iCs/>
                      <w:sz w:val="15"/>
                      <w:szCs w:val="15"/>
                    </w:rPr>
                  </m:ctrlPr>
                </m:sSupPr>
                <m:e>
                  <m:r>
                    <w:rPr>
                      <w:rFonts w:ascii="Cambria Math" w:hAnsi="Cambria Math" w:cs="Times New Roman"/>
                      <w:sz w:val="15"/>
                      <w:szCs w:val="15"/>
                    </w:rPr>
                    <m:t>m</m:t>
                  </m:r>
                </m:e>
                <m:sup>
                  <m:r>
                    <w:rPr>
                      <w:rFonts w:ascii="Cambria Math" w:hAnsi="Cambria Math" w:cs="Times New Roman"/>
                      <w:sz w:val="15"/>
                      <w:szCs w:val="15"/>
                    </w:rPr>
                    <m:t>2</m:t>
                  </m:r>
                </m:sup>
              </m:sSup>
            </m:oMath>
            <w:r>
              <w:rPr>
                <w:rFonts w:cs="Times New Roman"/>
                <w:sz w:val="15"/>
                <w:szCs w:val="15"/>
              </w:rPr>
              <w:t>)</w:t>
            </w:r>
          </w:p>
        </w:tc>
        <w:tc>
          <w:tcPr>
            <w:tcW w:w="2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3DB4027F" w14:textId="77777777" w:rsidR="00C419D2" w:rsidRDefault="00C419D2" w:rsidP="00D176D1">
            <w:pPr>
              <w:jc w:val="center"/>
              <w:rPr>
                <w:rFonts w:cs="Times New Roman"/>
                <w:sz w:val="15"/>
                <w:szCs w:val="15"/>
              </w:rPr>
            </w:pPr>
            <w:r>
              <w:rPr>
                <w:rFonts w:cs="Times New Roman"/>
                <w:sz w:val="15"/>
                <w:szCs w:val="15"/>
              </w:rPr>
              <w:t>Indicative of potential anthropogenic heat emission intensity and heat wave exposure vulnerability</w:t>
            </w:r>
            <w:r>
              <w:rPr>
                <w:rFonts w:cs="Times New Roman"/>
                <w:sz w:val="18"/>
                <w:szCs w:val="20"/>
              </w:rPr>
              <w:fldChar w:fldCharType="begin"/>
            </w:r>
            <w:r>
              <w:rPr>
                <w:rFonts w:cs="Times New Roman"/>
                <w:sz w:val="18"/>
                <w:szCs w:val="20"/>
              </w:rPr>
              <w:instrText xml:space="preserve"> ADDIN ZOTERO_ITEM CSL_CITATION {"citationID":"MsRixuAn","properties":{"formattedCitation":"(Li et al., 2020)","plainCitation":"(Li et al., 2020)","noteIndex":0},"citationItems":[{"id":827,"uris":["http://zotero.org/users/14190624/items/ZFCXLFEQ"],"itemData":{"id":827,"type":"article-journal","abstract":"The canopy layer urban heat island (UHI) effect, as manifested by elevated near-surface air temperatures in urban areas, exposes urban dwellers to additional heat stress in many cities, specially during heat waves. We simulate the urban climate of various generated cities under the same weather conditions. For mono-centric cities, we propose a linear combination of logarithmic city area and logarithmic gross building volume, which also captures the influence of building density. By studying various city shapes, we generalise and propose a reduced form to estimate UHI intensities based only on the structure of urban sites, as well as their relative distances. We conclude that in addition to the size, the UHI intensity of a city is directly related to the density and an amplifying effect that urban sites have on each other. Our approach can serve as a UHI rule of thumb for the comparison of urban development scenarios.","container-title":"Nature Communications","DOI":"10.1038/s41467-020-16461-9","ISSN":"2041-1723","issue":"1","journalAbbreviation":"Nature Communications","language":"en","page":"2647","title":"On the influence of density and morphology on the Urban Heat Island intensity","volume":"11","author":[{"family":"Li","given":"Yunfei"},{"family":"Schubert","given":"Sebastian"},{"family":"Kropp","given":"Jürgen P."},{"family":"Rybski","given":"Diego"}],"issued":{"date-parts":[["2020",5,27]]}}}],"schema":"https://github.com/citation-style-language/schema/raw/master/csl-citation.json"} </w:instrText>
            </w:r>
            <w:r>
              <w:rPr>
                <w:rFonts w:cs="Times New Roman"/>
                <w:sz w:val="18"/>
                <w:szCs w:val="20"/>
              </w:rPr>
              <w:fldChar w:fldCharType="separate"/>
            </w:r>
            <w:r>
              <w:rPr>
                <w:rFonts w:cs="Times New Roman"/>
                <w:sz w:val="18"/>
              </w:rPr>
              <w:t>(Li et al., 2020)</w:t>
            </w:r>
            <w:r>
              <w:rPr>
                <w:rFonts w:cs="Times New Roman"/>
                <w:sz w:val="18"/>
                <w:szCs w:val="20"/>
              </w:rPr>
              <w:fldChar w:fldCharType="end"/>
            </w:r>
            <w:r>
              <w:rPr>
                <w:rFonts w:cs="Times New Roman"/>
                <w:sz w:val="18"/>
                <w:szCs w:val="20"/>
              </w:rPr>
              <w:t>。</w:t>
            </w:r>
          </w:p>
        </w:tc>
        <w:tc>
          <w:tcPr>
            <w:tcW w:w="12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3DD08A72" w14:textId="77777777" w:rsidR="00C419D2" w:rsidRDefault="00C419D2" w:rsidP="00D176D1">
            <w:pPr>
              <w:jc w:val="center"/>
              <w:rPr>
                <w:rFonts w:cs="Times New Roman"/>
                <w:sz w:val="15"/>
                <w:szCs w:val="15"/>
              </w:rPr>
            </w:pPr>
            <w:r>
              <w:rPr>
                <w:rFonts w:cs="Times New Roman"/>
                <w:sz w:val="15"/>
                <w:szCs w:val="15"/>
              </w:rPr>
              <w:t>LandScan dataset</w:t>
            </w:r>
            <w:r>
              <w:rPr>
                <w:rFonts w:cs="Times New Roman"/>
                <w:sz w:val="15"/>
                <w:szCs w:val="15"/>
              </w:rPr>
              <w:fldChar w:fldCharType="begin"/>
            </w:r>
            <w:r>
              <w:rPr>
                <w:rFonts w:cs="Times New Roman"/>
                <w:sz w:val="15"/>
                <w:szCs w:val="15"/>
              </w:rPr>
              <w:instrText xml:space="preserve"> ADDIN ZOTERO_ITEM CSL_CITATION {"citationID":"FwUKInZh","properties":{"formattedCitation":"(Lebakula et al., 2024)","plainCitation":"(Lebakula et al., 2024)","noteIndex":0},"citationItems":[{"id":909,"uris":["http://zotero.org/users/14190624/items/5WEYBLMW"],"itemData":{"id":909,"type":"dataset","abstract":"The LandScan Silver Edition represents a major methodological advancement in the LandScan program, leveraging the geospatial datasets and LandScan Global 2022 datasets to train the machine learning models. This release builds on the legacy of previous versions while introducing key improvements in reproducibility, transparency, and efficiency. It also enhances the review process and accelerates revisions, contributing to a more robust and reliable global population dataset.","DOI":"10.48690/1531770","event-place":"Oak Ridge, TN","language":"en","note":"section: October 09, 2024","publisher":"Oak Ridge National Laboratory","publisher-place":"Oak Ridge, TN","title":"LandScan Silver Edition","version":"tion","author":[{"family":"Lebakula","given":"Viswadeep"},{"family":"Epting","given":"Justin"},{"family":"Moehl","given":"Jessica"},{"family":"Stipek","given":"Clinton"},{"family":"Adams","given":"Daniel"},{"family":"Reith","given":"Andrew"},{"family":"Kaufman","given":"Jason"},{"family":"Gonzales","given":"Jack"},{"family":"Reynolds","given":"Brandyn"},{"family":"Basford","given":"Scott"},{"family":"Martin","given":"Aubre"},{"family":"Buck","given":"Whitson"},{"family":"Faxon","given":"Abbie"},{"family":"Cunningham","given":"Angela"},{"family":"Roy","given":"Annarupa"},{"family":"Barbose","given":"Zachary"},{"family":"Massaro","given":"Jim"},{"family":"Walters","given":"Sarah"},{"family":"Woody","given":"Carson"},{"family":"Iman","given":"Alex"},{"family":"Wilkins","given":"Annie"},{"family":"Powell","given":"Eric"},{"family":"Urban","given":"Marie"}],"issued":{"date-parts":[["2024"]]}}}],"schema":"https://github.com/citation-style-language/schema/raw/master/csl-citation.json"} </w:instrText>
            </w:r>
            <w:r>
              <w:rPr>
                <w:rFonts w:cs="Times New Roman"/>
                <w:sz w:val="15"/>
                <w:szCs w:val="15"/>
              </w:rPr>
              <w:fldChar w:fldCharType="separate"/>
            </w:r>
            <w:r>
              <w:rPr>
                <w:rFonts w:cs="Times New Roman"/>
                <w:sz w:val="15"/>
              </w:rPr>
              <w:t>(Lebakula et al., 2024)</w:t>
            </w:r>
            <w:r>
              <w:rPr>
                <w:rFonts w:cs="Times New Roman"/>
                <w:sz w:val="15"/>
                <w:szCs w:val="15"/>
              </w:rPr>
              <w:fldChar w:fldCharType="end"/>
            </w:r>
          </w:p>
        </w:tc>
        <w:tc>
          <w:tcPr>
            <w:tcW w:w="129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vAlign w:val="center"/>
          </w:tcPr>
          <w:p w14:paraId="045C0425" w14:textId="77777777" w:rsidR="00C419D2" w:rsidRDefault="00C419D2" w:rsidP="00D176D1">
            <w:pPr>
              <w:jc w:val="center"/>
              <w:rPr>
                <w:rFonts w:cs="Times New Roman"/>
                <w:sz w:val="15"/>
                <w:szCs w:val="15"/>
              </w:rPr>
            </w:pPr>
            <w:r>
              <w:rPr>
                <w:rFonts w:cs="Times New Roman"/>
                <w:sz w:val="15"/>
                <w:szCs w:val="15"/>
              </w:rPr>
              <w:t>Year, 1km</w:t>
            </w:r>
          </w:p>
        </w:tc>
      </w:tr>
      <w:bookmarkEnd w:id="0"/>
    </w:tbl>
    <w:p w14:paraId="50265037"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Google Sans Text">
    <w:altName w:val="Calibri"/>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9D2"/>
    <w:rsid w:val="005C0D39"/>
    <w:rsid w:val="005E691E"/>
    <w:rsid w:val="0070406C"/>
    <w:rsid w:val="00724754"/>
    <w:rsid w:val="00C321FA"/>
    <w:rsid w:val="00C419D2"/>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FC44F"/>
  <w15:chartTrackingRefBased/>
  <w15:docId w15:val="{AB24E1DB-5A1D-43EE-A1E1-6019800F2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9D2"/>
    <w:pPr>
      <w:widowControl w:val="0"/>
      <w:spacing w:after="0" w:line="240" w:lineRule="auto"/>
      <w:jc w:val="both"/>
    </w:pPr>
    <w:rPr>
      <w:rFonts w:ascii="Times New Roman" w:eastAsia="SimSun" w:hAnsi="Times New Roman"/>
      <w:sz w:val="21"/>
      <w:szCs w:val="22"/>
      <w:lang w:val="en-US" w:eastAsia="zh-CN"/>
      <w14:ligatures w14:val="none"/>
    </w:rPr>
  </w:style>
  <w:style w:type="paragraph" w:styleId="Heading1">
    <w:name w:val="heading 1"/>
    <w:basedOn w:val="Normal"/>
    <w:next w:val="Normal"/>
    <w:link w:val="Heading1Char"/>
    <w:qFormat/>
    <w:rsid w:val="00C419D2"/>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C419D2"/>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C419D2"/>
    <w:pPr>
      <w:keepNext/>
      <w:keepLines/>
      <w:widowControl/>
      <w:spacing w:before="160" w:after="80" w:line="278" w:lineRule="auto"/>
      <w:jc w:val="left"/>
      <w:outlineLvl w:val="2"/>
    </w:pPr>
    <w:rPr>
      <w:rFonts w:asciiTheme="minorHAnsi" w:eastAsiaTheme="majorEastAsia" w:hAnsiTheme="minorHAnsi"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C419D2"/>
    <w:pPr>
      <w:keepNext/>
      <w:keepLines/>
      <w:widowControl/>
      <w:spacing w:before="80" w:after="40" w:line="278" w:lineRule="auto"/>
      <w:jc w:val="left"/>
      <w:outlineLvl w:val="3"/>
    </w:pPr>
    <w:rPr>
      <w:rFonts w:asciiTheme="minorHAnsi" w:eastAsiaTheme="majorEastAsia" w:hAnsiTheme="minorHAnsi" w:cstheme="majorBidi"/>
      <w:i/>
      <w:iCs/>
      <w:color w:val="0F4761" w:themeColor="accent1" w:themeShade="BF"/>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C419D2"/>
    <w:pPr>
      <w:keepNext/>
      <w:keepLines/>
      <w:widowControl/>
      <w:spacing w:before="80" w:after="40" w:line="278" w:lineRule="auto"/>
      <w:jc w:val="left"/>
      <w:outlineLvl w:val="4"/>
    </w:pPr>
    <w:rPr>
      <w:rFonts w:asciiTheme="minorHAnsi" w:eastAsiaTheme="majorEastAsia" w:hAnsiTheme="minorHAnsi" w:cstheme="majorBidi"/>
      <w:color w:val="0F4761" w:themeColor="accent1" w:themeShade="BF"/>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C419D2"/>
    <w:pPr>
      <w:keepNext/>
      <w:keepLines/>
      <w:widowControl/>
      <w:spacing w:before="40" w:line="278" w:lineRule="auto"/>
      <w:jc w:val="left"/>
      <w:outlineLvl w:val="5"/>
    </w:pPr>
    <w:rPr>
      <w:rFonts w:asciiTheme="minorHAnsi" w:eastAsiaTheme="majorEastAsia" w:hAnsiTheme="minorHAnsi" w:cstheme="majorBidi"/>
      <w:i/>
      <w:iCs/>
      <w:color w:val="595959" w:themeColor="text1" w:themeTint="A6"/>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C419D2"/>
    <w:pPr>
      <w:keepNext/>
      <w:keepLines/>
      <w:widowControl/>
      <w:spacing w:before="40" w:line="278" w:lineRule="auto"/>
      <w:jc w:val="left"/>
      <w:outlineLvl w:val="6"/>
    </w:pPr>
    <w:rPr>
      <w:rFonts w:asciiTheme="minorHAnsi" w:eastAsiaTheme="majorEastAsia" w:hAnsiTheme="minorHAnsi" w:cstheme="majorBidi"/>
      <w:color w:val="595959" w:themeColor="text1" w:themeTint="A6"/>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C419D2"/>
    <w:pPr>
      <w:keepNext/>
      <w:keepLines/>
      <w:widowControl/>
      <w:spacing w:line="278" w:lineRule="auto"/>
      <w:jc w:val="left"/>
      <w:outlineLvl w:val="7"/>
    </w:pPr>
    <w:rPr>
      <w:rFonts w:asciiTheme="minorHAnsi" w:eastAsiaTheme="majorEastAsia" w:hAnsiTheme="minorHAnsi" w:cstheme="majorBidi"/>
      <w:i/>
      <w:iCs/>
      <w:color w:val="272727" w:themeColor="text1" w:themeTint="D8"/>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C419D2"/>
    <w:pPr>
      <w:keepNext/>
      <w:keepLines/>
      <w:widowControl/>
      <w:spacing w:line="278" w:lineRule="auto"/>
      <w:jc w:val="left"/>
      <w:outlineLvl w:val="8"/>
    </w:pPr>
    <w:rPr>
      <w:rFonts w:asciiTheme="minorHAnsi" w:eastAsiaTheme="majorEastAsia" w:hAnsiTheme="minorHAnsi" w:cstheme="majorBidi"/>
      <w:color w:val="272727" w:themeColor="text1" w:themeTint="D8"/>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419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19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19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19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19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19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19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19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19D2"/>
    <w:rPr>
      <w:rFonts w:eastAsiaTheme="majorEastAsia" w:cstheme="majorBidi"/>
      <w:color w:val="272727" w:themeColor="text1" w:themeTint="D8"/>
    </w:rPr>
  </w:style>
  <w:style w:type="paragraph" w:styleId="Title">
    <w:name w:val="Title"/>
    <w:basedOn w:val="Normal"/>
    <w:next w:val="Normal"/>
    <w:link w:val="TitleChar"/>
    <w:uiPriority w:val="10"/>
    <w:qFormat/>
    <w:rsid w:val="00C419D2"/>
    <w:pPr>
      <w:widowControl/>
      <w:spacing w:after="8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C419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19D2"/>
    <w:pPr>
      <w:widowControl/>
      <w:numPr>
        <w:ilvl w:val="1"/>
      </w:numPr>
      <w:spacing w:after="160" w:line="278" w:lineRule="auto"/>
      <w:jc w:val="left"/>
    </w:pPr>
    <w:rPr>
      <w:rFonts w:asciiTheme="minorHAnsi" w:eastAsiaTheme="majorEastAsia" w:hAnsiTheme="minorHAnsi"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C419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19D2"/>
    <w:pPr>
      <w:widowControl/>
      <w:spacing w:before="160" w:after="160" w:line="278" w:lineRule="auto"/>
      <w:jc w:val="center"/>
    </w:pPr>
    <w:rPr>
      <w:rFonts w:asciiTheme="minorHAnsi" w:eastAsiaTheme="minorHAnsi" w:hAnsiTheme="minorHAnsi"/>
      <w:i/>
      <w:iCs/>
      <w:color w:val="404040" w:themeColor="text1" w:themeTint="BF"/>
      <w:sz w:val="24"/>
      <w:szCs w:val="24"/>
      <w:lang w:val="en-IN" w:eastAsia="en-US"/>
      <w14:ligatures w14:val="standardContextual"/>
    </w:rPr>
  </w:style>
  <w:style w:type="character" w:customStyle="1" w:styleId="QuoteChar">
    <w:name w:val="Quote Char"/>
    <w:basedOn w:val="DefaultParagraphFont"/>
    <w:link w:val="Quote"/>
    <w:uiPriority w:val="29"/>
    <w:rsid w:val="00C419D2"/>
    <w:rPr>
      <w:i/>
      <w:iCs/>
      <w:color w:val="404040" w:themeColor="text1" w:themeTint="BF"/>
    </w:rPr>
  </w:style>
  <w:style w:type="paragraph" w:styleId="ListParagraph">
    <w:name w:val="List Paragraph"/>
    <w:basedOn w:val="Normal"/>
    <w:uiPriority w:val="34"/>
    <w:qFormat/>
    <w:rsid w:val="00C419D2"/>
    <w:pPr>
      <w:widowControl/>
      <w:spacing w:after="160" w:line="278" w:lineRule="auto"/>
      <w:ind w:left="720"/>
      <w:contextualSpacing/>
      <w:jc w:val="left"/>
    </w:pPr>
    <w:rPr>
      <w:rFonts w:asciiTheme="minorHAnsi" w:eastAsiaTheme="minorHAnsi" w:hAnsiTheme="minorHAnsi"/>
      <w:sz w:val="24"/>
      <w:szCs w:val="24"/>
      <w:lang w:val="en-IN" w:eastAsia="en-US"/>
      <w14:ligatures w14:val="standardContextual"/>
    </w:rPr>
  </w:style>
  <w:style w:type="character" w:styleId="IntenseEmphasis">
    <w:name w:val="Intense Emphasis"/>
    <w:basedOn w:val="DefaultParagraphFont"/>
    <w:uiPriority w:val="21"/>
    <w:qFormat/>
    <w:rsid w:val="00C419D2"/>
    <w:rPr>
      <w:i/>
      <w:iCs/>
      <w:color w:val="0F4761" w:themeColor="accent1" w:themeShade="BF"/>
    </w:rPr>
  </w:style>
  <w:style w:type="paragraph" w:styleId="IntenseQuote">
    <w:name w:val="Intense Quote"/>
    <w:basedOn w:val="Normal"/>
    <w:next w:val="Normal"/>
    <w:link w:val="IntenseQuoteChar"/>
    <w:uiPriority w:val="30"/>
    <w:qFormat/>
    <w:rsid w:val="00C419D2"/>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C419D2"/>
    <w:rPr>
      <w:i/>
      <w:iCs/>
      <w:color w:val="0F4761" w:themeColor="accent1" w:themeShade="BF"/>
    </w:rPr>
  </w:style>
  <w:style w:type="character" w:styleId="IntenseReference">
    <w:name w:val="Intense Reference"/>
    <w:basedOn w:val="DefaultParagraphFont"/>
    <w:uiPriority w:val="32"/>
    <w:qFormat/>
    <w:rsid w:val="00C419D2"/>
    <w:rPr>
      <w:b/>
      <w:bCs/>
      <w:smallCaps/>
      <w:color w:val="0F4761" w:themeColor="accent1" w:themeShade="BF"/>
      <w:spacing w:val="5"/>
    </w:rPr>
  </w:style>
  <w:style w:type="character" w:styleId="Hyperlink">
    <w:name w:val="Hyperlink"/>
    <w:basedOn w:val="DefaultParagraphFont"/>
    <w:uiPriority w:val="99"/>
    <w:unhideWhenUsed/>
    <w:qFormat/>
    <w:rsid w:val="00C419D2"/>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meicmodel.org.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6342</Words>
  <Characters>40152</Characters>
  <Application>Microsoft Office Word</Application>
  <DocSecurity>0</DocSecurity>
  <Lines>933</Lines>
  <Paragraphs>329</Paragraphs>
  <ScaleCrop>false</ScaleCrop>
  <Company/>
  <LinksUpToDate>false</LinksUpToDate>
  <CharactersWithSpaces>46165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2025-11-05T06:31:00Z</dcterms:created>
  <dcterms:modified xsi:type="dcterms:W3CDTF">2025-11-05T06:31:00Z</dcterms:modified>
</cp:coreProperties>
</file>