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CAACF" w14:textId="77777777" w:rsidR="003C7B5F" w:rsidRPr="00A70E09" w:rsidRDefault="003C7B5F" w:rsidP="003C7B5F">
      <w:pPr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  <w:r w:rsidRPr="00A70E09">
        <w:rPr>
          <w:rFonts w:eastAsia="Times New Roman"/>
          <w:b/>
          <w:bCs/>
          <w:color w:val="000000" w:themeColor="text1"/>
          <w:kern w:val="2"/>
          <w:sz w:val="20"/>
          <w:szCs w:val="20"/>
          <w:lang w:val="en-US"/>
        </w:rPr>
        <w:t>Table 1</w:t>
      </w:r>
      <w:r w:rsidRPr="00A70E09">
        <w:rPr>
          <w:color w:val="000000" w:themeColor="text1"/>
          <w:kern w:val="2"/>
          <w:sz w:val="20"/>
          <w:szCs w:val="20"/>
          <w:lang w:val="en-US"/>
        </w:rPr>
        <w:t xml:space="preserve">. 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Baseline Clinical Characteristics of the Study Population</w:t>
      </w:r>
    </w:p>
    <w:tbl>
      <w:tblPr>
        <w:tblW w:w="9634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17"/>
        <w:gridCol w:w="3292"/>
        <w:gridCol w:w="3350"/>
        <w:gridCol w:w="1275"/>
      </w:tblGrid>
      <w:tr w:rsidR="003C7B5F" w:rsidRPr="00A70E09" w14:paraId="60F3C1E5" w14:textId="77777777" w:rsidTr="004E62C2">
        <w:trPr>
          <w:trHeight w:val="391"/>
        </w:trPr>
        <w:tc>
          <w:tcPr>
            <w:tcW w:w="1717" w:type="dxa"/>
            <w:tcBorders>
              <w:bottom w:val="single" w:sz="4" w:space="0" w:color="auto"/>
            </w:tcBorders>
          </w:tcPr>
          <w:p w14:paraId="5C71A54F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MS PGothic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3292" w:type="dxa"/>
            <w:tcBorders>
              <w:bottom w:val="single" w:sz="4" w:space="0" w:color="auto"/>
            </w:tcBorders>
          </w:tcPr>
          <w:p w14:paraId="0EDFA6F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b/>
                <w:color w:val="000000" w:themeColor="text1"/>
                <w:kern w:val="2"/>
                <w:sz w:val="20"/>
                <w:szCs w:val="20"/>
                <w:lang w:val="en-US"/>
              </w:rPr>
              <w:t>Anti-Ro52 antibody-positive patients</w:t>
            </w:r>
            <w:r w:rsidRPr="00A70E09">
              <w:rPr>
                <w:rFonts w:eastAsia="MS PGothic"/>
                <w:b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="Times New Roman"/>
                <w:b/>
                <w:color w:val="000000" w:themeColor="text1"/>
                <w:kern w:val="2"/>
                <w:sz w:val="20"/>
                <w:szCs w:val="20"/>
                <w:lang w:val="en-US"/>
              </w:rPr>
              <w:t>N=44)</w:t>
            </w:r>
          </w:p>
        </w:tc>
        <w:tc>
          <w:tcPr>
            <w:tcW w:w="3350" w:type="dxa"/>
            <w:tcBorders>
              <w:bottom w:val="single" w:sz="4" w:space="0" w:color="auto"/>
            </w:tcBorders>
          </w:tcPr>
          <w:p w14:paraId="3513F37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b/>
                <w:color w:val="000000" w:themeColor="text1"/>
                <w:kern w:val="2"/>
                <w:sz w:val="20"/>
                <w:szCs w:val="20"/>
                <w:lang w:val="en-US"/>
              </w:rPr>
              <w:t>Anti-Ro52 antibody-negative patients (N=5</w:t>
            </w:r>
            <w:r w:rsidRPr="00A70E09">
              <w:rPr>
                <w:rFonts w:eastAsiaTheme="minorEastAsia"/>
                <w:b/>
                <w:color w:val="000000" w:themeColor="text1"/>
                <w:kern w:val="2"/>
                <w:sz w:val="20"/>
                <w:szCs w:val="20"/>
                <w:lang w:val="en-US"/>
              </w:rPr>
              <w:t>2</w:t>
            </w:r>
            <w:r w:rsidRPr="00A70E09">
              <w:rPr>
                <w:rFonts w:eastAsia="Times New Roman"/>
                <w:b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9710C5A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b/>
                <w:i/>
                <w:color w:val="000000" w:themeColor="text1"/>
                <w:kern w:val="2"/>
                <w:sz w:val="20"/>
                <w:szCs w:val="20"/>
                <w:lang w:val="en-US"/>
              </w:rPr>
              <w:t>P-</w:t>
            </w:r>
            <w:r w:rsidRPr="00A70E09">
              <w:rPr>
                <w:rFonts w:eastAsia="Times New Roman"/>
                <w:b/>
                <w:color w:val="000000" w:themeColor="text1"/>
                <w:kern w:val="2"/>
                <w:sz w:val="20"/>
                <w:szCs w:val="20"/>
                <w:lang w:val="en-US"/>
              </w:rPr>
              <w:t>value *</w:t>
            </w:r>
          </w:p>
        </w:tc>
      </w:tr>
      <w:tr w:rsidR="003C7B5F" w:rsidRPr="00A70E09" w14:paraId="3588E5F4" w14:textId="77777777" w:rsidTr="004E62C2">
        <w:trPr>
          <w:trHeight w:val="206"/>
        </w:trPr>
        <w:tc>
          <w:tcPr>
            <w:tcW w:w="1717" w:type="dxa"/>
            <w:tcBorders>
              <w:top w:val="single" w:sz="4" w:space="0" w:color="auto"/>
            </w:tcBorders>
          </w:tcPr>
          <w:p w14:paraId="026248EF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3292" w:type="dxa"/>
            <w:tcBorders>
              <w:top w:val="single" w:sz="4" w:space="0" w:color="auto"/>
            </w:tcBorders>
          </w:tcPr>
          <w:p w14:paraId="0F94AB0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69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59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76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3350" w:type="dxa"/>
            <w:tcBorders>
              <w:top w:val="single" w:sz="4" w:space="0" w:color="auto"/>
            </w:tcBorders>
          </w:tcPr>
          <w:p w14:paraId="5571F9D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72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60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77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08ABD32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559</w:t>
            </w:r>
          </w:p>
        </w:tc>
      </w:tr>
      <w:tr w:rsidR="003C7B5F" w:rsidRPr="00A70E09" w14:paraId="616845B4" w14:textId="77777777" w:rsidTr="004E62C2">
        <w:trPr>
          <w:trHeight w:val="267"/>
        </w:trPr>
        <w:tc>
          <w:tcPr>
            <w:tcW w:w="1717" w:type="dxa"/>
          </w:tcPr>
          <w:p w14:paraId="5FEAA3B8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Sex (male)</w:t>
            </w:r>
          </w:p>
        </w:tc>
        <w:tc>
          <w:tcPr>
            <w:tcW w:w="3292" w:type="dxa"/>
          </w:tcPr>
          <w:p w14:paraId="4797C121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12 (27.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3350" w:type="dxa"/>
          </w:tcPr>
          <w:p w14:paraId="23D8EF6C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25 (4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.1)</w:t>
            </w:r>
          </w:p>
        </w:tc>
        <w:tc>
          <w:tcPr>
            <w:tcW w:w="1275" w:type="dxa"/>
          </w:tcPr>
          <w:p w14:paraId="5465D34E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0.05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</w:t>
            </w:r>
          </w:p>
        </w:tc>
      </w:tr>
      <w:tr w:rsidR="003C7B5F" w:rsidRPr="00A70E09" w14:paraId="543E8DEB" w14:textId="77777777" w:rsidTr="004E62C2">
        <w:trPr>
          <w:trHeight w:val="231"/>
        </w:trPr>
        <w:tc>
          <w:tcPr>
            <w:tcW w:w="1717" w:type="dxa"/>
          </w:tcPr>
          <w:p w14:paraId="7846F995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BMI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k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g/m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vertAlign w:val="superscript"/>
                <w:lang w:val="en-US"/>
              </w:rPr>
              <w:t>2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3292" w:type="dxa"/>
          </w:tcPr>
          <w:p w14:paraId="55E1B83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22.9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20.88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26.0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3350" w:type="dxa"/>
          </w:tcPr>
          <w:p w14:paraId="4F66311D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22.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20.4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24.6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1275" w:type="dxa"/>
          </w:tcPr>
          <w:p w14:paraId="1E76F26A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485</w:t>
            </w:r>
          </w:p>
        </w:tc>
      </w:tr>
      <w:tr w:rsidR="003C7B5F" w:rsidRPr="00A70E09" w14:paraId="431087CB" w14:textId="77777777" w:rsidTr="004E62C2">
        <w:trPr>
          <w:trHeight w:val="231"/>
        </w:trPr>
        <w:tc>
          <w:tcPr>
            <w:tcW w:w="1717" w:type="dxa"/>
          </w:tcPr>
          <w:p w14:paraId="7ED76029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Fever</w:t>
            </w:r>
          </w:p>
        </w:tc>
        <w:tc>
          <w:tcPr>
            <w:tcW w:w="3292" w:type="dxa"/>
          </w:tcPr>
          <w:p w14:paraId="27910566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16 (36.4)</w:t>
            </w:r>
          </w:p>
        </w:tc>
        <w:tc>
          <w:tcPr>
            <w:tcW w:w="3350" w:type="dxa"/>
          </w:tcPr>
          <w:p w14:paraId="0188E151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10 (19.2)</w:t>
            </w:r>
          </w:p>
        </w:tc>
        <w:tc>
          <w:tcPr>
            <w:tcW w:w="1275" w:type="dxa"/>
          </w:tcPr>
          <w:p w14:paraId="7B3889E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0.069</w:t>
            </w:r>
          </w:p>
        </w:tc>
      </w:tr>
      <w:tr w:rsidR="003C7B5F" w:rsidRPr="00A70E09" w14:paraId="05B26F1D" w14:textId="77777777" w:rsidTr="004E62C2">
        <w:trPr>
          <w:trHeight w:val="231"/>
        </w:trPr>
        <w:tc>
          <w:tcPr>
            <w:tcW w:w="1717" w:type="dxa"/>
          </w:tcPr>
          <w:p w14:paraId="6C364066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Arthritis</w:t>
            </w:r>
          </w:p>
        </w:tc>
        <w:tc>
          <w:tcPr>
            <w:tcW w:w="3292" w:type="dxa"/>
          </w:tcPr>
          <w:p w14:paraId="7851781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5 (11.4)</w:t>
            </w:r>
          </w:p>
        </w:tc>
        <w:tc>
          <w:tcPr>
            <w:tcW w:w="3350" w:type="dxa"/>
          </w:tcPr>
          <w:p w14:paraId="68793869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7 (13.5)</w:t>
            </w:r>
          </w:p>
        </w:tc>
        <w:tc>
          <w:tcPr>
            <w:tcW w:w="1275" w:type="dxa"/>
          </w:tcPr>
          <w:p w14:paraId="0D76128D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</w:t>
            </w:r>
          </w:p>
        </w:tc>
      </w:tr>
      <w:tr w:rsidR="003C7B5F" w:rsidRPr="00A70E09" w14:paraId="61313119" w14:textId="77777777" w:rsidTr="004E62C2">
        <w:trPr>
          <w:trHeight w:val="231"/>
        </w:trPr>
        <w:tc>
          <w:tcPr>
            <w:tcW w:w="1717" w:type="dxa"/>
          </w:tcPr>
          <w:p w14:paraId="295D4E61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sz w:val="20"/>
                <w:szCs w:val="20"/>
                <w:lang w:val="en-US"/>
              </w:rPr>
              <w:t>Myalgia</w:t>
            </w:r>
          </w:p>
        </w:tc>
        <w:tc>
          <w:tcPr>
            <w:tcW w:w="3292" w:type="dxa"/>
          </w:tcPr>
          <w:p w14:paraId="7B94A47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 (6.8)</w:t>
            </w:r>
          </w:p>
        </w:tc>
        <w:tc>
          <w:tcPr>
            <w:tcW w:w="3350" w:type="dxa"/>
          </w:tcPr>
          <w:p w14:paraId="10768981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5 (9.6)</w:t>
            </w:r>
          </w:p>
        </w:tc>
        <w:tc>
          <w:tcPr>
            <w:tcW w:w="1275" w:type="dxa"/>
          </w:tcPr>
          <w:p w14:paraId="2E85E1B9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0.723</w:t>
            </w:r>
          </w:p>
        </w:tc>
      </w:tr>
      <w:tr w:rsidR="003C7B5F" w:rsidRPr="00A70E09" w14:paraId="775DECE5" w14:textId="77777777" w:rsidTr="004E62C2">
        <w:trPr>
          <w:trHeight w:val="599"/>
        </w:trPr>
        <w:tc>
          <w:tcPr>
            <w:tcW w:w="1717" w:type="dxa"/>
          </w:tcPr>
          <w:p w14:paraId="37358372" w14:textId="77777777" w:rsidR="003C7B5F" w:rsidRPr="00A70E09" w:rsidRDefault="003C7B5F" w:rsidP="004E62C2">
            <w:pPr>
              <w:snapToGrid w:val="0"/>
              <w:spacing w:line="480" w:lineRule="auto"/>
              <w:ind w:left="160" w:hanging="160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Clinical course    </w:t>
            </w:r>
          </w:p>
          <w:p w14:paraId="1B006D74" w14:textId="77777777" w:rsidR="003C7B5F" w:rsidRPr="00A70E09" w:rsidRDefault="003C7B5F" w:rsidP="004E62C2">
            <w:pPr>
              <w:snapToGrid w:val="0"/>
              <w:spacing w:line="480" w:lineRule="auto"/>
              <w:ind w:left="160" w:hanging="160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   acute</w:t>
            </w:r>
          </w:p>
          <w:p w14:paraId="7A73C817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subacute</w:t>
            </w: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</w:t>
            </w:r>
          </w:p>
          <w:p w14:paraId="46D00919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chronic</w:t>
            </w: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</w:p>
        </w:tc>
        <w:tc>
          <w:tcPr>
            <w:tcW w:w="3292" w:type="dxa"/>
          </w:tcPr>
          <w:p w14:paraId="35F9EFE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5075595E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22 (50.0)</w:t>
            </w:r>
          </w:p>
          <w:p w14:paraId="40F24CEE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10 (22.7)</w:t>
            </w:r>
          </w:p>
          <w:p w14:paraId="2A7E21E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12 (27.3)</w:t>
            </w:r>
          </w:p>
        </w:tc>
        <w:tc>
          <w:tcPr>
            <w:tcW w:w="3350" w:type="dxa"/>
          </w:tcPr>
          <w:p w14:paraId="43E658EE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76EE720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26 (49.1)</w:t>
            </w:r>
          </w:p>
          <w:p w14:paraId="3499995D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12 (22.6)</w:t>
            </w:r>
          </w:p>
          <w:p w14:paraId="039D5364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4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(2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7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.3)</w:t>
            </w:r>
          </w:p>
        </w:tc>
        <w:tc>
          <w:tcPr>
            <w:tcW w:w="1275" w:type="dxa"/>
          </w:tcPr>
          <w:p w14:paraId="4594C532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1.000</w:t>
            </w:r>
          </w:p>
        </w:tc>
      </w:tr>
      <w:tr w:rsidR="003C7B5F" w:rsidRPr="00A70E09" w14:paraId="466562F6" w14:textId="77777777" w:rsidTr="004E62C2">
        <w:trPr>
          <w:trHeight w:val="868"/>
        </w:trPr>
        <w:tc>
          <w:tcPr>
            <w:tcW w:w="1717" w:type="dxa"/>
          </w:tcPr>
          <w:p w14:paraId="6956164F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Clinical pattern    </w:t>
            </w:r>
          </w:p>
          <w:p w14:paraId="26A2BE20" w14:textId="77777777" w:rsidR="003C7B5F" w:rsidRPr="00A70E09" w:rsidRDefault="003C7B5F" w:rsidP="004E62C2">
            <w:pPr>
              <w:snapToGrid w:val="0"/>
              <w:spacing w:line="480" w:lineRule="auto"/>
              <w:ind w:firstLine="160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PM</w:t>
            </w:r>
          </w:p>
          <w:p w14:paraId="4C649AE8" w14:textId="77777777" w:rsidR="003C7B5F" w:rsidRPr="00A70E09" w:rsidRDefault="003C7B5F" w:rsidP="004E62C2">
            <w:pPr>
              <w:snapToGrid w:val="0"/>
              <w:spacing w:line="480" w:lineRule="auto"/>
              <w:ind w:firstLine="160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DM</w:t>
            </w:r>
          </w:p>
          <w:p w14:paraId="4A97827C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CADM</w:t>
            </w: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</w:t>
            </w:r>
          </w:p>
          <w:p w14:paraId="31759E79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IPAF</w:t>
            </w:r>
          </w:p>
        </w:tc>
        <w:tc>
          <w:tcPr>
            <w:tcW w:w="3292" w:type="dxa"/>
          </w:tcPr>
          <w:p w14:paraId="084D501E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19073F4E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7 (15.9)</w:t>
            </w:r>
          </w:p>
          <w:p w14:paraId="461453D9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10 (22.7)</w:t>
            </w:r>
          </w:p>
          <w:p w14:paraId="14E194BC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5 (11.4)</w:t>
            </w:r>
          </w:p>
          <w:p w14:paraId="2D13AF2A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22 (50.0)</w:t>
            </w:r>
          </w:p>
        </w:tc>
        <w:tc>
          <w:tcPr>
            <w:tcW w:w="3350" w:type="dxa"/>
          </w:tcPr>
          <w:p w14:paraId="6733A0F1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42B230B7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9 (17.0)</w:t>
            </w:r>
          </w:p>
          <w:p w14:paraId="4903BD4A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9 (17.0)</w:t>
            </w:r>
          </w:p>
          <w:p w14:paraId="2F818D6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8 (15.1)</w:t>
            </w:r>
          </w:p>
          <w:p w14:paraId="181BB517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6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(50.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1275" w:type="dxa"/>
          </w:tcPr>
          <w:p w14:paraId="79FEFE0E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0.890</w:t>
            </w:r>
          </w:p>
        </w:tc>
      </w:tr>
      <w:tr w:rsidR="003C7B5F" w:rsidRPr="00A70E09" w14:paraId="4B0B3F4E" w14:textId="77777777" w:rsidTr="004E62C2">
        <w:trPr>
          <w:trHeight w:val="1388"/>
        </w:trPr>
        <w:tc>
          <w:tcPr>
            <w:tcW w:w="1717" w:type="dxa"/>
          </w:tcPr>
          <w:p w14:paraId="3A924538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Anti-ARS antibody       </w:t>
            </w:r>
          </w:p>
          <w:p w14:paraId="1876449F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   Jo-1</w:t>
            </w:r>
          </w:p>
          <w:p w14:paraId="0C3341FC" w14:textId="77777777" w:rsidR="003C7B5F" w:rsidRPr="00A70E09" w:rsidRDefault="003C7B5F" w:rsidP="004E62C2">
            <w:pPr>
              <w:snapToGrid w:val="0"/>
              <w:spacing w:line="480" w:lineRule="auto"/>
              <w:ind w:firstLine="160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EJ</w:t>
            </w:r>
          </w:p>
          <w:p w14:paraId="25771932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PL-7</w:t>
            </w:r>
          </w:p>
          <w:p w14:paraId="650E52ED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PL-12</w:t>
            </w:r>
          </w:p>
          <w:p w14:paraId="71903E0A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OJ</w:t>
            </w:r>
          </w:p>
          <w:p w14:paraId="45A8EDB5" w14:textId="77777777" w:rsidR="003C7B5F" w:rsidRPr="00A70E09" w:rsidRDefault="003C7B5F" w:rsidP="004E62C2">
            <w:pPr>
              <w:snapToGrid w:val="0"/>
              <w:spacing w:line="480" w:lineRule="auto"/>
              <w:ind w:firstLineChars="100" w:firstLine="200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3292" w:type="dxa"/>
          </w:tcPr>
          <w:p w14:paraId="7CB41E21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24F4CEFA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5 (11.4)</w:t>
            </w:r>
          </w:p>
          <w:p w14:paraId="5EB51161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 xml:space="preserve">15 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34.1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636897CB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11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25.0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3E94339E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7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(1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5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9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568D0B5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4.5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7BF7F0DF" w14:textId="77777777" w:rsidR="003C7B5F" w:rsidRPr="00A70E09" w:rsidRDefault="003C7B5F" w:rsidP="004E62C2">
            <w:pPr>
              <w:snapToGrid w:val="0"/>
              <w:spacing w:line="480" w:lineRule="auto"/>
              <w:ind w:firstLineChars="650" w:firstLine="1300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4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.5)</w:t>
            </w:r>
          </w:p>
        </w:tc>
        <w:tc>
          <w:tcPr>
            <w:tcW w:w="3350" w:type="dxa"/>
          </w:tcPr>
          <w:p w14:paraId="71E0A20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51B4F30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25 (47.2)</w:t>
            </w:r>
          </w:p>
          <w:p w14:paraId="25DC69ED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5.8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13D871C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5.8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7191C079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 xml:space="preserve">9 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(1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7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7F91D259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15.4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183F8BDB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15.4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1275" w:type="dxa"/>
          </w:tcPr>
          <w:p w14:paraId="58E51D36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689E737C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&lt;0.001</w:t>
            </w:r>
          </w:p>
          <w:p w14:paraId="21C15835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&lt;0.001</w:t>
            </w:r>
          </w:p>
          <w:p w14:paraId="11619BE9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0.0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</w:t>
            </w:r>
          </w:p>
          <w:p w14:paraId="68A6E507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1.000</w:t>
            </w:r>
          </w:p>
          <w:p w14:paraId="65AD1DE6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0.10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</w:t>
            </w:r>
          </w:p>
          <w:p w14:paraId="3D60F106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0.68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4</w:t>
            </w:r>
          </w:p>
        </w:tc>
      </w:tr>
      <w:tr w:rsidR="003C7B5F" w:rsidRPr="00A70E09" w14:paraId="00AE1AC2" w14:textId="77777777" w:rsidTr="004E62C2">
        <w:trPr>
          <w:trHeight w:val="485"/>
        </w:trPr>
        <w:tc>
          <w:tcPr>
            <w:tcW w:w="1717" w:type="dxa"/>
          </w:tcPr>
          <w:p w14:paraId="09888229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CRP</w:t>
            </w:r>
          </w:p>
        </w:tc>
        <w:tc>
          <w:tcPr>
            <w:tcW w:w="3292" w:type="dxa"/>
          </w:tcPr>
          <w:p w14:paraId="54F604C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0.15 (0.03-0.43)</w:t>
            </w:r>
          </w:p>
        </w:tc>
        <w:tc>
          <w:tcPr>
            <w:tcW w:w="3350" w:type="dxa"/>
          </w:tcPr>
          <w:p w14:paraId="7D234F97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0.11 (0.02-0.47)</w:t>
            </w:r>
          </w:p>
        </w:tc>
        <w:tc>
          <w:tcPr>
            <w:tcW w:w="1275" w:type="dxa"/>
          </w:tcPr>
          <w:p w14:paraId="4EB13E41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0.699</w:t>
            </w:r>
          </w:p>
        </w:tc>
      </w:tr>
      <w:tr w:rsidR="003C7B5F" w:rsidRPr="00A70E09" w14:paraId="45DD7EFB" w14:textId="77777777" w:rsidTr="004E62C2">
        <w:trPr>
          <w:trHeight w:val="485"/>
        </w:trPr>
        <w:tc>
          <w:tcPr>
            <w:tcW w:w="1717" w:type="dxa"/>
          </w:tcPr>
          <w:p w14:paraId="32454178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LDH</w:t>
            </w:r>
          </w:p>
        </w:tc>
        <w:tc>
          <w:tcPr>
            <w:tcW w:w="3292" w:type="dxa"/>
          </w:tcPr>
          <w:p w14:paraId="25ED6CE4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249 (217-336)</w:t>
            </w:r>
          </w:p>
        </w:tc>
        <w:tc>
          <w:tcPr>
            <w:tcW w:w="3350" w:type="dxa"/>
          </w:tcPr>
          <w:p w14:paraId="20773312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262 (224-308)</w:t>
            </w:r>
          </w:p>
        </w:tc>
        <w:tc>
          <w:tcPr>
            <w:tcW w:w="1275" w:type="dxa"/>
          </w:tcPr>
          <w:p w14:paraId="17EEF945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0.602</w:t>
            </w:r>
          </w:p>
        </w:tc>
      </w:tr>
      <w:tr w:rsidR="003C7B5F" w:rsidRPr="00A70E09" w14:paraId="53364EFE" w14:textId="77777777" w:rsidTr="004E62C2">
        <w:trPr>
          <w:trHeight w:val="485"/>
        </w:trPr>
        <w:tc>
          <w:tcPr>
            <w:tcW w:w="1717" w:type="dxa"/>
          </w:tcPr>
          <w:p w14:paraId="5D5D3A23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CK</w:t>
            </w:r>
          </w:p>
        </w:tc>
        <w:tc>
          <w:tcPr>
            <w:tcW w:w="3292" w:type="dxa"/>
          </w:tcPr>
          <w:p w14:paraId="5C8C35DE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81.5 (59.0-236.0)</w:t>
            </w:r>
          </w:p>
        </w:tc>
        <w:tc>
          <w:tcPr>
            <w:tcW w:w="3350" w:type="dxa"/>
          </w:tcPr>
          <w:p w14:paraId="09FB67BC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82 (65.5-187.0)</w:t>
            </w:r>
          </w:p>
        </w:tc>
        <w:tc>
          <w:tcPr>
            <w:tcW w:w="1275" w:type="dxa"/>
          </w:tcPr>
          <w:p w14:paraId="0CC741DC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0.695</w:t>
            </w:r>
          </w:p>
        </w:tc>
      </w:tr>
      <w:tr w:rsidR="003C7B5F" w:rsidRPr="00A70E09" w14:paraId="4242E347" w14:textId="77777777" w:rsidTr="004E62C2">
        <w:trPr>
          <w:trHeight w:val="231"/>
        </w:trPr>
        <w:tc>
          <w:tcPr>
            <w:tcW w:w="1717" w:type="dxa"/>
          </w:tcPr>
          <w:p w14:paraId="65813758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Initial KL-6 (U/mL) </w:t>
            </w:r>
          </w:p>
        </w:tc>
        <w:tc>
          <w:tcPr>
            <w:tcW w:w="3292" w:type="dxa"/>
          </w:tcPr>
          <w:p w14:paraId="29351957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1168 (804–1594)</w:t>
            </w:r>
          </w:p>
        </w:tc>
        <w:tc>
          <w:tcPr>
            <w:tcW w:w="3350" w:type="dxa"/>
          </w:tcPr>
          <w:p w14:paraId="7519E76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1000 (65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–17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5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2)</w:t>
            </w:r>
          </w:p>
        </w:tc>
        <w:tc>
          <w:tcPr>
            <w:tcW w:w="1275" w:type="dxa"/>
          </w:tcPr>
          <w:p w14:paraId="7DD07C7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0.5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8</w:t>
            </w:r>
          </w:p>
        </w:tc>
      </w:tr>
      <w:tr w:rsidR="003C7B5F" w:rsidRPr="00A70E09" w14:paraId="33DD817D" w14:textId="77777777" w:rsidTr="004E62C2">
        <w:trPr>
          <w:trHeight w:val="265"/>
        </w:trPr>
        <w:tc>
          <w:tcPr>
            <w:tcW w:w="1717" w:type="dxa"/>
          </w:tcPr>
          <w:p w14:paraId="1B15E7BF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lastRenderedPageBreak/>
              <w:t xml:space="preserve">Initial </w:t>
            </w: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>％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FVC (%)</w:t>
            </w:r>
          </w:p>
        </w:tc>
        <w:tc>
          <w:tcPr>
            <w:tcW w:w="3292" w:type="dxa"/>
          </w:tcPr>
          <w:p w14:paraId="326852C5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78.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6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(6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7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–91.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4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3350" w:type="dxa"/>
          </w:tcPr>
          <w:p w14:paraId="673C14D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77.6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(6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4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89.3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1275" w:type="dxa"/>
          </w:tcPr>
          <w:p w14:paraId="06F9AFE4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0.9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6</w:t>
            </w:r>
          </w:p>
        </w:tc>
      </w:tr>
      <w:tr w:rsidR="003C7B5F" w:rsidRPr="00A70E09" w14:paraId="67DF9601" w14:textId="77777777" w:rsidTr="004E62C2">
        <w:trPr>
          <w:trHeight w:val="229"/>
        </w:trPr>
        <w:tc>
          <w:tcPr>
            <w:tcW w:w="1717" w:type="dxa"/>
          </w:tcPr>
          <w:p w14:paraId="53BD7313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Initial </w:t>
            </w: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>％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DLCO (%)</w:t>
            </w:r>
          </w:p>
        </w:tc>
        <w:tc>
          <w:tcPr>
            <w:tcW w:w="3292" w:type="dxa"/>
          </w:tcPr>
          <w:p w14:paraId="25F4718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5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6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(50.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6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70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3350" w:type="dxa"/>
          </w:tcPr>
          <w:p w14:paraId="2DB30DEC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5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6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49.6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69.4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1275" w:type="dxa"/>
          </w:tcPr>
          <w:p w14:paraId="4929E915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0.6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86</w:t>
            </w:r>
          </w:p>
        </w:tc>
      </w:tr>
      <w:tr w:rsidR="003C7B5F" w:rsidRPr="00A70E09" w14:paraId="7A4F53FB" w14:textId="77777777" w:rsidTr="004E62C2">
        <w:trPr>
          <w:trHeight w:val="1043"/>
        </w:trPr>
        <w:tc>
          <w:tcPr>
            <w:tcW w:w="1717" w:type="dxa"/>
          </w:tcPr>
          <w:p w14:paraId="078A9A3B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HRCT patterns</w:t>
            </w:r>
          </w:p>
          <w:p w14:paraId="6B4B7231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NSIP</w:t>
            </w: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</w:p>
          <w:p w14:paraId="4868BACF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OP</w:t>
            </w:r>
          </w:p>
          <w:p w14:paraId="74D37E86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NSIP with OP </w:t>
            </w:r>
          </w:p>
          <w:p w14:paraId="70A9C706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DAD</w:t>
            </w:r>
          </w:p>
          <w:p w14:paraId="3C452432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UIP</w:t>
            </w:r>
          </w:p>
        </w:tc>
        <w:tc>
          <w:tcPr>
            <w:tcW w:w="3292" w:type="dxa"/>
          </w:tcPr>
          <w:p w14:paraId="438A651C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2F55BFE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25 (56.8)</w:t>
            </w:r>
          </w:p>
          <w:p w14:paraId="07B108B9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3 (6.8)</w:t>
            </w:r>
          </w:p>
          <w:p w14:paraId="2DA84CF7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16 (36.4)</w:t>
            </w:r>
          </w:p>
          <w:p w14:paraId="2C9D7C91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 (0.0)</w:t>
            </w:r>
          </w:p>
          <w:p w14:paraId="30C0A28A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 (0.0)</w:t>
            </w:r>
          </w:p>
        </w:tc>
        <w:tc>
          <w:tcPr>
            <w:tcW w:w="3350" w:type="dxa"/>
          </w:tcPr>
          <w:p w14:paraId="69285622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4B7D339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  <w:t>3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6</w:t>
            </w:r>
            <w:r w:rsidRPr="00A70E09"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(69.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</w:t>
            </w:r>
            <w:r w:rsidRPr="00A70E09"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1D2FF3A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 (3.8)</w:t>
            </w:r>
          </w:p>
          <w:p w14:paraId="53A32D6D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11 (2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36128DA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 (1.9)</w:t>
            </w:r>
          </w:p>
          <w:p w14:paraId="00D2395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 (3.8)</w:t>
            </w:r>
          </w:p>
        </w:tc>
        <w:tc>
          <w:tcPr>
            <w:tcW w:w="1275" w:type="dxa"/>
          </w:tcPr>
          <w:p w14:paraId="1BED5129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0.23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</w:t>
            </w:r>
          </w:p>
        </w:tc>
      </w:tr>
      <w:tr w:rsidR="003C7B5F" w:rsidRPr="00A70E09" w14:paraId="01D5F8BB" w14:textId="77777777" w:rsidTr="004E62C2">
        <w:trPr>
          <w:trHeight w:val="622"/>
        </w:trPr>
        <w:tc>
          <w:tcPr>
            <w:tcW w:w="1717" w:type="dxa"/>
          </w:tcPr>
          <w:p w14:paraId="5055B177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BAL (N=65)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br/>
            </w: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lymphocyte (%)</w:t>
            </w: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br/>
            </w:r>
            <w:r w:rsidRPr="00A70E09">
              <w:rPr>
                <w:rFonts w:eastAsia="Meiryo"/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neutrophil (%)</w:t>
            </w:r>
          </w:p>
        </w:tc>
        <w:tc>
          <w:tcPr>
            <w:tcW w:w="3292" w:type="dxa"/>
          </w:tcPr>
          <w:p w14:paraId="02860C6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6B96B404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39.0 (13.0–57.0)</w:t>
            </w:r>
          </w:p>
          <w:p w14:paraId="0F84ED2D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6.00 (2.0–14.0)</w:t>
            </w:r>
          </w:p>
        </w:tc>
        <w:tc>
          <w:tcPr>
            <w:tcW w:w="3350" w:type="dxa"/>
          </w:tcPr>
          <w:p w14:paraId="798B9B2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7BCC3621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3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4.0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(1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3.7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–6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64457FB4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5.0 (1.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5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–20.0)</w:t>
            </w:r>
          </w:p>
        </w:tc>
        <w:tc>
          <w:tcPr>
            <w:tcW w:w="1275" w:type="dxa"/>
          </w:tcPr>
          <w:p w14:paraId="594115F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30F5D046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803</w:t>
            </w:r>
          </w:p>
          <w:p w14:paraId="6143D1D6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0.5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25</w:t>
            </w:r>
          </w:p>
        </w:tc>
      </w:tr>
    </w:tbl>
    <w:p w14:paraId="08B3C653" w14:textId="77777777" w:rsidR="003C7B5F" w:rsidRPr="00A70E09" w:rsidRDefault="003C7B5F" w:rsidP="003C7B5F">
      <w:pPr>
        <w:widowControl w:val="0"/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  <w:r w:rsidRPr="00A70E09">
        <w:rPr>
          <w:rFonts w:eastAsia="Times New Roman"/>
          <w:b/>
          <w:bCs/>
          <w:color w:val="000000" w:themeColor="text1"/>
          <w:kern w:val="2"/>
          <w:sz w:val="20"/>
          <w:szCs w:val="20"/>
          <w:lang w:val="en-US"/>
        </w:rPr>
        <w:t xml:space="preserve">Abbreviations: 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 xml:space="preserve">BAL, bronchoalveolar lavage; BMI, body mass index; CADM, clinically amyopathic dermatomyositis; </w:t>
      </w:r>
      <w:r w:rsidRPr="00A70E09">
        <w:rPr>
          <w:rFonts w:eastAsiaTheme="minorEastAsia"/>
          <w:color w:val="000000" w:themeColor="text1"/>
          <w:kern w:val="2"/>
          <w:sz w:val="20"/>
          <w:szCs w:val="20"/>
          <w:lang w:val="en-US"/>
        </w:rPr>
        <w:t xml:space="preserve">CK, creatine kinase; CRP, C-reactive protein; 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 xml:space="preserve">CT, computed tomography; DAD, diffuse alveolar damage; DLCO, diffusing capacity of the lungs for carbon monoxide; DM, dermatomyositis; FVC, forced vital capacity; IP, interstitial pneumonia; IPAF, interstitial pneumonia with autoimmune features; KL-6, Krebs von den Lungen-6; </w:t>
      </w:r>
      <w:r w:rsidRPr="00A70E09">
        <w:rPr>
          <w:rFonts w:eastAsiaTheme="minorEastAsia"/>
          <w:color w:val="000000" w:themeColor="text1"/>
          <w:kern w:val="2"/>
          <w:sz w:val="20"/>
          <w:szCs w:val="20"/>
          <w:lang w:val="en-US"/>
        </w:rPr>
        <w:t xml:space="preserve">LDH, lactate dehydrogenase; 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 xml:space="preserve">NSIP, non-specific interstitial pneumonia; OP, organizing pneumonia; PFT, Pulmonary Function Test; PM, polymyositis; UIP, usual interstitial pneumonia </w:t>
      </w:r>
    </w:p>
    <w:p w14:paraId="73CC0DF5" w14:textId="77777777" w:rsidR="003C7B5F" w:rsidRDefault="003C7B5F" w:rsidP="003C7B5F">
      <w:pPr>
        <w:widowControl w:val="0"/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*</w:t>
      </w:r>
      <w:r w:rsidRPr="00A70E09">
        <w:rPr>
          <w:rFonts w:eastAsia="Times New Roman"/>
          <w:i/>
          <w:iCs/>
          <w:color w:val="000000" w:themeColor="text1"/>
          <w:kern w:val="2"/>
          <w:sz w:val="20"/>
          <w:szCs w:val="20"/>
          <w:lang w:val="en-US"/>
        </w:rPr>
        <w:t>P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 xml:space="preserve">-values &lt; 0.05 indicate significant differences. </w:t>
      </w:r>
    </w:p>
    <w:p w14:paraId="4FA92792" w14:textId="77777777" w:rsidR="003C7B5F" w:rsidRDefault="003C7B5F" w:rsidP="003C7B5F">
      <w:pPr>
        <w:widowControl w:val="0"/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26A66788" w14:textId="77777777" w:rsidR="003C7B5F" w:rsidRDefault="003C7B5F" w:rsidP="003C7B5F">
      <w:pPr>
        <w:widowControl w:val="0"/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6C9D3E99" w14:textId="77777777" w:rsidR="003C7B5F" w:rsidRDefault="003C7B5F" w:rsidP="003C7B5F">
      <w:pPr>
        <w:widowControl w:val="0"/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68352AB8" w14:textId="77777777" w:rsidR="003C7B5F" w:rsidRDefault="003C7B5F" w:rsidP="003C7B5F">
      <w:pPr>
        <w:widowControl w:val="0"/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63758086" w14:textId="77777777" w:rsidR="003C7B5F" w:rsidRDefault="003C7B5F" w:rsidP="003C7B5F">
      <w:pPr>
        <w:widowControl w:val="0"/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34D5A052" w14:textId="77777777" w:rsidR="003C7B5F" w:rsidRDefault="003C7B5F" w:rsidP="003C7B5F">
      <w:pPr>
        <w:widowControl w:val="0"/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3DEC5059" w14:textId="77777777" w:rsidR="003C7B5F" w:rsidRPr="00A70E09" w:rsidRDefault="003C7B5F" w:rsidP="003C7B5F">
      <w:pPr>
        <w:widowControl w:val="0"/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76405C7D" w14:textId="77777777" w:rsidR="003C7B5F" w:rsidRPr="00A70E09" w:rsidRDefault="003C7B5F" w:rsidP="003C7B5F">
      <w:pPr>
        <w:snapToGrid w:val="0"/>
        <w:spacing w:line="480" w:lineRule="auto"/>
        <w:rPr>
          <w:color w:val="000000" w:themeColor="text1"/>
          <w:sz w:val="20"/>
          <w:szCs w:val="20"/>
          <w:lang w:val="en-US"/>
        </w:rPr>
      </w:pPr>
    </w:p>
    <w:p w14:paraId="1E291914" w14:textId="77777777" w:rsidR="003C7B5F" w:rsidRPr="00A70E09" w:rsidRDefault="003C7B5F" w:rsidP="003C7B5F">
      <w:pPr>
        <w:snapToGrid w:val="0"/>
        <w:spacing w:line="480" w:lineRule="auto"/>
        <w:rPr>
          <w:color w:val="000000" w:themeColor="text1"/>
          <w:sz w:val="20"/>
          <w:szCs w:val="20"/>
          <w:lang w:val="en-US"/>
        </w:rPr>
      </w:pPr>
    </w:p>
    <w:p w14:paraId="29B3DCDF" w14:textId="77777777" w:rsidR="003C7B5F" w:rsidRPr="00A70E09" w:rsidRDefault="003C7B5F" w:rsidP="003C7B5F">
      <w:pPr>
        <w:snapToGrid w:val="0"/>
        <w:spacing w:line="480" w:lineRule="auto"/>
        <w:rPr>
          <w:color w:val="000000" w:themeColor="text1"/>
          <w:sz w:val="20"/>
          <w:szCs w:val="20"/>
          <w:lang w:val="en-US"/>
        </w:rPr>
      </w:pPr>
    </w:p>
    <w:p w14:paraId="742D3139" w14:textId="77777777" w:rsidR="003C7B5F" w:rsidRPr="00A70E09" w:rsidRDefault="003C7B5F" w:rsidP="003C7B5F">
      <w:pPr>
        <w:snapToGrid w:val="0"/>
        <w:spacing w:line="480" w:lineRule="auto"/>
        <w:rPr>
          <w:color w:val="000000" w:themeColor="text1"/>
          <w:sz w:val="20"/>
          <w:szCs w:val="20"/>
          <w:lang w:val="en-US"/>
        </w:rPr>
      </w:pPr>
    </w:p>
    <w:p w14:paraId="04C64C39" w14:textId="77777777" w:rsidR="003C7B5F" w:rsidRPr="00A70E09" w:rsidRDefault="003C7B5F" w:rsidP="003C7B5F">
      <w:pPr>
        <w:snapToGrid w:val="0"/>
        <w:spacing w:line="480" w:lineRule="auto"/>
        <w:rPr>
          <w:color w:val="000000" w:themeColor="text1"/>
          <w:sz w:val="20"/>
          <w:szCs w:val="20"/>
          <w:lang w:val="en-US"/>
        </w:rPr>
      </w:pPr>
    </w:p>
    <w:p w14:paraId="4666EB91" w14:textId="77777777" w:rsidR="003C7B5F" w:rsidRPr="00A70E09" w:rsidRDefault="003C7B5F" w:rsidP="003C7B5F">
      <w:pPr>
        <w:widowControl w:val="0"/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  <w:r w:rsidRPr="00A70E09">
        <w:rPr>
          <w:rFonts w:eastAsia="Times New Roman"/>
          <w:b/>
          <w:bCs/>
          <w:color w:val="000000" w:themeColor="text1"/>
          <w:kern w:val="2"/>
          <w:sz w:val="20"/>
          <w:szCs w:val="20"/>
          <w:lang w:val="en-US"/>
        </w:rPr>
        <w:lastRenderedPageBreak/>
        <w:t>Table 2.</w:t>
      </w:r>
      <w:r w:rsidRPr="00A70E09">
        <w:rPr>
          <w:rFonts w:eastAsia="Yu Mincho"/>
          <w:color w:val="000000" w:themeColor="text1"/>
          <w:kern w:val="2"/>
          <w:sz w:val="20"/>
          <w:szCs w:val="20"/>
          <w:lang w:val="en-US"/>
        </w:rPr>
        <w:t xml:space="preserve"> Recurrence and 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 xml:space="preserve">Outcomes in Patients with </w:t>
      </w:r>
      <w:proofErr w:type="spellStart"/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AS</w:t>
      </w:r>
      <w:r w:rsidRPr="00A70E09">
        <w:rPr>
          <w:rFonts w:eastAsiaTheme="minorEastAsia"/>
          <w:color w:val="000000" w:themeColor="text1"/>
          <w:kern w:val="2"/>
          <w:sz w:val="20"/>
          <w:szCs w:val="20"/>
          <w:lang w:val="en-US"/>
        </w:rPr>
        <w:t>y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S</w:t>
      </w:r>
      <w:proofErr w:type="spellEnd"/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-ILD</w:t>
      </w:r>
    </w:p>
    <w:tbl>
      <w:tblPr>
        <w:tblW w:w="9580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114"/>
        <w:gridCol w:w="2574"/>
        <w:gridCol w:w="2574"/>
        <w:gridCol w:w="1318"/>
      </w:tblGrid>
      <w:tr w:rsidR="003C7B5F" w:rsidRPr="00A70E09" w14:paraId="58B382B3" w14:textId="77777777" w:rsidTr="004E62C2">
        <w:trPr>
          <w:trHeight w:val="510"/>
        </w:trPr>
        <w:tc>
          <w:tcPr>
            <w:tcW w:w="3114" w:type="dxa"/>
            <w:tcBorders>
              <w:bottom w:val="single" w:sz="4" w:space="0" w:color="auto"/>
            </w:tcBorders>
          </w:tcPr>
          <w:p w14:paraId="7567F0BD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MS PGothic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2574" w:type="dxa"/>
            <w:tcBorders>
              <w:bottom w:val="single" w:sz="4" w:space="0" w:color="auto"/>
            </w:tcBorders>
          </w:tcPr>
          <w:p w14:paraId="2F8B8569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b/>
                <w:color w:val="000000" w:themeColor="text1"/>
                <w:kern w:val="2"/>
                <w:sz w:val="20"/>
                <w:szCs w:val="20"/>
                <w:lang w:val="en-US"/>
              </w:rPr>
              <w:t>Anti-Ro52 antibody-positive patients</w:t>
            </w:r>
            <w:r w:rsidRPr="00A70E09">
              <w:rPr>
                <w:rFonts w:eastAsia="MS PGothic"/>
                <w:b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="Times New Roman"/>
                <w:b/>
                <w:color w:val="000000" w:themeColor="text1"/>
                <w:kern w:val="2"/>
                <w:sz w:val="20"/>
                <w:szCs w:val="20"/>
                <w:lang w:val="en-US"/>
              </w:rPr>
              <w:t>N=44)</w:t>
            </w:r>
          </w:p>
        </w:tc>
        <w:tc>
          <w:tcPr>
            <w:tcW w:w="2574" w:type="dxa"/>
            <w:tcBorders>
              <w:bottom w:val="single" w:sz="4" w:space="0" w:color="auto"/>
            </w:tcBorders>
          </w:tcPr>
          <w:p w14:paraId="1689E5A3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b/>
                <w:color w:val="000000" w:themeColor="text1"/>
                <w:kern w:val="2"/>
                <w:sz w:val="20"/>
                <w:szCs w:val="20"/>
                <w:lang w:val="en-US"/>
              </w:rPr>
              <w:t>Anti-Ro52 antibody-negative patients (N=5</w:t>
            </w:r>
            <w:r w:rsidRPr="00A70E09">
              <w:rPr>
                <w:rFonts w:eastAsiaTheme="minorEastAsia"/>
                <w:b/>
                <w:color w:val="000000" w:themeColor="text1"/>
                <w:kern w:val="2"/>
                <w:sz w:val="20"/>
                <w:szCs w:val="20"/>
                <w:lang w:val="en-US"/>
              </w:rPr>
              <w:t>2</w:t>
            </w:r>
            <w:r w:rsidRPr="00A70E09">
              <w:rPr>
                <w:rFonts w:eastAsia="Times New Roman"/>
                <w:b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1318" w:type="dxa"/>
            <w:tcBorders>
              <w:bottom w:val="single" w:sz="4" w:space="0" w:color="auto"/>
            </w:tcBorders>
          </w:tcPr>
          <w:p w14:paraId="433B658C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b/>
                <w:i/>
                <w:color w:val="000000" w:themeColor="text1"/>
                <w:kern w:val="2"/>
                <w:sz w:val="20"/>
                <w:szCs w:val="20"/>
                <w:lang w:val="en-US"/>
              </w:rPr>
              <w:t>P-</w:t>
            </w:r>
            <w:r w:rsidRPr="00A70E09">
              <w:rPr>
                <w:rFonts w:eastAsia="Times New Roman"/>
                <w:b/>
                <w:color w:val="000000" w:themeColor="text1"/>
                <w:kern w:val="2"/>
                <w:sz w:val="20"/>
                <w:szCs w:val="20"/>
                <w:lang w:val="en-US"/>
              </w:rPr>
              <w:t>value*</w:t>
            </w:r>
          </w:p>
        </w:tc>
      </w:tr>
      <w:tr w:rsidR="003C7B5F" w:rsidRPr="00A70E09" w14:paraId="1A8C3696" w14:textId="77777777" w:rsidTr="004E62C2">
        <w:trPr>
          <w:trHeight w:val="510"/>
        </w:trPr>
        <w:tc>
          <w:tcPr>
            <w:tcW w:w="3114" w:type="dxa"/>
            <w:tcBorders>
              <w:top w:val="single" w:sz="4" w:space="0" w:color="auto"/>
            </w:tcBorders>
          </w:tcPr>
          <w:p w14:paraId="79A9FADE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Induction therapy</w:t>
            </w:r>
          </w:p>
          <w:p w14:paraId="090A21CB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PSL initial dose (mg/kg/day)</w:t>
            </w:r>
          </w:p>
          <w:p w14:paraId="64BF280F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PSL only</w:t>
            </w:r>
          </w:p>
          <w:p w14:paraId="1470B3F3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PSL+TAC</w:t>
            </w:r>
          </w:p>
          <w:p w14:paraId="42B4255A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proofErr w:type="spellStart"/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PSL+CyA</w:t>
            </w:r>
            <w:proofErr w:type="spellEnd"/>
          </w:p>
          <w:p w14:paraId="1409D0C1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PSL+IVCY</w:t>
            </w:r>
          </w:p>
          <w:p w14:paraId="579A3488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steroid pulse</w:t>
            </w:r>
          </w:p>
        </w:tc>
        <w:tc>
          <w:tcPr>
            <w:tcW w:w="2574" w:type="dxa"/>
            <w:tcBorders>
              <w:top w:val="single" w:sz="4" w:space="0" w:color="auto"/>
            </w:tcBorders>
          </w:tcPr>
          <w:p w14:paraId="51DE3CFE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55D6B237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1.00 (0.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79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–1.00)</w:t>
            </w:r>
          </w:p>
          <w:p w14:paraId="287FCEE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4 (9.1)</w:t>
            </w:r>
          </w:p>
          <w:p w14:paraId="4A327054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22 (50.0)</w:t>
            </w:r>
          </w:p>
          <w:p w14:paraId="0C0C27A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25 (56.8)</w:t>
            </w:r>
          </w:p>
          <w:p w14:paraId="4958E83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8 (18.2)</w:t>
            </w:r>
          </w:p>
          <w:p w14:paraId="72D042B7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20 (45.5)</w:t>
            </w:r>
          </w:p>
        </w:tc>
        <w:tc>
          <w:tcPr>
            <w:tcW w:w="2574" w:type="dxa"/>
            <w:tcBorders>
              <w:top w:val="single" w:sz="4" w:space="0" w:color="auto"/>
            </w:tcBorders>
          </w:tcPr>
          <w:p w14:paraId="3A9C590C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1B10F0DC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1.00 (0.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60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–1.00)</w:t>
            </w:r>
          </w:p>
          <w:p w14:paraId="73F4F70B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14 (26.4)</w:t>
            </w:r>
          </w:p>
          <w:p w14:paraId="17B65A02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5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28.8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49A7BFB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(4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4.2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4371AF49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10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(1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9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.2)</w:t>
            </w:r>
          </w:p>
          <w:p w14:paraId="7B5E5005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15 (28.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1318" w:type="dxa"/>
            <w:tcBorders>
              <w:top w:val="single" w:sz="4" w:space="0" w:color="auto"/>
            </w:tcBorders>
          </w:tcPr>
          <w:p w14:paraId="6C30BB1D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</w:pPr>
          </w:p>
          <w:p w14:paraId="24872592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206</w:t>
            </w:r>
          </w:p>
          <w:p w14:paraId="6FB92A6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0.030</w:t>
            </w:r>
          </w:p>
          <w:p w14:paraId="2D9BAB0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380</w:t>
            </w:r>
          </w:p>
          <w:p w14:paraId="47FBD7D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0.30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6</w:t>
            </w:r>
          </w:p>
          <w:p w14:paraId="23955AA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1.000</w:t>
            </w:r>
          </w:p>
          <w:p w14:paraId="33C4A8CB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136</w:t>
            </w:r>
          </w:p>
        </w:tc>
      </w:tr>
      <w:tr w:rsidR="003C7B5F" w:rsidRPr="00A70E09" w14:paraId="798BB497" w14:textId="77777777" w:rsidTr="004E62C2">
        <w:trPr>
          <w:trHeight w:val="195"/>
        </w:trPr>
        <w:tc>
          <w:tcPr>
            <w:tcW w:w="3114" w:type="dxa"/>
          </w:tcPr>
          <w:p w14:paraId="1016CCDF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PSL </w:t>
            </w:r>
            <w:proofErr w:type="gramStart"/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dose at</w:t>
            </w:r>
            <w:proofErr w:type="gramEnd"/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recurrence (mg/day)</w:t>
            </w:r>
          </w:p>
        </w:tc>
        <w:tc>
          <w:tcPr>
            <w:tcW w:w="2574" w:type="dxa"/>
          </w:tcPr>
          <w:p w14:paraId="55BE3936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6.0 (3.2–6.0)</w:t>
            </w:r>
          </w:p>
        </w:tc>
        <w:tc>
          <w:tcPr>
            <w:tcW w:w="2574" w:type="dxa"/>
          </w:tcPr>
          <w:p w14:paraId="7DA5C147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5.0 (3.50–8.75)</w:t>
            </w:r>
          </w:p>
        </w:tc>
        <w:tc>
          <w:tcPr>
            <w:tcW w:w="1318" w:type="dxa"/>
          </w:tcPr>
          <w:p w14:paraId="5AF4B9E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0.358</w:t>
            </w:r>
          </w:p>
        </w:tc>
      </w:tr>
      <w:tr w:rsidR="003C7B5F" w:rsidRPr="00A70E09" w14:paraId="2B2FCCEC" w14:textId="77777777" w:rsidTr="004E62C2">
        <w:trPr>
          <w:trHeight w:val="271"/>
        </w:trPr>
        <w:tc>
          <w:tcPr>
            <w:tcW w:w="3114" w:type="dxa"/>
          </w:tcPr>
          <w:p w14:paraId="7F9C0C79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TAC Discontinuance</w:t>
            </w:r>
          </w:p>
        </w:tc>
        <w:tc>
          <w:tcPr>
            <w:tcW w:w="2574" w:type="dxa"/>
          </w:tcPr>
          <w:p w14:paraId="2097757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2.3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2574" w:type="dxa"/>
          </w:tcPr>
          <w:p w14:paraId="6D824BA4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 (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1.9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1318" w:type="dxa"/>
          </w:tcPr>
          <w:p w14:paraId="3A9CC49F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1.000</w:t>
            </w:r>
          </w:p>
        </w:tc>
      </w:tr>
      <w:tr w:rsidR="003C7B5F" w:rsidRPr="00A70E09" w14:paraId="64C8C665" w14:textId="77777777" w:rsidTr="004E62C2">
        <w:trPr>
          <w:trHeight w:val="277"/>
        </w:trPr>
        <w:tc>
          <w:tcPr>
            <w:tcW w:w="3114" w:type="dxa"/>
          </w:tcPr>
          <w:p w14:paraId="63D5464F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proofErr w:type="spellStart"/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CyA</w:t>
            </w:r>
            <w:proofErr w:type="spellEnd"/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Discontinuance</w:t>
            </w:r>
          </w:p>
        </w:tc>
        <w:tc>
          <w:tcPr>
            <w:tcW w:w="2574" w:type="dxa"/>
          </w:tcPr>
          <w:p w14:paraId="07F736F8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3 (6.8)</w:t>
            </w:r>
          </w:p>
        </w:tc>
        <w:tc>
          <w:tcPr>
            <w:tcW w:w="2574" w:type="dxa"/>
          </w:tcPr>
          <w:p w14:paraId="32047BA5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 (1.9)</w:t>
            </w:r>
          </w:p>
        </w:tc>
        <w:tc>
          <w:tcPr>
            <w:tcW w:w="1318" w:type="dxa"/>
          </w:tcPr>
          <w:p w14:paraId="71084194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0.330</w:t>
            </w:r>
          </w:p>
        </w:tc>
      </w:tr>
      <w:tr w:rsidR="003C7B5F" w:rsidRPr="00A70E09" w14:paraId="59C1BA0B" w14:textId="77777777" w:rsidTr="004E62C2">
        <w:trPr>
          <w:trHeight w:val="127"/>
        </w:trPr>
        <w:tc>
          <w:tcPr>
            <w:tcW w:w="3114" w:type="dxa"/>
          </w:tcPr>
          <w:p w14:paraId="057005CF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Recurrence</w:t>
            </w:r>
          </w:p>
        </w:tc>
        <w:tc>
          <w:tcPr>
            <w:tcW w:w="2574" w:type="dxa"/>
          </w:tcPr>
          <w:p w14:paraId="359B8601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26 (59.1)</w:t>
            </w:r>
          </w:p>
        </w:tc>
        <w:tc>
          <w:tcPr>
            <w:tcW w:w="2574" w:type="dxa"/>
          </w:tcPr>
          <w:p w14:paraId="2A70A9DC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 xml:space="preserve"> (3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4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6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</w:tc>
        <w:tc>
          <w:tcPr>
            <w:tcW w:w="1318" w:type="dxa"/>
          </w:tcPr>
          <w:p w14:paraId="3F311A1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0.024</w:t>
            </w:r>
          </w:p>
        </w:tc>
      </w:tr>
      <w:tr w:rsidR="003C7B5F" w:rsidRPr="00A70E09" w14:paraId="328CDCE1" w14:textId="77777777" w:rsidTr="004E62C2">
        <w:trPr>
          <w:trHeight w:val="510"/>
        </w:trPr>
        <w:tc>
          <w:tcPr>
            <w:tcW w:w="3114" w:type="dxa"/>
          </w:tcPr>
          <w:p w14:paraId="780B16DA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Death</w:t>
            </w:r>
          </w:p>
          <w:p w14:paraId="5C78A7BF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IP-related death</w:t>
            </w:r>
          </w:p>
          <w:p w14:paraId="1BC842A6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　</w:t>
            </w:r>
            <w:r w:rsidRPr="00A70E09">
              <w:rPr>
                <w:rFonts w:eastAsia="Times New Roman"/>
                <w:b/>
                <w:color w:val="000000" w:themeColor="text1"/>
                <w:sz w:val="20"/>
                <w:szCs w:val="20"/>
                <w:vertAlign w:val="superscript"/>
                <w:lang w:val="en-US"/>
              </w:rPr>
              <w:t>†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Non-IP death</w:t>
            </w:r>
          </w:p>
        </w:tc>
        <w:tc>
          <w:tcPr>
            <w:tcW w:w="2574" w:type="dxa"/>
          </w:tcPr>
          <w:p w14:paraId="6CB1A23C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10 (22.7)</w:t>
            </w:r>
          </w:p>
          <w:p w14:paraId="75A9C005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2 (4.5)</w:t>
            </w:r>
          </w:p>
          <w:p w14:paraId="0C387322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8 (18.1)</w:t>
            </w:r>
          </w:p>
        </w:tc>
        <w:tc>
          <w:tcPr>
            <w:tcW w:w="2574" w:type="dxa"/>
          </w:tcPr>
          <w:p w14:paraId="6CA5A7CE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16 (30.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8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)</w:t>
            </w:r>
          </w:p>
          <w:p w14:paraId="2A237C7A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7 (13.2)</w:t>
            </w:r>
          </w:p>
          <w:p w14:paraId="2E6B2ADD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9 (16.9)</w:t>
            </w:r>
          </w:p>
        </w:tc>
        <w:tc>
          <w:tcPr>
            <w:tcW w:w="1318" w:type="dxa"/>
          </w:tcPr>
          <w:p w14:paraId="60583241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0.49</w:t>
            </w:r>
          </w:p>
        </w:tc>
      </w:tr>
      <w:tr w:rsidR="003C7B5F" w:rsidRPr="00A70E09" w14:paraId="7AC7E526" w14:textId="77777777" w:rsidTr="004E62C2">
        <w:trPr>
          <w:trHeight w:val="213"/>
        </w:trPr>
        <w:tc>
          <w:tcPr>
            <w:tcW w:w="3114" w:type="dxa"/>
          </w:tcPr>
          <w:p w14:paraId="6102617A" w14:textId="77777777" w:rsidR="003C7B5F" w:rsidRPr="00A70E09" w:rsidRDefault="003C7B5F" w:rsidP="004E62C2">
            <w:pPr>
              <w:snapToGrid w:val="0"/>
              <w:spacing w:line="480" w:lineRule="auto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Observation period</w:t>
            </w:r>
            <w:r w:rsidRPr="00A70E09">
              <w:rPr>
                <w:color w:val="000000" w:themeColor="text1"/>
                <w:kern w:val="2"/>
                <w:sz w:val="20"/>
                <w:szCs w:val="20"/>
                <w:lang w:val="en-US"/>
              </w:rPr>
              <w:t xml:space="preserve"> (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months)</w:t>
            </w:r>
          </w:p>
        </w:tc>
        <w:tc>
          <w:tcPr>
            <w:tcW w:w="2574" w:type="dxa"/>
          </w:tcPr>
          <w:p w14:paraId="336278F0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50.0 (20.2–93.7)</w:t>
            </w:r>
          </w:p>
        </w:tc>
        <w:tc>
          <w:tcPr>
            <w:tcW w:w="2574" w:type="dxa"/>
          </w:tcPr>
          <w:p w14:paraId="63C64D14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="Arial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89 (2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3</w:t>
            </w: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.0–134.0)</w:t>
            </w:r>
          </w:p>
        </w:tc>
        <w:tc>
          <w:tcPr>
            <w:tcW w:w="1318" w:type="dxa"/>
          </w:tcPr>
          <w:p w14:paraId="4987D374" w14:textId="77777777" w:rsidR="003C7B5F" w:rsidRPr="00A70E09" w:rsidRDefault="003C7B5F" w:rsidP="004E62C2">
            <w:pPr>
              <w:snapToGrid w:val="0"/>
              <w:spacing w:line="480" w:lineRule="auto"/>
              <w:jc w:val="center"/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</w:pPr>
            <w:r w:rsidRPr="00A70E09">
              <w:rPr>
                <w:rFonts w:eastAsia="Times New Roman"/>
                <w:color w:val="000000" w:themeColor="text1"/>
                <w:kern w:val="2"/>
                <w:sz w:val="20"/>
                <w:szCs w:val="20"/>
                <w:lang w:val="en-US"/>
              </w:rPr>
              <w:t>0.0</w:t>
            </w:r>
            <w:r w:rsidRPr="00A70E09">
              <w:rPr>
                <w:rFonts w:eastAsiaTheme="minorEastAsia"/>
                <w:color w:val="000000" w:themeColor="text1"/>
                <w:kern w:val="2"/>
                <w:sz w:val="20"/>
                <w:szCs w:val="20"/>
                <w:lang w:val="en-US"/>
              </w:rPr>
              <w:t>77</w:t>
            </w:r>
          </w:p>
        </w:tc>
      </w:tr>
    </w:tbl>
    <w:p w14:paraId="61AEE51A" w14:textId="77777777" w:rsidR="003C7B5F" w:rsidRPr="00A70E09" w:rsidRDefault="003C7B5F" w:rsidP="003C7B5F">
      <w:pPr>
        <w:widowControl w:val="0"/>
        <w:snapToGrid w:val="0"/>
        <w:spacing w:line="480" w:lineRule="auto"/>
        <w:ind w:right="80"/>
        <w:jc w:val="both"/>
        <w:rPr>
          <w:rFonts w:eastAsia="Yu Mincho"/>
          <w:b/>
          <w:bCs/>
          <w:color w:val="000000" w:themeColor="text1"/>
          <w:kern w:val="2"/>
          <w:sz w:val="20"/>
          <w:szCs w:val="20"/>
          <w:lang w:val="en-US"/>
        </w:rPr>
      </w:pPr>
    </w:p>
    <w:p w14:paraId="0D9811DB" w14:textId="77777777" w:rsidR="003C7B5F" w:rsidRPr="00A70E09" w:rsidRDefault="003C7B5F" w:rsidP="003C7B5F">
      <w:pPr>
        <w:widowControl w:val="0"/>
        <w:snapToGrid w:val="0"/>
        <w:spacing w:line="480" w:lineRule="auto"/>
        <w:ind w:right="80"/>
        <w:jc w:val="both"/>
        <w:rPr>
          <w:rFonts w:eastAsia="Yu Mincho"/>
          <w:b/>
          <w:bCs/>
          <w:color w:val="000000" w:themeColor="text1"/>
          <w:kern w:val="2"/>
          <w:sz w:val="20"/>
          <w:szCs w:val="20"/>
          <w:lang w:val="en-US"/>
        </w:rPr>
      </w:pPr>
      <w:r w:rsidRPr="00A70E09">
        <w:rPr>
          <w:rFonts w:eastAsia="Yu Mincho"/>
          <w:b/>
          <w:bCs/>
          <w:color w:val="000000" w:themeColor="text1"/>
          <w:kern w:val="2"/>
          <w:sz w:val="20"/>
          <w:szCs w:val="20"/>
          <w:lang w:val="en-US"/>
        </w:rPr>
        <w:t xml:space="preserve">Abbreviations: </w:t>
      </w:r>
      <w:proofErr w:type="spellStart"/>
      <w:r w:rsidRPr="00A70E09">
        <w:rPr>
          <w:rFonts w:eastAsia="Yu Mincho"/>
          <w:color w:val="000000" w:themeColor="text1"/>
          <w:kern w:val="2"/>
          <w:sz w:val="20"/>
          <w:szCs w:val="20"/>
          <w:lang w:val="en-US"/>
        </w:rPr>
        <w:t>ASyS</w:t>
      </w:r>
      <w:proofErr w:type="spellEnd"/>
      <w:r w:rsidRPr="00A70E09">
        <w:rPr>
          <w:rFonts w:eastAsia="Yu Mincho"/>
          <w:color w:val="000000" w:themeColor="text1"/>
          <w:kern w:val="2"/>
          <w:sz w:val="20"/>
          <w:szCs w:val="20"/>
          <w:lang w:val="en-US"/>
        </w:rPr>
        <w:t>-ILD, Anti-synthetic syndrome-associated interstitial lung disease;</w:t>
      </w:r>
      <w:r w:rsidRPr="00A70E09">
        <w:rPr>
          <w:rFonts w:eastAsia="Yu Mincho"/>
          <w:b/>
          <w:bCs/>
          <w:color w:val="000000" w:themeColor="text1"/>
          <w:kern w:val="2"/>
          <w:sz w:val="20"/>
          <w:szCs w:val="20"/>
          <w:lang w:val="en-US"/>
        </w:rPr>
        <w:t xml:space="preserve"> </w:t>
      </w:r>
      <w:r w:rsidRPr="00A70E09">
        <w:rPr>
          <w:rFonts w:eastAsia="Yu Mincho"/>
          <w:color w:val="000000" w:themeColor="text1"/>
          <w:kern w:val="2"/>
          <w:sz w:val="20"/>
          <w:szCs w:val="20"/>
          <w:lang w:val="en-US"/>
        </w:rPr>
        <w:t>NA, not applicable;</w:t>
      </w:r>
      <w:r w:rsidRPr="00A70E09">
        <w:rPr>
          <w:rFonts w:eastAsia="Yu Mincho"/>
          <w:b/>
          <w:bCs/>
          <w:color w:val="000000" w:themeColor="text1"/>
          <w:kern w:val="2"/>
          <w:sz w:val="20"/>
          <w:szCs w:val="20"/>
          <w:lang w:val="en-US"/>
        </w:rPr>
        <w:t xml:space="preserve"> </w:t>
      </w:r>
      <w:r w:rsidRPr="00A70E09">
        <w:rPr>
          <w:rFonts w:eastAsia="Yu Mincho"/>
          <w:color w:val="000000" w:themeColor="text1"/>
          <w:kern w:val="2"/>
          <w:sz w:val="20"/>
          <w:szCs w:val="20"/>
          <w:lang w:val="en-US"/>
        </w:rPr>
        <w:t xml:space="preserve">PSL, prednisolone; TAC, tacrolimus; </w:t>
      </w:r>
      <w:proofErr w:type="spellStart"/>
      <w:r w:rsidRPr="00A70E09">
        <w:rPr>
          <w:rFonts w:eastAsia="Yu Mincho"/>
          <w:color w:val="000000" w:themeColor="text1"/>
          <w:kern w:val="2"/>
          <w:sz w:val="20"/>
          <w:szCs w:val="20"/>
          <w:lang w:val="en-US"/>
        </w:rPr>
        <w:t>CyA</w:t>
      </w:r>
      <w:proofErr w:type="spellEnd"/>
      <w:r w:rsidRPr="00A70E09">
        <w:rPr>
          <w:rFonts w:eastAsia="Yu Mincho"/>
          <w:color w:val="000000" w:themeColor="text1"/>
          <w:kern w:val="2"/>
          <w:sz w:val="20"/>
          <w:szCs w:val="20"/>
          <w:lang w:val="en-US"/>
        </w:rPr>
        <w:t xml:space="preserve"> Cyclosporine A; IVCY intravenous cyclophosphamide; IP interstitial pneumonia</w:t>
      </w:r>
    </w:p>
    <w:p w14:paraId="1DF1B841" w14:textId="77777777" w:rsidR="003C7B5F" w:rsidRPr="00A70E09" w:rsidRDefault="003C7B5F" w:rsidP="003C7B5F">
      <w:pPr>
        <w:widowControl w:val="0"/>
        <w:snapToGrid w:val="0"/>
        <w:spacing w:line="480" w:lineRule="auto"/>
        <w:ind w:right="80"/>
        <w:jc w:val="both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*</w:t>
      </w:r>
      <w:r w:rsidRPr="00A70E09">
        <w:rPr>
          <w:rFonts w:eastAsia="Times New Roman"/>
          <w:i/>
          <w:iCs/>
          <w:color w:val="000000" w:themeColor="text1"/>
          <w:kern w:val="2"/>
          <w:sz w:val="20"/>
          <w:szCs w:val="20"/>
          <w:lang w:val="en-US"/>
        </w:rPr>
        <w:t>P-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 xml:space="preserve">values &lt; 0.05 indicate significant differences. </w:t>
      </w:r>
    </w:p>
    <w:p w14:paraId="5D366A35" w14:textId="77777777" w:rsidR="003C7B5F" w:rsidRPr="00A70E09" w:rsidRDefault="003C7B5F" w:rsidP="003C7B5F">
      <w:pPr>
        <w:widowControl w:val="0"/>
        <w:snapToGrid w:val="0"/>
        <w:spacing w:line="480" w:lineRule="auto"/>
        <w:ind w:right="80"/>
        <w:jc w:val="both"/>
        <w:rPr>
          <w:rFonts w:eastAsiaTheme="minorEastAsia"/>
          <w:color w:val="000000" w:themeColor="text1"/>
          <w:kern w:val="2"/>
          <w:sz w:val="20"/>
          <w:szCs w:val="20"/>
          <w:lang w:val="en-US"/>
        </w:rPr>
      </w:pP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Data are presented as median (range) or n (%).</w:t>
      </w:r>
    </w:p>
    <w:p w14:paraId="0B954FDE" w14:textId="77777777" w:rsidR="003C7B5F" w:rsidRPr="00A70E09" w:rsidRDefault="003C7B5F" w:rsidP="003C7B5F">
      <w:pPr>
        <w:widowControl w:val="0"/>
        <w:snapToGrid w:val="0"/>
        <w:spacing w:line="480" w:lineRule="auto"/>
        <w:ind w:right="80"/>
        <w:jc w:val="both"/>
        <w:rPr>
          <w:rFonts w:eastAsiaTheme="minorEastAsia"/>
          <w:b/>
          <w:bCs/>
          <w:color w:val="000000" w:themeColor="text1"/>
          <w:kern w:val="2"/>
          <w:sz w:val="20"/>
          <w:szCs w:val="20"/>
          <w:lang w:val="en-US"/>
        </w:rPr>
      </w:pPr>
      <w:r w:rsidRPr="00A70E09">
        <w:rPr>
          <w:rFonts w:eastAsiaTheme="minorEastAsia"/>
          <w:color w:val="000000" w:themeColor="text1"/>
          <w:kern w:val="2"/>
          <w:sz w:val="20"/>
          <w:szCs w:val="20"/>
          <w:lang w:val="en-US"/>
        </w:rPr>
        <w:t>†</w:t>
      </w:r>
      <w:r w:rsidRPr="00A70E09">
        <w:rPr>
          <w:rFonts w:eastAsiaTheme="minorEastAsia"/>
          <w:b/>
          <w:bCs/>
          <w:color w:val="000000" w:themeColor="text1"/>
          <w:kern w:val="2"/>
          <w:sz w:val="20"/>
          <w:szCs w:val="20"/>
          <w:lang w:val="en-US"/>
        </w:rPr>
        <w:t xml:space="preserve"> </w:t>
      </w:r>
      <w:r w:rsidRPr="00A70E09">
        <w:rPr>
          <w:rFonts w:eastAsiaTheme="minorEastAsia"/>
          <w:color w:val="000000" w:themeColor="text1"/>
          <w:kern w:val="2"/>
          <w:sz w:val="20"/>
          <w:szCs w:val="20"/>
          <w:lang w:val="en-US"/>
        </w:rPr>
        <w:t>Non-ILD-related causes of death included aspiration pneumonia (n=2), bacterial pneumonia (n=2), bladder cancer (n=1), cerebral hemorrhage (n=1), cervical cancer (n=1), colon perforation (n=1), gallbladder cancer (n=1), gastric cancer (n=1), heart failure (n=2), lung cancer (n=2), myocardial infarction (n=1), rectal ulcer (n=1), senility (n=1)</w:t>
      </w:r>
    </w:p>
    <w:p w14:paraId="7A25BE9A" w14:textId="77777777" w:rsidR="003C7B5F" w:rsidRPr="00A70E09" w:rsidRDefault="003C7B5F" w:rsidP="003C7B5F">
      <w:pPr>
        <w:widowControl w:val="0"/>
        <w:snapToGrid w:val="0"/>
        <w:spacing w:line="480" w:lineRule="auto"/>
        <w:rPr>
          <w:color w:val="000000" w:themeColor="text1"/>
          <w:sz w:val="20"/>
          <w:szCs w:val="20"/>
          <w:lang w:val="en-US"/>
        </w:rPr>
      </w:pPr>
    </w:p>
    <w:p w14:paraId="150E1AAD" w14:textId="77777777" w:rsidR="003C7B5F" w:rsidRPr="00A70E09" w:rsidRDefault="003C7B5F" w:rsidP="003C7B5F">
      <w:pPr>
        <w:widowControl w:val="0"/>
        <w:snapToGrid w:val="0"/>
        <w:spacing w:line="480" w:lineRule="auto"/>
        <w:rPr>
          <w:color w:val="000000" w:themeColor="text1"/>
          <w:sz w:val="20"/>
          <w:szCs w:val="20"/>
          <w:lang w:val="en-US"/>
        </w:rPr>
      </w:pPr>
    </w:p>
    <w:p w14:paraId="592214B8" w14:textId="77777777" w:rsidR="003C7B5F" w:rsidRPr="00A70E09" w:rsidRDefault="003C7B5F" w:rsidP="003C7B5F">
      <w:pPr>
        <w:widowControl w:val="0"/>
        <w:snapToGrid w:val="0"/>
        <w:spacing w:line="480" w:lineRule="auto"/>
        <w:rPr>
          <w:rFonts w:eastAsia="MS PGothic"/>
          <w:color w:val="000000" w:themeColor="text1"/>
          <w:sz w:val="20"/>
          <w:szCs w:val="20"/>
          <w:lang w:val="en-US"/>
        </w:rPr>
      </w:pPr>
      <w:r w:rsidRPr="00A70E09">
        <w:rPr>
          <w:rFonts w:eastAsia="Times New Roman"/>
          <w:b/>
          <w:bCs/>
          <w:color w:val="000000" w:themeColor="text1"/>
          <w:kern w:val="2"/>
          <w:sz w:val="20"/>
          <w:szCs w:val="20"/>
          <w:lang w:val="en-US"/>
        </w:rPr>
        <w:lastRenderedPageBreak/>
        <w:t>Table 3.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 xml:space="preserve"> Multivariate Analysis of Recurrence Factors in Patients with </w:t>
      </w:r>
      <w:proofErr w:type="spellStart"/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AS</w:t>
      </w:r>
      <w:r w:rsidRPr="00A70E09">
        <w:rPr>
          <w:rFonts w:eastAsiaTheme="minorEastAsia"/>
          <w:color w:val="000000" w:themeColor="text1"/>
          <w:kern w:val="2"/>
          <w:sz w:val="20"/>
          <w:szCs w:val="20"/>
          <w:lang w:val="en-US"/>
        </w:rPr>
        <w:t>y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S</w:t>
      </w:r>
      <w:proofErr w:type="spellEnd"/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-ILD</w:t>
      </w:r>
    </w:p>
    <w:tbl>
      <w:tblPr>
        <w:tblStyle w:val="TableGridLight"/>
        <w:tblW w:w="964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547"/>
        <w:gridCol w:w="2154"/>
        <w:gridCol w:w="1008"/>
        <w:gridCol w:w="2696"/>
        <w:gridCol w:w="1235"/>
      </w:tblGrid>
      <w:tr w:rsidR="003C7B5F" w:rsidRPr="00A70E09" w14:paraId="1A1B75B6" w14:textId="77777777" w:rsidTr="004E62C2">
        <w:trPr>
          <w:trHeight w:val="341"/>
        </w:trPr>
        <w:tc>
          <w:tcPr>
            <w:tcW w:w="5709" w:type="dxa"/>
            <w:gridSpan w:val="3"/>
            <w:tcBorders>
              <w:bottom w:val="single" w:sz="4" w:space="0" w:color="auto"/>
            </w:tcBorders>
          </w:tcPr>
          <w:p w14:paraId="0B81C7B0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b/>
                <w:bCs/>
                <w:i/>
                <w:iCs/>
                <w:color w:val="000000" w:themeColor="text1"/>
                <w:kern w:val="2"/>
                <w:lang w:val="en-US"/>
              </w:rPr>
            </w:pPr>
            <w:bookmarkStart w:id="0" w:name="_Hlk202547495"/>
            <w:r w:rsidRPr="00A70E09">
              <w:rPr>
                <w:rFonts w:eastAsia="MS PGothic"/>
                <w:color w:val="000000" w:themeColor="text1"/>
                <w:kern w:val="24"/>
                <w:lang w:val="en-US"/>
              </w:rPr>
              <w:t xml:space="preserve">                                                               Univariate analysis</w:t>
            </w:r>
          </w:p>
        </w:tc>
        <w:tc>
          <w:tcPr>
            <w:tcW w:w="3931" w:type="dxa"/>
            <w:gridSpan w:val="2"/>
            <w:tcBorders>
              <w:bottom w:val="single" w:sz="4" w:space="0" w:color="auto"/>
            </w:tcBorders>
          </w:tcPr>
          <w:p w14:paraId="0CD6738C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center"/>
              <w:rPr>
                <w:rFonts w:eastAsia="Yu Mincho"/>
                <w:b/>
                <w:bCs/>
                <w:i/>
                <w:i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4"/>
                <w:lang w:val="en-US"/>
              </w:rPr>
              <w:t>Multivariate analysis</w:t>
            </w:r>
          </w:p>
        </w:tc>
      </w:tr>
      <w:tr w:rsidR="003C7B5F" w:rsidRPr="00A70E09" w14:paraId="5B33884E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7F954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</w:p>
        </w:tc>
        <w:tc>
          <w:tcPr>
            <w:tcW w:w="2154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8E3CD9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  <w:t>HR (95% CI)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C1474C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b/>
                <w:bCs/>
                <w:i/>
                <w:i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i/>
                <w:iCs/>
                <w:color w:val="000000" w:themeColor="text1"/>
                <w:kern w:val="2"/>
                <w:lang w:val="en-US"/>
              </w:rPr>
              <w:t>P-value</w:t>
            </w:r>
          </w:p>
        </w:tc>
        <w:tc>
          <w:tcPr>
            <w:tcW w:w="2696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D8E8D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  <w:t>HR (95% CI)</w:t>
            </w:r>
          </w:p>
        </w:tc>
        <w:tc>
          <w:tcPr>
            <w:tcW w:w="1235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68EC07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b/>
                <w:bCs/>
                <w:i/>
                <w:i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i/>
                <w:iCs/>
                <w:color w:val="000000" w:themeColor="text1"/>
                <w:kern w:val="2"/>
                <w:lang w:val="en-US"/>
              </w:rPr>
              <w:t>P-value</w:t>
            </w:r>
          </w:p>
        </w:tc>
      </w:tr>
      <w:tr w:rsidR="003C7B5F" w:rsidRPr="00A70E09" w14:paraId="2C824E11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010847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Anti-Ro-52 antibody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A773DE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2.11 (1.21–3.69)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14F0F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0.008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6C8A4D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1.77 (1.00–3.11)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024E4B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0.049</w:t>
            </w:r>
          </w:p>
        </w:tc>
      </w:tr>
      <w:bookmarkEnd w:id="0"/>
      <w:tr w:rsidR="003C7B5F" w:rsidRPr="00A70E09" w14:paraId="2610CF73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F9AC3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EJ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50326B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2.83 (1.58–5.07)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AAD916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0.001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56ECE4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1.76 (1.00–3.09)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CAE71A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0.049</w:t>
            </w:r>
          </w:p>
        </w:tc>
      </w:tr>
      <w:tr w:rsidR="003C7B5F" w:rsidRPr="00A70E09" w14:paraId="0A2B9018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F3441E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Clinical course acute</w:t>
            </w: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　</w:t>
            </w: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</w:t>
            </w:r>
          </w:p>
          <w:p w14:paraId="28892ED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　　　　　　</w:t>
            </w: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subacute</w:t>
            </w: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　</w:t>
            </w: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</w:t>
            </w:r>
          </w:p>
          <w:p w14:paraId="31D665A4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                        chronic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060A44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 (reference)</w:t>
            </w:r>
          </w:p>
          <w:p w14:paraId="47C4835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0.64 (0.30–1.36)</w:t>
            </w:r>
          </w:p>
          <w:p w14:paraId="58EF294C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0.31 (0.15–0.61)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10252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086DE2CC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0.250</w:t>
            </w:r>
          </w:p>
          <w:p w14:paraId="7AA2643A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0.001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EC072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 (reference)</w:t>
            </w:r>
          </w:p>
          <w:p w14:paraId="73DAFCDE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3323B61A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2.59 (1.28–5.28)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0DDB2F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3A9E8ED0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6FD99B66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0.008</w:t>
            </w:r>
          </w:p>
        </w:tc>
      </w:tr>
      <w:tr w:rsidR="003C7B5F" w:rsidRPr="00A70E09" w14:paraId="33941A3E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439BE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HRCT              OP</w:t>
            </w:r>
          </w:p>
          <w:p w14:paraId="70C07C5A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                        NSIP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6F729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2.02 (1.19–3.44)</w:t>
            </w:r>
          </w:p>
          <w:p w14:paraId="058B17D8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0.98 (0.32–3.03)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1E73EA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0.009</w:t>
            </w:r>
          </w:p>
          <w:p w14:paraId="5F51A58F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0.99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4938B6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1.73(1.01-2.96)</w:t>
            </w:r>
          </w:p>
          <w:p w14:paraId="46118F2F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AEDB96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0.046</w:t>
            </w:r>
          </w:p>
          <w:p w14:paraId="112AD759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</w:tr>
      <w:tr w:rsidR="003C7B5F" w:rsidRPr="00A70E09" w14:paraId="2630D8E0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BF9D1B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Examination findings</w:t>
            </w:r>
          </w:p>
          <w:p w14:paraId="78FAF3D1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  CRP</w:t>
            </w:r>
          </w:p>
          <w:p w14:paraId="4E687F0D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  LDH</w:t>
            </w:r>
          </w:p>
          <w:p w14:paraId="19DF05BE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  CK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EC12B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 </w:t>
            </w:r>
          </w:p>
          <w:p w14:paraId="4A96649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1.86 (0.88–3.95)</w:t>
            </w:r>
          </w:p>
          <w:p w14:paraId="069D256F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1.00 (0.99–1.00)</w:t>
            </w:r>
          </w:p>
          <w:p w14:paraId="55B1D87B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1.00 (0.99–1.00)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CAD9A0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 </w:t>
            </w:r>
          </w:p>
          <w:p w14:paraId="5B0B9B07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0.10</w:t>
            </w:r>
          </w:p>
          <w:p w14:paraId="67473574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0.21</w:t>
            </w:r>
          </w:p>
          <w:p w14:paraId="31DAA22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0.69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8B3AB6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 </w:t>
            </w:r>
          </w:p>
          <w:p w14:paraId="175826B8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2BD22914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387E9BA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259EF8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 </w:t>
            </w:r>
          </w:p>
          <w:p w14:paraId="7A50795D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7C4CECED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2E2A41F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</w:tr>
      <w:tr w:rsidR="003C7B5F" w:rsidRPr="00A70E09" w14:paraId="172CD330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FCDBCC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Age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88F37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0.99 (0.97–1.01)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F09AE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0.50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729F9A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61A61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</w:tr>
      <w:tr w:rsidR="003C7B5F" w:rsidRPr="00A70E09" w14:paraId="79401CE3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AE9954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Sex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3CEA88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0.85 (0.46–1.57)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FE3408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0.62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1EDB78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D645CA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</w:tr>
      <w:tr w:rsidR="003C7B5F" w:rsidRPr="00A70E09" w14:paraId="18FC45D6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A12DBF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BMI over 25 kg/m</w:t>
            </w:r>
            <w:r w:rsidRPr="00A70E09">
              <w:rPr>
                <w:rFonts w:eastAsia="Yu Mincho"/>
                <w:color w:val="000000" w:themeColor="text1"/>
                <w:kern w:val="2"/>
                <w:vertAlign w:val="superscript"/>
                <w:lang w:val="en-US"/>
              </w:rPr>
              <w:t>2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64C6D6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1.45 (0.80–2.61)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2CE066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0.21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A98F08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E107FE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</w:tr>
      <w:tr w:rsidR="003C7B5F" w:rsidRPr="00A70E09" w14:paraId="57ABCD6C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0FDCD0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  Fever</w:t>
            </w:r>
          </w:p>
          <w:p w14:paraId="7896E8A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  Weakening of muscles</w:t>
            </w:r>
          </w:p>
          <w:p w14:paraId="50677D38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  Arthritis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3BBC9D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0.90 (0.44–1.83)</w:t>
            </w:r>
          </w:p>
          <w:p w14:paraId="67BFA2C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0.75 (0.21–2.63)</w:t>
            </w:r>
          </w:p>
          <w:p w14:paraId="3DD3D08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0.75 (0.37–1.51)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F2D18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0.79</w:t>
            </w:r>
          </w:p>
          <w:p w14:paraId="5B5C509A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0.66</w:t>
            </w:r>
          </w:p>
          <w:p w14:paraId="7F8CFEC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0.43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164F0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75E20DB6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7C35075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6750C7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2B929060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30B9818D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</w:tr>
      <w:tr w:rsidR="003C7B5F" w:rsidRPr="00A70E09" w14:paraId="1A8190EF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F481D9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Anti-ARS antibody Jo-1</w:t>
            </w:r>
          </w:p>
          <w:p w14:paraId="632644F6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                                PL-7</w:t>
            </w:r>
          </w:p>
          <w:p w14:paraId="4E30773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                                PL-12</w:t>
            </w:r>
          </w:p>
          <w:p w14:paraId="34598D3C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                                OJ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8C08FE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 0.58 (0.31–1.10) 0.95 (0.39–2.32)</w:t>
            </w:r>
          </w:p>
          <w:p w14:paraId="1941DC1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0.76 (0.34–1.70)</w:t>
            </w:r>
          </w:p>
          <w:p w14:paraId="0EA4C30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1.38 (0.68–2.77)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D9F21A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0.098</w:t>
            </w:r>
          </w:p>
          <w:p w14:paraId="0129A92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0.92</w:t>
            </w:r>
          </w:p>
          <w:p w14:paraId="364A677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0.52</w:t>
            </w:r>
          </w:p>
          <w:p w14:paraId="5F6F8869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0.36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D0FD1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7089FFC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79260D0B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43CF4F2A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1CD4F4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04224E31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331E4E19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2CA6EA91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</w:tr>
      <w:tr w:rsidR="003C7B5F" w:rsidRPr="00A70E09" w14:paraId="62C28802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A1F14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Initial KL-6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B15DAA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0.99 (0.99–1.00)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62F530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0.76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64EF47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3C638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</w:tr>
      <w:tr w:rsidR="003C7B5F" w:rsidRPr="00A70E09" w14:paraId="28AE0461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E89276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Initial FVC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479BA0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1.04 (0.70–1.54)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2A0C09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0.82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1C96FA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D8C944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</w:tr>
      <w:tr w:rsidR="003C7B5F" w:rsidRPr="00A70E09" w14:paraId="4596A5CE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EACC70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Initial DLCO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B1BE4D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0.99 (0.97–1.01)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DE731B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0.51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F2923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DF7BA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</w:tr>
      <w:tr w:rsidR="003C7B5F" w:rsidRPr="00A70E09" w14:paraId="45074781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254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63B344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BAL   Lymphocyte</w:t>
            </w:r>
          </w:p>
          <w:p w14:paraId="6EE112F7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 xml:space="preserve">           Neutrophil</w:t>
            </w:r>
          </w:p>
        </w:tc>
        <w:tc>
          <w:tcPr>
            <w:tcW w:w="215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A170B6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1.00 (0.98–1.01)</w:t>
            </w:r>
          </w:p>
          <w:p w14:paraId="0B6DCE0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0.99 (0.97–1.01)</w:t>
            </w:r>
          </w:p>
        </w:tc>
        <w:tc>
          <w:tcPr>
            <w:tcW w:w="10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84FF0B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0.77</w:t>
            </w:r>
          </w:p>
          <w:p w14:paraId="1F38F415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0.54</w:t>
            </w:r>
          </w:p>
        </w:tc>
        <w:tc>
          <w:tcPr>
            <w:tcW w:w="269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6F88E1C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6870C91F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  <w:tc>
          <w:tcPr>
            <w:tcW w:w="123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E09B41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  <w:p w14:paraId="48B0E328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NA</w:t>
            </w:r>
          </w:p>
        </w:tc>
      </w:tr>
    </w:tbl>
    <w:p w14:paraId="434EEEC3" w14:textId="77777777" w:rsidR="003C7B5F" w:rsidRPr="00A70E09" w:rsidRDefault="003C7B5F" w:rsidP="003C7B5F">
      <w:pPr>
        <w:widowControl w:val="0"/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462A92F2" w14:textId="77777777" w:rsidR="003C7B5F" w:rsidRPr="00A70E09" w:rsidRDefault="003C7B5F" w:rsidP="003C7B5F">
      <w:pPr>
        <w:widowControl w:val="0"/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  <w:r w:rsidRPr="00A70E09">
        <w:rPr>
          <w:rFonts w:eastAsia="Times New Roman"/>
          <w:b/>
          <w:bCs/>
          <w:color w:val="000000" w:themeColor="text1"/>
          <w:kern w:val="2"/>
          <w:sz w:val="20"/>
          <w:szCs w:val="20"/>
          <w:lang w:val="en-US"/>
        </w:rPr>
        <w:lastRenderedPageBreak/>
        <w:t>Abbreviations: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 xml:space="preserve"> </w:t>
      </w:r>
      <w:proofErr w:type="spellStart"/>
      <w:r w:rsidRPr="00A70E09">
        <w:rPr>
          <w:rFonts w:eastAsia="Yu Mincho"/>
          <w:color w:val="000000" w:themeColor="text1"/>
          <w:kern w:val="2"/>
          <w:sz w:val="20"/>
          <w:szCs w:val="20"/>
          <w:lang w:val="en-US"/>
        </w:rPr>
        <w:t>ASyS</w:t>
      </w:r>
      <w:proofErr w:type="spellEnd"/>
      <w:r w:rsidRPr="00A70E09">
        <w:rPr>
          <w:rFonts w:eastAsia="Yu Mincho"/>
          <w:color w:val="000000" w:themeColor="text1"/>
          <w:kern w:val="2"/>
          <w:sz w:val="20"/>
          <w:szCs w:val="20"/>
          <w:lang w:val="en-US"/>
        </w:rPr>
        <w:t>-ILD, Anti-synthetic syndrome-associated interstitial lung disease;</w:t>
      </w:r>
      <w:r w:rsidRPr="00A70E09">
        <w:rPr>
          <w:rFonts w:eastAsia="Yu Mincho"/>
          <w:b/>
          <w:bCs/>
          <w:color w:val="000000" w:themeColor="text1"/>
          <w:kern w:val="2"/>
          <w:sz w:val="20"/>
          <w:szCs w:val="20"/>
          <w:lang w:val="en-US"/>
        </w:rPr>
        <w:t xml:space="preserve"> 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 xml:space="preserve">BMI, body mass index; CI, confidence interval; </w:t>
      </w:r>
      <w:proofErr w:type="spellStart"/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CyA</w:t>
      </w:r>
      <w:proofErr w:type="spellEnd"/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, cyclosporine; HRCT, high-resolution computed tomography; HR, hazard ratio; KL-6, Krebs von den Lungen-6; NA, not applicable; NSIP, non-specific interstitial pneumonia; OP, organizing pneumonia; PSL, prednisolone; TAC, tacrolimus</w:t>
      </w:r>
    </w:p>
    <w:p w14:paraId="6A541B2A" w14:textId="77777777" w:rsidR="003C7B5F" w:rsidRDefault="003C7B5F" w:rsidP="003C7B5F">
      <w:pPr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>*</w:t>
      </w:r>
      <w:r w:rsidRPr="00A70E09">
        <w:rPr>
          <w:rFonts w:eastAsia="Times New Roman"/>
          <w:i/>
          <w:iCs/>
          <w:color w:val="000000" w:themeColor="text1"/>
          <w:kern w:val="2"/>
          <w:sz w:val="20"/>
          <w:szCs w:val="20"/>
          <w:lang w:val="en-US"/>
        </w:rPr>
        <w:t>P</w:t>
      </w:r>
      <w:r w:rsidRPr="00A70E09">
        <w:rPr>
          <w:rFonts w:eastAsia="Times New Roman"/>
          <w:color w:val="000000" w:themeColor="text1"/>
          <w:kern w:val="2"/>
          <w:sz w:val="20"/>
          <w:szCs w:val="20"/>
          <w:lang w:val="en-US"/>
        </w:rPr>
        <w:t xml:space="preserve">-values &lt; 0.05 indicate significant differences. </w:t>
      </w:r>
    </w:p>
    <w:p w14:paraId="19A87F50" w14:textId="77777777" w:rsidR="003C7B5F" w:rsidRDefault="003C7B5F" w:rsidP="003C7B5F">
      <w:pPr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6A7E98D6" w14:textId="77777777" w:rsidR="003C7B5F" w:rsidRDefault="003C7B5F" w:rsidP="003C7B5F">
      <w:pPr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2332C2F0" w14:textId="77777777" w:rsidR="003C7B5F" w:rsidRDefault="003C7B5F" w:rsidP="003C7B5F">
      <w:pPr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1209FE11" w14:textId="77777777" w:rsidR="003C7B5F" w:rsidRDefault="003C7B5F" w:rsidP="003C7B5F">
      <w:pPr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40FA973C" w14:textId="77777777" w:rsidR="003C7B5F" w:rsidRDefault="003C7B5F" w:rsidP="003C7B5F">
      <w:pPr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5EEF2C3F" w14:textId="77777777" w:rsidR="003C7B5F" w:rsidRDefault="003C7B5F" w:rsidP="003C7B5F">
      <w:pPr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3700EB83" w14:textId="77777777" w:rsidR="003C7B5F" w:rsidRDefault="003C7B5F" w:rsidP="003C7B5F">
      <w:pPr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7A803E56" w14:textId="77777777" w:rsidR="003C7B5F" w:rsidRDefault="003C7B5F" w:rsidP="003C7B5F">
      <w:pPr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692F91D9" w14:textId="77777777" w:rsidR="003C7B5F" w:rsidRDefault="003C7B5F" w:rsidP="003C7B5F">
      <w:pPr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1F22FBCC" w14:textId="77777777" w:rsidR="003C7B5F" w:rsidRDefault="003C7B5F" w:rsidP="003C7B5F">
      <w:pPr>
        <w:snapToGrid w:val="0"/>
        <w:spacing w:line="480" w:lineRule="auto"/>
        <w:rPr>
          <w:rFonts w:eastAsia="Times New Roman"/>
          <w:color w:val="000000" w:themeColor="text1"/>
          <w:kern w:val="2"/>
          <w:sz w:val="20"/>
          <w:szCs w:val="20"/>
          <w:lang w:val="en-US"/>
        </w:rPr>
      </w:pPr>
    </w:p>
    <w:p w14:paraId="74CAA307" w14:textId="77777777" w:rsidR="003C7B5F" w:rsidRPr="00A70E09" w:rsidRDefault="003C7B5F" w:rsidP="003C7B5F">
      <w:pPr>
        <w:snapToGrid w:val="0"/>
        <w:spacing w:line="480" w:lineRule="auto"/>
        <w:rPr>
          <w:rFonts w:eastAsiaTheme="minorEastAsia"/>
          <w:b/>
          <w:color w:val="000000" w:themeColor="text1"/>
          <w:sz w:val="20"/>
          <w:szCs w:val="20"/>
          <w:lang w:val="en-US"/>
        </w:rPr>
      </w:pPr>
    </w:p>
    <w:p w14:paraId="37A2FE83" w14:textId="77777777" w:rsidR="003C7B5F" w:rsidRPr="00A70E09" w:rsidRDefault="003C7B5F" w:rsidP="003C7B5F">
      <w:pPr>
        <w:snapToGrid w:val="0"/>
        <w:spacing w:line="480" w:lineRule="auto"/>
        <w:rPr>
          <w:rFonts w:eastAsiaTheme="minorEastAsia"/>
          <w:bCs/>
          <w:color w:val="000000" w:themeColor="text1"/>
          <w:sz w:val="20"/>
          <w:szCs w:val="20"/>
          <w:lang w:val="en-US"/>
        </w:rPr>
      </w:pPr>
      <w:r w:rsidRPr="00A70E09">
        <w:rPr>
          <w:rFonts w:eastAsiaTheme="minorEastAsia"/>
          <w:b/>
          <w:color w:val="000000" w:themeColor="text1"/>
          <w:sz w:val="20"/>
          <w:szCs w:val="20"/>
          <w:lang w:val="en-US"/>
        </w:rPr>
        <w:t xml:space="preserve">Table 4. </w:t>
      </w:r>
      <w:r w:rsidRPr="00A70E09">
        <w:rPr>
          <w:rFonts w:eastAsiaTheme="minorEastAsia"/>
          <w:bCs/>
          <w:color w:val="000000" w:themeColor="text1"/>
          <w:sz w:val="20"/>
          <w:szCs w:val="20"/>
          <w:lang w:val="en-US"/>
        </w:rPr>
        <w:t xml:space="preserve">Univariable analysis of </w:t>
      </w:r>
      <w:bookmarkStart w:id="1" w:name="_Hlk202550794"/>
      <w:r w:rsidRPr="00A70E09">
        <w:rPr>
          <w:rFonts w:eastAsiaTheme="minorEastAsia"/>
          <w:bCs/>
          <w:color w:val="000000" w:themeColor="text1"/>
          <w:sz w:val="20"/>
          <w:szCs w:val="20"/>
          <w:lang w:val="en-US"/>
        </w:rPr>
        <w:t>mortality outcomes</w:t>
      </w:r>
      <w:bookmarkEnd w:id="1"/>
    </w:p>
    <w:tbl>
      <w:tblPr>
        <w:tblStyle w:val="TableGridLight"/>
        <w:tblW w:w="988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1700"/>
        <w:gridCol w:w="1351"/>
        <w:gridCol w:w="884"/>
        <w:gridCol w:w="1417"/>
        <w:gridCol w:w="1418"/>
        <w:gridCol w:w="1417"/>
        <w:gridCol w:w="1701"/>
      </w:tblGrid>
      <w:tr w:rsidR="003C7B5F" w:rsidRPr="00A70E09" w14:paraId="7A7F6C53" w14:textId="77777777" w:rsidTr="004E62C2">
        <w:trPr>
          <w:trHeight w:val="886"/>
        </w:trPr>
        <w:tc>
          <w:tcPr>
            <w:tcW w:w="1700" w:type="dxa"/>
            <w:tcBorders>
              <w:bottom w:val="single" w:sz="4" w:space="0" w:color="auto"/>
            </w:tcBorders>
          </w:tcPr>
          <w:p w14:paraId="030AC2C8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MS PGothic"/>
                <w:color w:val="000000" w:themeColor="text1"/>
                <w:kern w:val="24"/>
                <w:lang w:val="en-US"/>
              </w:rPr>
            </w:pPr>
            <w:r w:rsidRPr="00A70E09">
              <w:rPr>
                <w:rFonts w:eastAsia="MS PGothic"/>
                <w:color w:val="000000" w:themeColor="text1"/>
                <w:kern w:val="24"/>
                <w:lang w:val="en-US"/>
              </w:rPr>
              <w:t xml:space="preserve">                                            </w:t>
            </w:r>
          </w:p>
        </w:tc>
        <w:tc>
          <w:tcPr>
            <w:tcW w:w="2235" w:type="dxa"/>
            <w:gridSpan w:val="2"/>
            <w:tcBorders>
              <w:bottom w:val="single" w:sz="4" w:space="0" w:color="auto"/>
            </w:tcBorders>
          </w:tcPr>
          <w:p w14:paraId="4EDF284E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center"/>
              <w:rPr>
                <w:rFonts w:eastAsia="MS PGothic"/>
                <w:b/>
                <w:bCs/>
                <w:color w:val="000000" w:themeColor="text1"/>
                <w:kern w:val="24"/>
                <w:lang w:val="en-US"/>
              </w:rPr>
            </w:pPr>
            <w:r w:rsidRPr="00A70E09">
              <w:rPr>
                <w:rFonts w:eastAsia="MS PGothic"/>
                <w:b/>
                <w:bCs/>
                <w:color w:val="000000" w:themeColor="text1"/>
                <w:kern w:val="24"/>
                <w:lang w:val="en-US"/>
              </w:rPr>
              <w:t>Cox regression</w:t>
            </w:r>
          </w:p>
          <w:p w14:paraId="621A1446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center"/>
              <w:rPr>
                <w:rFonts w:eastAsia="MS PGothic"/>
                <w:color w:val="000000" w:themeColor="text1"/>
                <w:kern w:val="24"/>
                <w:lang w:val="en-US"/>
              </w:rPr>
            </w:pPr>
            <w:r w:rsidRPr="00A70E09">
              <w:rPr>
                <w:rFonts w:eastAsia="MS PGothic"/>
                <w:b/>
                <w:bCs/>
                <w:color w:val="000000" w:themeColor="text1"/>
                <w:kern w:val="24"/>
                <w:lang w:val="en-US"/>
              </w:rPr>
              <w:t>for all-cause mortality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14:paraId="1D88AD67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center"/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  <w:t xml:space="preserve">Competing risk regression </w:t>
            </w:r>
          </w:p>
          <w:p w14:paraId="1F71187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center"/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  <w:t xml:space="preserve">for IP-related mortality 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</w:tcBorders>
          </w:tcPr>
          <w:p w14:paraId="50C38097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center"/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  <w:t xml:space="preserve">Competing risk regression </w:t>
            </w:r>
          </w:p>
          <w:p w14:paraId="7728FD04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center"/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  <w:t xml:space="preserve">for </w:t>
            </w: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vertAlign w:val="superscript"/>
                <w:lang w:val="en-US"/>
              </w:rPr>
              <w:t>†</w:t>
            </w: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  <w:t>non-IP-related mortality</w:t>
            </w:r>
          </w:p>
        </w:tc>
      </w:tr>
      <w:tr w:rsidR="003C7B5F" w:rsidRPr="00A70E09" w14:paraId="5C1B1B9F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170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6B9F5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bookmarkStart w:id="2" w:name="_Hlk204889784"/>
          </w:p>
        </w:tc>
        <w:tc>
          <w:tcPr>
            <w:tcW w:w="1351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CBC750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  <w:t>HR (95% CI)</w:t>
            </w:r>
          </w:p>
        </w:tc>
        <w:tc>
          <w:tcPr>
            <w:tcW w:w="884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A9F639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b/>
                <w:bCs/>
                <w:i/>
                <w:i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i/>
                <w:iCs/>
                <w:color w:val="000000" w:themeColor="text1"/>
                <w:kern w:val="2"/>
                <w:lang w:val="en-US"/>
              </w:rPr>
              <w:t>P-value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5797FD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  <w:t>HR (95% CI)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6E8FFE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b/>
                <w:bCs/>
                <w:i/>
                <w:i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i/>
                <w:iCs/>
                <w:color w:val="000000" w:themeColor="text1"/>
                <w:kern w:val="2"/>
                <w:lang w:val="en-US"/>
              </w:rPr>
              <w:t>P-</w:t>
            </w: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  <w:t>value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696C268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b/>
                <w:bCs/>
                <w:i/>
                <w:i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  <w:t>HR (95% CI)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0ACB14F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b/>
                <w:bCs/>
                <w:i/>
                <w:iCs/>
                <w:color w:val="000000" w:themeColor="text1"/>
                <w:kern w:val="2"/>
                <w:lang w:val="en-US"/>
              </w:rPr>
              <w:t>P</w:t>
            </w:r>
            <w:r w:rsidRPr="00A70E09">
              <w:rPr>
                <w:rFonts w:eastAsia="Yu Mincho"/>
                <w:b/>
                <w:bCs/>
                <w:color w:val="000000" w:themeColor="text1"/>
                <w:kern w:val="2"/>
                <w:lang w:val="en-US"/>
              </w:rPr>
              <w:t>-value</w:t>
            </w:r>
          </w:p>
        </w:tc>
      </w:tr>
      <w:tr w:rsidR="003C7B5F" w:rsidRPr="00A70E09" w14:paraId="1724E682" w14:textId="77777777" w:rsidTr="004E62C2">
        <w:tblPrEx>
          <w:tblCellMar>
            <w:left w:w="0" w:type="dxa"/>
            <w:right w:w="0" w:type="dxa"/>
          </w:tblCellMar>
        </w:tblPrEx>
        <w:trPr>
          <w:trHeight w:val="341"/>
        </w:trPr>
        <w:tc>
          <w:tcPr>
            <w:tcW w:w="17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FF84EC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jc w:val="both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AntiRo-52 antibody</w:t>
            </w:r>
          </w:p>
        </w:tc>
        <w:tc>
          <w:tcPr>
            <w:tcW w:w="1351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9B0343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1.24 (0.53–2.90)</w:t>
            </w:r>
          </w:p>
        </w:tc>
        <w:tc>
          <w:tcPr>
            <w:tcW w:w="88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D8FDA7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0.62</w:t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87C11E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0.45 (0.09–2.16)</w:t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086062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0.32</w:t>
            </w:r>
          </w:p>
        </w:tc>
        <w:tc>
          <w:tcPr>
            <w:tcW w:w="1417" w:type="dxa"/>
          </w:tcPr>
          <w:p w14:paraId="76666A30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1.72 (0.62–4.78)</w:t>
            </w:r>
          </w:p>
        </w:tc>
        <w:tc>
          <w:tcPr>
            <w:tcW w:w="1701" w:type="dxa"/>
          </w:tcPr>
          <w:p w14:paraId="5204A46E" w14:textId="77777777" w:rsidR="003C7B5F" w:rsidRPr="00A70E09" w:rsidRDefault="003C7B5F" w:rsidP="004E62C2">
            <w:pPr>
              <w:widowControl w:val="0"/>
              <w:snapToGrid w:val="0"/>
              <w:spacing w:line="480" w:lineRule="auto"/>
              <w:rPr>
                <w:rFonts w:eastAsia="Yu Mincho"/>
                <w:color w:val="000000" w:themeColor="text1"/>
                <w:kern w:val="2"/>
                <w:lang w:val="en-US"/>
              </w:rPr>
            </w:pPr>
            <w:r w:rsidRPr="00A70E09">
              <w:rPr>
                <w:rFonts w:eastAsia="Yu Mincho"/>
                <w:color w:val="000000" w:themeColor="text1"/>
                <w:kern w:val="2"/>
                <w:lang w:val="en-US"/>
              </w:rPr>
              <w:t>0.30</w:t>
            </w:r>
          </w:p>
        </w:tc>
      </w:tr>
      <w:bookmarkEnd w:id="2"/>
    </w:tbl>
    <w:p w14:paraId="7DABB4D5" w14:textId="77777777" w:rsidR="003C7B5F" w:rsidRPr="00A70E09" w:rsidRDefault="003C7B5F" w:rsidP="003C7B5F">
      <w:pPr>
        <w:snapToGrid w:val="0"/>
        <w:spacing w:line="480" w:lineRule="auto"/>
        <w:rPr>
          <w:rFonts w:eastAsia="Times New Roman"/>
          <w:b/>
          <w:color w:val="000000" w:themeColor="text1"/>
          <w:sz w:val="20"/>
          <w:szCs w:val="20"/>
          <w:lang w:val="en-US"/>
        </w:rPr>
      </w:pPr>
    </w:p>
    <w:p w14:paraId="3F4544A4" w14:textId="77777777" w:rsidR="003C7B5F" w:rsidRPr="00A70E09" w:rsidRDefault="003C7B5F" w:rsidP="003C7B5F">
      <w:pPr>
        <w:snapToGrid w:val="0"/>
        <w:spacing w:line="480" w:lineRule="auto"/>
        <w:rPr>
          <w:rFonts w:eastAsia="Times New Roman"/>
          <w:bCs/>
          <w:color w:val="000000" w:themeColor="text1"/>
          <w:sz w:val="20"/>
          <w:szCs w:val="20"/>
          <w:lang w:val="en-US"/>
        </w:rPr>
      </w:pPr>
      <w:r w:rsidRPr="00A70E09">
        <w:rPr>
          <w:rFonts w:eastAsia="Times New Roman"/>
          <w:bCs/>
          <w:color w:val="000000" w:themeColor="text1"/>
          <w:sz w:val="20"/>
          <w:szCs w:val="20"/>
          <w:lang w:val="en-US"/>
        </w:rPr>
        <w:t>*</w:t>
      </w:r>
      <w:r w:rsidRPr="00A70E09">
        <w:rPr>
          <w:rFonts w:eastAsia="Times New Roman"/>
          <w:bCs/>
          <w:i/>
          <w:iCs/>
          <w:color w:val="000000" w:themeColor="text1"/>
          <w:sz w:val="20"/>
          <w:szCs w:val="20"/>
          <w:lang w:val="en-US"/>
        </w:rPr>
        <w:t>P</w:t>
      </w:r>
      <w:r w:rsidRPr="00A70E09">
        <w:rPr>
          <w:rFonts w:eastAsia="Times New Roman"/>
          <w:bCs/>
          <w:color w:val="000000" w:themeColor="text1"/>
          <w:sz w:val="20"/>
          <w:szCs w:val="20"/>
          <w:lang w:val="en-US"/>
        </w:rPr>
        <w:t>-values &lt; 0.05 indicate significant differences.</w:t>
      </w:r>
    </w:p>
    <w:p w14:paraId="5F672BC1" w14:textId="77777777" w:rsidR="003C7B5F" w:rsidRPr="00A70E09" w:rsidRDefault="003C7B5F" w:rsidP="003C7B5F">
      <w:pPr>
        <w:snapToGrid w:val="0"/>
        <w:spacing w:line="480" w:lineRule="auto"/>
        <w:rPr>
          <w:rFonts w:eastAsia="Times New Roman"/>
          <w:b/>
          <w:color w:val="000000" w:themeColor="text1"/>
          <w:sz w:val="20"/>
          <w:szCs w:val="20"/>
          <w:lang w:val="en-US"/>
        </w:rPr>
      </w:pPr>
      <w:r w:rsidRPr="00A70E09">
        <w:rPr>
          <w:rFonts w:eastAsia="Times New Roman"/>
          <w:b/>
          <w:color w:val="000000" w:themeColor="text1"/>
          <w:sz w:val="20"/>
          <w:szCs w:val="20"/>
          <w:lang w:val="en-US"/>
        </w:rPr>
        <w:t xml:space="preserve">† </w:t>
      </w:r>
      <w:r w:rsidRPr="00A70E09">
        <w:rPr>
          <w:rFonts w:eastAsia="Times New Roman"/>
          <w:bCs/>
          <w:color w:val="000000" w:themeColor="text1"/>
          <w:sz w:val="20"/>
          <w:szCs w:val="20"/>
          <w:lang w:val="en-US"/>
        </w:rPr>
        <w:t>Non-I</w:t>
      </w:r>
      <w:r w:rsidRPr="00A70E09">
        <w:rPr>
          <w:rFonts w:eastAsiaTheme="minorEastAsia"/>
          <w:bCs/>
          <w:color w:val="000000" w:themeColor="text1"/>
          <w:sz w:val="20"/>
          <w:szCs w:val="20"/>
          <w:lang w:val="en-US"/>
        </w:rPr>
        <w:t>P</w:t>
      </w:r>
      <w:r w:rsidRPr="00A70E09">
        <w:rPr>
          <w:rFonts w:eastAsia="Times New Roman"/>
          <w:bCs/>
          <w:color w:val="000000" w:themeColor="text1"/>
          <w:sz w:val="20"/>
          <w:szCs w:val="20"/>
          <w:lang w:val="en-US"/>
        </w:rPr>
        <w:t>-related causes of death included aspiration pneumonia (n=2), bacterial pneumonia (n=2), bladder cancer (n=1), cerebral hemorrhage (n=1), cervical cancer (n=1), colon perforation (n=1), gallbladder cancer (n=1), gastric cancer (n=1), heart failure (n=2), lung cancer (n=2), myocardial infarction (n=1), rectal ulcer (n=1), senility (n=1)</w:t>
      </w:r>
    </w:p>
    <w:p w14:paraId="140685B3" w14:textId="77777777" w:rsidR="003C7B5F" w:rsidRPr="00A70E09" w:rsidRDefault="003C7B5F" w:rsidP="003C7B5F">
      <w:pPr>
        <w:snapToGrid w:val="0"/>
        <w:spacing w:line="480" w:lineRule="auto"/>
        <w:rPr>
          <w:rFonts w:eastAsiaTheme="minorEastAsia"/>
          <w:b/>
          <w:bCs/>
          <w:color w:val="000000" w:themeColor="text1"/>
          <w:kern w:val="2"/>
          <w:sz w:val="20"/>
          <w:szCs w:val="20"/>
          <w:lang w:val="en-US"/>
        </w:rPr>
      </w:pPr>
    </w:p>
    <w:p w14:paraId="4FAB2CE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Gothic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B5F"/>
    <w:rsid w:val="003C7B5F"/>
    <w:rsid w:val="00767E38"/>
    <w:rsid w:val="007E1D4B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EAA5E"/>
  <w15:chartTrackingRefBased/>
  <w15:docId w15:val="{87C1756A-5405-443A-A3F7-A844468FA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B5F"/>
    <w:pPr>
      <w:spacing w:after="0" w:line="240" w:lineRule="auto"/>
    </w:pPr>
    <w:rPr>
      <w:rFonts w:ascii="Times New Roman" w:eastAsia="MS Mincho" w:hAnsi="Times New Roman" w:cs="Times New Roman"/>
      <w:kern w:val="0"/>
      <w:lang w:val="en-AU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7B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7B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7B5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7B5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7B5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7B5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7B5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7B5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7B5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7B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7B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7B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7B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7B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7B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7B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7B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7B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7B5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7B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7B5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7B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7B5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7B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7B5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7B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7B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7B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7B5F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3C7B5F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:lang w:val="en-US" w:eastAsia="zh-TW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939</Words>
  <Characters>5357</Characters>
  <Application>Microsoft Office Word</Application>
  <DocSecurity>0</DocSecurity>
  <Lines>44</Lines>
  <Paragraphs>12</Paragraphs>
  <ScaleCrop>false</ScaleCrop>
  <Company/>
  <LinksUpToDate>false</LinksUpToDate>
  <CharactersWithSpaces>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2025-09-15T17:51:00Z</dcterms:created>
  <dcterms:modified xsi:type="dcterms:W3CDTF">2025-09-15T17:52:00Z</dcterms:modified>
</cp:coreProperties>
</file>