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1490"/>
        <w:tblW w:w="16444" w:type="dxa"/>
        <w:tblLayout w:type="fixed"/>
        <w:tblLook w:val="04A0"/>
      </w:tblPr>
      <w:tblGrid>
        <w:gridCol w:w="3789"/>
        <w:gridCol w:w="1173"/>
        <w:gridCol w:w="1774"/>
        <w:gridCol w:w="1265"/>
        <w:gridCol w:w="1989"/>
        <w:gridCol w:w="2461"/>
        <w:gridCol w:w="874"/>
        <w:gridCol w:w="2287"/>
        <w:gridCol w:w="832"/>
      </w:tblGrid>
      <w:tr w:rsidR="00B644AD" w:rsidRPr="008B61BD" w:rsidTr="00B644AD">
        <w:trPr>
          <w:trHeight w:val="416"/>
        </w:trPr>
        <w:tc>
          <w:tcPr>
            <w:tcW w:w="3789" w:type="dxa"/>
            <w:noWrap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Variable</w:t>
            </w:r>
          </w:p>
        </w:tc>
        <w:tc>
          <w:tcPr>
            <w:tcW w:w="1173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Missing values</w:t>
            </w:r>
          </w:p>
        </w:tc>
        <w:tc>
          <w:tcPr>
            <w:tcW w:w="1774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Global cohort (stage 1 in 2014)</w:t>
            </w:r>
          </w:p>
        </w:tc>
        <w:tc>
          <w:tcPr>
            <w:tcW w:w="1265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Non </w:t>
            </w:r>
            <w:proofErr w:type="spellStart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progressors</w:t>
            </w:r>
            <w:proofErr w:type="spellEnd"/>
          </w:p>
        </w:tc>
        <w:tc>
          <w:tcPr>
            <w:tcW w:w="1989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proofErr w:type="spellStart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Progressors</w:t>
            </w:r>
            <w:proofErr w:type="spellEnd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 (to Stage 2,3,4,5)</w:t>
            </w:r>
          </w:p>
        </w:tc>
        <w:tc>
          <w:tcPr>
            <w:tcW w:w="2461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HR (95%CI) unadjusted (Univariate)</w:t>
            </w:r>
          </w:p>
        </w:tc>
        <w:tc>
          <w:tcPr>
            <w:tcW w:w="874" w:type="dxa"/>
            <w:noWrap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 value</w:t>
            </w:r>
          </w:p>
        </w:tc>
        <w:tc>
          <w:tcPr>
            <w:tcW w:w="2287" w:type="dxa"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HR (95%CI) adjusted</w:t>
            </w:r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¶ </w:t>
            </w: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 (Multivariate)</w:t>
            </w:r>
          </w:p>
        </w:tc>
        <w:tc>
          <w:tcPr>
            <w:tcW w:w="832" w:type="dxa"/>
            <w:noWrap/>
            <w:hideMark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 value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Number of patients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2405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1335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1070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Median age, years (IQR)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</w:t>
            </w:r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†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43 (14)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41 (14)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46 (13)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1.055 (1.046-1.065)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&lt;0.001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1.064 (1.052-1.077)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&lt;0.001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Female sex,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467 (19%)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243 (18%)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224 (21%)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1.190 (0.972-1.457)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0.093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Black race,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822 (34%)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30 (1%)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12 (1%)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18 (3%)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2.078 (0.994-4.345)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0.052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Body mass index, kg/m</w:t>
            </w:r>
            <w:bookmarkStart w:id="0" w:name="_GoBack"/>
            <w:r w:rsidRPr="00B644A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ca-ES"/>
              </w:rPr>
              <w:t>2</w:t>
            </w:r>
            <w:bookmarkEnd w:id="0"/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(IQR)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1641 (68%)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23 (3)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23 (3)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23 (3)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1.005 (0.959-1.053)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0.831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Current or previous smoker,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176 (7%)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1423 (59%)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815 (65%)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608 (62%)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0.862 (0.724-1.025)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0.093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Hypertension,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234 (10%)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108 (8%)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126 (12%)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1.516 (1.157-1.988)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0.003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0.987 (0.718-1.357)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0.938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Diabetes mellitus,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86 (4%)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37 (3%)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49 (5%)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1.684 (1.090-2.600)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0.019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1.162 (0.710-1.903)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0.549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Dislipemia,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222 (9%)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100 (8%)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122 (11%)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1.589 (1.204-2.098)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0.001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0.999 (0.721-1.384)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0.995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Cardiovascular disease,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71 (3%)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37 (3%)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34 (3%)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1.151 (0.718-1.847)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0.559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Hepatitis B coinfection,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8 (0.3%)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75 (3%)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39 (3%)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36 (3%)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1.154 (0.728-1.828)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0.542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Hepatitis C coinfection,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5 (0.2%)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505 (21%)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296 (22%)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7C5E93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7C5E93">
              <w:rPr>
                <w:rFonts w:eastAsiaTheme="minorHAnsi"/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-406.1pt;margin-top:-246.35pt;width:508.15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" stroked="f">
                  <v:textbox>
                    <w:txbxContent>
                      <w:p w:rsidR="00B644AD" w:rsidRPr="00B644AD" w:rsidRDefault="00B644AD" w:rsidP="00B644AD">
                        <w:pPr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B644A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Table</w:t>
                        </w:r>
                        <w:proofErr w:type="spellEnd"/>
                        <w:r w:rsidRPr="00B644A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5:</w:t>
                        </w:r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Risk</w:t>
                        </w:r>
                        <w:proofErr w:type="spellEnd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factors</w:t>
                        </w:r>
                        <w:proofErr w:type="spellEnd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of renal </w:t>
                        </w:r>
                        <w:proofErr w:type="spellStart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damage</w:t>
                        </w:r>
                        <w:proofErr w:type="spellEnd"/>
                        <w:r w:rsidRPr="00B644A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in </w:t>
                        </w:r>
                        <w:proofErr w:type="spellStart"/>
                        <w:r w:rsidRPr="00B644AD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patients</w:t>
                        </w:r>
                        <w:proofErr w:type="spellEnd"/>
                        <w:r w:rsidRPr="00B644AD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644AD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>classified</w:t>
                        </w:r>
                        <w:proofErr w:type="spellEnd"/>
                        <w:r w:rsidRPr="00B644AD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 as Stage 1. </w:t>
                        </w:r>
                      </w:p>
                      <w:p w:rsidR="00B644AD" w:rsidRPr="00B644AD" w:rsidRDefault="00B644A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644AD"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209 (20%)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0.852 (0.698-1.039)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0.113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Mode of HIV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</w:t>
            </w: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quisition,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131 (5%)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ca-ES"/>
              </w:rPr>
              <w:t> 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Homosexual/bisexual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1445 (60%)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824 (66%)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621 (61%)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0.820 (0.691-0.974)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0.023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1.150 (0.876-1.510)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0.315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Heterosexual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622 (26%)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309 (25%)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313 (31%)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1.361 (1.131-1.637)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0.001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1.260 (0.972-1.634)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0.081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Injection drug use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313 (13%)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168 (13%)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145 (14%)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1.076 (0.847-1.367)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0.550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406"/>
        </w:trPr>
        <w:tc>
          <w:tcPr>
            <w:tcW w:w="3789" w:type="dxa"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Duration of HIV infec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t</w:t>
            </w: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ion, years (IQR)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12 (0.5%)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 (14)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9 (14)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12 (14)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1.020 (1.010-1.030)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&lt;0.001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0.984 (0.970-0.998)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0.030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Prior AIDS (yes),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435 (18%)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227 (17%)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208 (19%)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1.178 (0.956-1.450)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0.123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Current ART regimen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No treatment,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64 (3%)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41 (3%)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23 (2%)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reference group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NNRTI-based, n (%)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</w:t>
            </w:r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‡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1324 (55%)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720 (54%)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604 (56%)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1.495 (0.887-2.520)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0.131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PI-based, n (%)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</w:t>
            </w:r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>§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76 (3%)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45 (3%)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31 (3%)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1.228 (0.619-2.437)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0.557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Boosted PI-based,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705 (29%)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389 (29%)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316 (30%)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1.448 (0.851-2.464)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0.172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68"/>
        </w:trPr>
        <w:tc>
          <w:tcPr>
            <w:tcW w:w="3789" w:type="dxa"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Integrase inhibitors</w:t>
            </w:r>
            <w:proofErr w:type="gramStart"/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-  based</w:t>
            </w:r>
            <w:proofErr w:type="gramEnd"/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223 (9%)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130 (10%)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93 (9%)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1.275 (0.717-2.268)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0.408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Others,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13 (0.5%)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 (1%)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3 (0.3%)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0.535 (0.134-2.142)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0.377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lastRenderedPageBreak/>
              <w:t>Variable</w:t>
            </w:r>
          </w:p>
        </w:tc>
        <w:tc>
          <w:tcPr>
            <w:tcW w:w="1173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Missing values</w:t>
            </w:r>
          </w:p>
        </w:tc>
        <w:tc>
          <w:tcPr>
            <w:tcW w:w="1774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Global cohort (stage 1 in 2014)</w:t>
            </w:r>
          </w:p>
        </w:tc>
        <w:tc>
          <w:tcPr>
            <w:tcW w:w="1265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Non </w:t>
            </w:r>
            <w:proofErr w:type="spellStart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progressors</w:t>
            </w:r>
            <w:proofErr w:type="spellEnd"/>
          </w:p>
        </w:tc>
        <w:tc>
          <w:tcPr>
            <w:tcW w:w="1989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proofErr w:type="spellStart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Progressors</w:t>
            </w:r>
            <w:proofErr w:type="spellEnd"/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 (to Stage 2,3,4,5)</w:t>
            </w:r>
          </w:p>
        </w:tc>
        <w:tc>
          <w:tcPr>
            <w:tcW w:w="2461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HR (95%CI) unadjusted (Univariate)</w:t>
            </w:r>
          </w:p>
        </w:tc>
        <w:tc>
          <w:tcPr>
            <w:tcW w:w="874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 value</w:t>
            </w:r>
          </w:p>
        </w:tc>
        <w:tc>
          <w:tcPr>
            <w:tcW w:w="2287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HR (95%CI) adjusted</w:t>
            </w:r>
            <w:r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</w:rPr>
              <w:t xml:space="preserve">¶ </w:t>
            </w: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 xml:space="preserve"> (Multivariate)</w:t>
            </w:r>
          </w:p>
        </w:tc>
        <w:tc>
          <w:tcPr>
            <w:tcW w:w="832" w:type="dxa"/>
            <w:noWrap/>
          </w:tcPr>
          <w:p w:rsidR="00B644AD" w:rsidRPr="00B644A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</w:pPr>
            <w:r w:rsidRPr="00B644A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GB" w:eastAsia="ca-ES"/>
              </w:rPr>
              <w:t>p value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TENOFOVIR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1998 (83%)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1093 (82%)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905 (85%)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1.214 (0.978-1.508)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0.079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Time on TENOFOVIR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0.90 (3.7)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0.6 (3.4)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 (4.0)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1.047 (1.020-1.075)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ca-ES"/>
              </w:rPr>
              <w:t>0.001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1.016 (0.987-1.047)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0.280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Nadir CD4 cell count (IQR)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7 (0.3%)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259 (229)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269 (238)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249 (224)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0.999 (0.999-1.000)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0.003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1.000 (1.000-1.001)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0.653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Current CD4 cell count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 (0%)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646 (369)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644 (374)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649 (369)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1.000 (1.000-1.000)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0.838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Current HIV infection status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  <w:tr w:rsidR="00B644AD" w:rsidRPr="008B61BD" w:rsidTr="00B644AD">
        <w:trPr>
          <w:trHeight w:val="300"/>
        </w:trPr>
        <w:tc>
          <w:tcPr>
            <w:tcW w:w="3789" w:type="dxa"/>
            <w:noWrap/>
            <w:hideMark/>
          </w:tcPr>
          <w:p w:rsidR="00B644AD" w:rsidRPr="008B61BD" w:rsidRDefault="00B644AD" w:rsidP="00B644A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 xml:space="preserve">           </w:t>
            </w:r>
            <w:proofErr w:type="spellStart"/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Supression</w:t>
            </w:r>
            <w:proofErr w:type="spellEnd"/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, n (%)</w:t>
            </w:r>
          </w:p>
        </w:tc>
        <w:tc>
          <w:tcPr>
            <w:tcW w:w="1173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17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2178 (91%)</w:t>
            </w:r>
          </w:p>
        </w:tc>
        <w:tc>
          <w:tcPr>
            <w:tcW w:w="1265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1198 (90%)</w:t>
            </w:r>
          </w:p>
        </w:tc>
        <w:tc>
          <w:tcPr>
            <w:tcW w:w="1989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980 (92%)</w:t>
            </w:r>
          </w:p>
        </w:tc>
        <w:tc>
          <w:tcPr>
            <w:tcW w:w="2461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1.246 (0.942-1.646)</w:t>
            </w:r>
          </w:p>
        </w:tc>
        <w:tc>
          <w:tcPr>
            <w:tcW w:w="874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0.123</w:t>
            </w:r>
          </w:p>
        </w:tc>
        <w:tc>
          <w:tcPr>
            <w:tcW w:w="2287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  <w:tc>
          <w:tcPr>
            <w:tcW w:w="832" w:type="dxa"/>
            <w:noWrap/>
            <w:hideMark/>
          </w:tcPr>
          <w:p w:rsidR="00B644AD" w:rsidRPr="008B61BD" w:rsidRDefault="00B644AD" w:rsidP="00B644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</w:pPr>
            <w:r w:rsidRPr="008B61B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ca-ES"/>
              </w:rPr>
              <w:t> </w:t>
            </w:r>
          </w:p>
        </w:tc>
      </w:tr>
    </w:tbl>
    <w:p w:rsidR="00B644AD" w:rsidRDefault="00B644AD" w:rsidP="00B644AD">
      <w:pPr>
        <w:spacing w:after="0" w:line="240" w:lineRule="auto"/>
        <w:jc w:val="both"/>
        <w:rPr>
          <w:rFonts w:ascii="Arial" w:hAnsi="Arial" w:cs="Arial"/>
          <w:color w:val="1C1D1E"/>
          <w:sz w:val="21"/>
          <w:szCs w:val="21"/>
          <w:shd w:val="clear" w:color="auto" w:fill="FFFFFF"/>
        </w:rPr>
      </w:pPr>
    </w:p>
    <w:p w:rsidR="00B644AD" w:rsidRPr="00B644AD" w:rsidRDefault="00B644AD" w:rsidP="00B644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>†</w:t>
      </w:r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IQR: Interquartile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range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 xml:space="preserve">‡ </w:t>
      </w:r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NNRTI: non-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nucleoside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reverse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transcriptase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inhibitor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 xml:space="preserve">§ </w:t>
      </w:r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PI: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protease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inhibitor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; a: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patients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can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present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more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than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one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HIV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transmission</w:t>
      </w:r>
      <w:proofErr w:type="spellEnd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BE51F3">
        <w:rPr>
          <w:rFonts w:ascii="Times New Roman" w:eastAsia="Times New Roman" w:hAnsi="Times New Roman" w:cs="Times New Roman"/>
          <w:bCs/>
          <w:sz w:val="20"/>
          <w:szCs w:val="20"/>
        </w:rPr>
        <w:t>route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; </w:t>
      </w:r>
      <w:r>
        <w:rPr>
          <w:rFonts w:ascii="Arial" w:hAnsi="Arial" w:cs="Arial"/>
          <w:color w:val="1C1D1E"/>
          <w:sz w:val="21"/>
          <w:szCs w:val="21"/>
          <w:shd w:val="clear" w:color="auto" w:fill="FFFFFF"/>
        </w:rPr>
        <w:t xml:space="preserve">¶ </w:t>
      </w:r>
      <w:r w:rsidRPr="00B644AD">
        <w:rPr>
          <w:rFonts w:ascii="Times New Roman" w:hAnsi="Times New Roman" w:cs="Times New Roman"/>
          <w:noProof/>
          <w:sz w:val="20"/>
          <w:szCs w:val="20"/>
        </w:rPr>
        <w:t>Adjusted for significant variables in univariate analysis</w:t>
      </w:r>
    </w:p>
    <w:p w:rsidR="00D01B99" w:rsidRDefault="00D01B99"/>
    <w:sectPr w:rsidR="00D01B99" w:rsidSect="00B644A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644AD"/>
    <w:rsid w:val="005E5138"/>
    <w:rsid w:val="007C5E93"/>
    <w:rsid w:val="00B644AD"/>
    <w:rsid w:val="00D0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44AD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44A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RMFERNANDEZ</cp:lastModifiedBy>
  <cp:revision>2</cp:revision>
  <dcterms:created xsi:type="dcterms:W3CDTF">2025-06-10T09:38:00Z</dcterms:created>
  <dcterms:modified xsi:type="dcterms:W3CDTF">2025-06-10T09:38:00Z</dcterms:modified>
</cp:coreProperties>
</file>