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ED7" w:rsidRDefault="00400ED7" w:rsidP="00400ED7"/>
    <w:p w:rsidR="00B64E23" w:rsidRPr="00413500" w:rsidRDefault="00B64E23" w:rsidP="00074277">
      <w:pPr>
        <w:pStyle w:val="3"/>
        <w:jc w:val="both"/>
        <w:rPr>
          <w:b w:val="0"/>
          <w:bCs w:val="0"/>
          <w:i/>
          <w:iCs/>
          <w:sz w:val="22"/>
          <w:szCs w:val="22"/>
        </w:rPr>
      </w:pPr>
      <w:r>
        <w:rPr>
          <w:rStyle w:val="a4"/>
          <w:b/>
          <w:bCs/>
        </w:rPr>
        <w:t>Appendix A: Zone-Stratified HbA1c Dataset for Diabetes Detection</w:t>
      </w:r>
      <w:r>
        <w:br/>
      </w:r>
      <w:r w:rsidRPr="00413500">
        <w:rPr>
          <w:rStyle w:val="a7"/>
          <w:rFonts w:eastAsiaTheme="majorEastAsia"/>
          <w:b w:val="0"/>
          <w:bCs w:val="0"/>
          <w:i w:val="0"/>
          <w:iCs w:val="0"/>
          <w:sz w:val="22"/>
          <w:szCs w:val="22"/>
        </w:rPr>
        <w:t>This appendix presents the complete dataset used for zone-based diagnostic evaluation, listing HbA1c values alongside binary diagnosis labels (0 = non-diabetic, 1 = diabetic) and their corresponding epistemic zones. Zones are defined using the Robust Adjusted Mean Interval (RAMI) framework and include: Recessive Zone (RZ), Lower Plausible Zone (LPZ), Trusted Zone (TZ), Upper Mixed Outcome Zone (UPZ), and Inflated Zone (IZ). This stratification underpins all zone-restricted ROC/DET analyses and reliability assessments throughout the study.</w:t>
      </w:r>
    </w:p>
    <w:tbl>
      <w:tblPr>
        <w:tblW w:w="4317" w:type="dxa"/>
        <w:tblInd w:w="93" w:type="dxa"/>
        <w:tblBorders>
          <w:insideH w:val="single" w:sz="4" w:space="0" w:color="auto"/>
        </w:tblBorders>
        <w:tblLook w:val="04A0" w:firstRow="1" w:lastRow="0" w:firstColumn="1" w:lastColumn="0" w:noHBand="0" w:noVBand="1"/>
      </w:tblPr>
      <w:tblGrid>
        <w:gridCol w:w="960"/>
        <w:gridCol w:w="1065"/>
        <w:gridCol w:w="2292"/>
      </w:tblGrid>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HbA1c</w:t>
            </w:r>
          </w:p>
        </w:tc>
        <w:tc>
          <w:tcPr>
            <w:tcW w:w="1065"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Diagnosis</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Score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3.38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3.32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3.18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3.05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Recessive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4.48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3.63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4.28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4.12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3.97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3.53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3.62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3.53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3.95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3.58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3.68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4.46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4.48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4.49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3.62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3.97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4.45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3.51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3.96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3.63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4.27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3.54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4.17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3.56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3.81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3.76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3.66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4.04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Lower Plausible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5.2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4.77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4.75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4.91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4.94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4.74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4.91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5.22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4.97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4.95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5.67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4.74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4.72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5.84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5.53</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5.28</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4.85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5.56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4.52</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5.7</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5.49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4.64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5.19</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4.74</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5.11</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FB5808" w:rsidRPr="00840082" w:rsidTr="00B64E23">
        <w:trPr>
          <w:trHeight w:val="288"/>
        </w:trPr>
        <w:tc>
          <w:tcPr>
            <w:tcW w:w="960"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5.06</w:t>
            </w:r>
          </w:p>
        </w:tc>
        <w:tc>
          <w:tcPr>
            <w:tcW w:w="1065" w:type="dxa"/>
            <w:shd w:val="clear" w:color="auto" w:fill="auto"/>
            <w:noWrap/>
            <w:vAlign w:val="bottom"/>
            <w:hideMark/>
          </w:tcPr>
          <w:p w:rsidR="00FB5808" w:rsidRPr="00840082" w:rsidRDefault="00FB5808"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FB5808" w:rsidRPr="00840082" w:rsidRDefault="00FB5808"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DB0690">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4.56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DB0690">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5.02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DB0690">
            <w:pPr>
              <w:spacing w:after="0" w:line="240" w:lineRule="auto"/>
              <w:rPr>
                <w:rFonts w:ascii="Calibri" w:eastAsia="Times New Roman" w:hAnsi="Calibri" w:cs="Calibri"/>
                <w:color w:val="000000"/>
              </w:rPr>
            </w:pPr>
            <w:r w:rsidRPr="00840082">
              <w:rPr>
                <w:rFonts w:ascii="Calibri" w:eastAsia="Times New Roman" w:hAnsi="Calibri" w:cs="Calibri"/>
                <w:color w:val="000000"/>
              </w:rPr>
              <w:t>Trusted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6.45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6.03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6.39</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6.26</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6.43</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6.44</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6.35</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0</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6.11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6.07</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6.01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400ED7" w:rsidP="007A2C9F">
            <w:pPr>
              <w:spacing w:after="0" w:line="240" w:lineRule="auto"/>
              <w:rPr>
                <w:rFonts w:ascii="Calibri" w:eastAsia="Times New Roman" w:hAnsi="Calibri" w:cs="Calibri"/>
                <w:color w:val="000000"/>
              </w:rPr>
            </w:pPr>
            <w:r w:rsidRPr="00840082">
              <w:rPr>
                <w:rFonts w:ascii="Calibri" w:eastAsia="Times New Roman" w:hAnsi="Calibri" w:cs="Calibri"/>
                <w:color w:val="000000"/>
              </w:rPr>
              <w:t>Upper MOZ</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7.58</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00400ED7" w:rsidRPr="00840082">
              <w:rPr>
                <w:rFonts w:ascii="Calibri" w:eastAsia="Times New Roman" w:hAnsi="Calibri" w:cs="Calibri"/>
                <w:color w:val="000000"/>
              </w:rPr>
              <w:t xml:space="preserve"> 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6.82</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w:t>
            </w:r>
            <w:r w:rsidR="00400ED7" w:rsidRPr="00840082">
              <w:rPr>
                <w:rFonts w:ascii="Calibri" w:eastAsia="Times New Roman" w:hAnsi="Calibri" w:cs="Calibri"/>
                <w:color w:val="000000"/>
              </w:rPr>
              <w:t>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7.21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w:t>
            </w:r>
            <w:r w:rsidR="00400ED7" w:rsidRPr="00840082">
              <w:rPr>
                <w:rFonts w:ascii="Calibri" w:eastAsia="Times New Roman" w:hAnsi="Calibri" w:cs="Calibri"/>
                <w:color w:val="000000"/>
              </w:rPr>
              <w:t>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7.41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w:t>
            </w:r>
            <w:r w:rsidR="00400ED7" w:rsidRPr="00840082">
              <w:rPr>
                <w:rFonts w:ascii="Calibri" w:eastAsia="Times New Roman" w:hAnsi="Calibri" w:cs="Calibri"/>
                <w:color w:val="000000"/>
              </w:rPr>
              <w:t>Zone</w:t>
            </w:r>
          </w:p>
        </w:tc>
      </w:tr>
      <w:tr w:rsidR="00400ED7" w:rsidRPr="00840082" w:rsidTr="00B64E23">
        <w:trPr>
          <w:trHeight w:val="288"/>
        </w:trPr>
        <w:tc>
          <w:tcPr>
            <w:tcW w:w="960"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8.11</w:t>
            </w:r>
          </w:p>
        </w:tc>
        <w:tc>
          <w:tcPr>
            <w:tcW w:w="1065" w:type="dxa"/>
            <w:shd w:val="clear" w:color="auto" w:fill="auto"/>
            <w:noWrap/>
            <w:vAlign w:val="bottom"/>
            <w:hideMark/>
          </w:tcPr>
          <w:p w:rsidR="00400ED7" w:rsidRPr="00840082" w:rsidRDefault="00400ED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400ED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w:t>
            </w:r>
            <w:r w:rsidR="00400ED7" w:rsidRPr="00840082">
              <w:rPr>
                <w:rFonts w:ascii="Calibri" w:eastAsia="Times New Roman" w:hAnsi="Calibri" w:cs="Calibri"/>
                <w:color w:val="000000"/>
              </w:rPr>
              <w:t>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7.93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7.39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8.97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8.01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7.09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6.75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6.88</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7.11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7.21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8.74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7.81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7.53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8.96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6.78</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7.49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8.92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8.66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8.54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7.14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8.17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8.82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7.89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7.93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8.42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7.31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7.56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7.77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7.11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6.79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8.03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7.22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7.95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7.83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6.63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7.34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6.66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8.97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7.31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8.52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7.14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7.99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7.68</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7.53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7.37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8.82</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8.58</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8.91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8.33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8.85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6.67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8.35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7.94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8.49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6.91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8.54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8.16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7.81</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8.69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7.48</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8.54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7.44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7.66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7.25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8.37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7.76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7.08</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8.75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7.46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lastRenderedPageBreak/>
              <w:t>7.86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8.77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8.06</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6.79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8.85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8.07</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7.34</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6.85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8.49</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8.05</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7.83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r w:rsidR="00B93687" w:rsidRPr="00840082" w:rsidTr="00B64E23">
        <w:trPr>
          <w:trHeight w:val="288"/>
        </w:trPr>
        <w:tc>
          <w:tcPr>
            <w:tcW w:w="960"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8.73</w:t>
            </w:r>
          </w:p>
        </w:tc>
        <w:tc>
          <w:tcPr>
            <w:tcW w:w="1065" w:type="dxa"/>
            <w:shd w:val="clear" w:color="auto" w:fill="auto"/>
            <w:noWrap/>
            <w:vAlign w:val="bottom"/>
            <w:hideMark/>
          </w:tcPr>
          <w:p w:rsidR="00B93687" w:rsidRPr="00840082" w:rsidRDefault="00B93687" w:rsidP="007A2C9F">
            <w:pPr>
              <w:spacing w:after="0" w:line="240" w:lineRule="auto"/>
              <w:jc w:val="right"/>
              <w:rPr>
                <w:rFonts w:ascii="Calibri" w:eastAsia="Times New Roman" w:hAnsi="Calibri" w:cs="Calibri"/>
                <w:color w:val="000000"/>
              </w:rPr>
            </w:pPr>
            <w:r w:rsidRPr="00840082">
              <w:rPr>
                <w:rFonts w:ascii="Calibri" w:eastAsia="Times New Roman" w:hAnsi="Calibri" w:cs="Calibri"/>
                <w:color w:val="000000"/>
              </w:rPr>
              <w:t>1</w:t>
            </w:r>
          </w:p>
        </w:tc>
        <w:tc>
          <w:tcPr>
            <w:tcW w:w="2292" w:type="dxa"/>
            <w:shd w:val="clear" w:color="auto" w:fill="auto"/>
            <w:noWrap/>
            <w:vAlign w:val="bottom"/>
            <w:hideMark/>
          </w:tcPr>
          <w:p w:rsidR="00B93687" w:rsidRPr="00840082" w:rsidRDefault="00B93687" w:rsidP="007A2C9F">
            <w:pPr>
              <w:spacing w:after="0" w:line="240" w:lineRule="auto"/>
              <w:rPr>
                <w:rFonts w:ascii="Calibri" w:eastAsia="Times New Roman" w:hAnsi="Calibri" w:cs="Calibri"/>
                <w:color w:val="000000"/>
              </w:rPr>
            </w:pPr>
            <w:r>
              <w:rPr>
                <w:rFonts w:ascii="Calibri" w:eastAsia="Times New Roman" w:hAnsi="Calibri" w:cs="Calibri"/>
                <w:color w:val="000000"/>
              </w:rPr>
              <w:t xml:space="preserve">Inflated </w:t>
            </w:r>
            <w:r w:rsidRPr="00840082">
              <w:rPr>
                <w:rFonts w:ascii="Calibri" w:eastAsia="Times New Roman" w:hAnsi="Calibri" w:cs="Calibri"/>
                <w:color w:val="000000"/>
              </w:rPr>
              <w:t xml:space="preserve"> Zone</w:t>
            </w:r>
          </w:p>
        </w:tc>
      </w:tr>
    </w:tbl>
    <w:p w:rsidR="00064632" w:rsidRDefault="00064632" w:rsidP="00EB79D9"/>
    <w:p w:rsidR="00DB5BBE" w:rsidRPr="00DB5BBE" w:rsidRDefault="00DB5BBE" w:rsidP="00DB5BBE">
      <w:pPr>
        <w:pStyle w:val="3"/>
        <w:jc w:val="both"/>
        <w:rPr>
          <w:i/>
          <w:iCs/>
          <w:sz w:val="24"/>
          <w:szCs w:val="24"/>
        </w:rPr>
      </w:pPr>
      <w:r w:rsidRPr="00DB5BBE">
        <w:rPr>
          <w:rStyle w:val="a4"/>
          <w:b/>
          <w:bCs/>
          <w:sz w:val="24"/>
          <w:szCs w:val="24"/>
        </w:rPr>
        <w:t xml:space="preserve">Appendix B: Corrected Lower </w:t>
      </w:r>
      <w:proofErr w:type="spellStart"/>
      <w:r w:rsidRPr="00DB5BBE">
        <w:rPr>
          <w:rStyle w:val="a4"/>
          <w:b/>
          <w:bCs/>
          <w:sz w:val="24"/>
          <w:szCs w:val="24"/>
        </w:rPr>
        <w:t>Trizonal</w:t>
      </w:r>
      <w:proofErr w:type="spellEnd"/>
      <w:r w:rsidRPr="00DB5BBE">
        <w:rPr>
          <w:rStyle w:val="a4"/>
          <w:b/>
          <w:bCs/>
          <w:sz w:val="24"/>
          <w:szCs w:val="24"/>
        </w:rPr>
        <w:t xml:space="preserve"> Dataset with EASI Scores</w:t>
      </w:r>
      <w:r w:rsidRPr="00DB5BBE">
        <w:rPr>
          <w:sz w:val="24"/>
          <w:szCs w:val="24"/>
        </w:rPr>
        <w:br/>
      </w:r>
      <w:proofErr w:type="gramStart"/>
      <w:r w:rsidRPr="00413500">
        <w:rPr>
          <w:rStyle w:val="a7"/>
          <w:rFonts w:eastAsiaTheme="majorEastAsia"/>
          <w:b w:val="0"/>
          <w:bCs w:val="0"/>
          <w:i w:val="0"/>
          <w:iCs w:val="0"/>
          <w:sz w:val="22"/>
          <w:szCs w:val="22"/>
        </w:rPr>
        <w:t>This</w:t>
      </w:r>
      <w:proofErr w:type="gramEnd"/>
      <w:r w:rsidRPr="00413500">
        <w:rPr>
          <w:rStyle w:val="a7"/>
          <w:rFonts w:eastAsiaTheme="majorEastAsia"/>
          <w:b w:val="0"/>
          <w:bCs w:val="0"/>
          <w:i w:val="0"/>
          <w:iCs w:val="0"/>
          <w:sz w:val="22"/>
          <w:szCs w:val="22"/>
        </w:rPr>
        <w:t xml:space="preserve"> appendix contains the corrected dataset used for lower tri-zonal ROC and DET analysis in hypoglycemia detection. It includes HbA1c values, binary hypoglycemia labels (1 = hypoglycemia, 0 = non-hypoglycemia), corresponding epistemic zones—limited to the Recessive Zone (RZ), Lower Plausible Zone (LPZ), and Trusted Zone (TZ)—and their computed EASI (Epistemic Alignment Score for Interpretation) scores. These EASI-transformed probabilities enable zone-restricted performance analysis, focusing on diagnostically fragile and intermediate-risk regions. This subset forms the basis for L3Z-restricted evaluation presented in the main results section.</w:t>
      </w:r>
    </w:p>
    <w:p w:rsidR="005B16E1" w:rsidRDefault="005B16E1" w:rsidP="005B16E1"/>
    <w:tbl>
      <w:tblPr>
        <w:tblW w:w="5548" w:type="dxa"/>
        <w:tblInd w:w="93" w:type="dxa"/>
        <w:tblBorders>
          <w:insideH w:val="single" w:sz="4" w:space="0" w:color="auto"/>
        </w:tblBorders>
        <w:tblLook w:val="04A0" w:firstRow="1" w:lastRow="0" w:firstColumn="1" w:lastColumn="0" w:noHBand="0" w:noVBand="1"/>
      </w:tblPr>
      <w:tblGrid>
        <w:gridCol w:w="960"/>
        <w:gridCol w:w="1451"/>
        <w:gridCol w:w="1923"/>
        <w:gridCol w:w="1214"/>
      </w:tblGrid>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HbA1c</w:t>
            </w:r>
          </w:p>
        </w:tc>
        <w:tc>
          <w:tcPr>
            <w:tcW w:w="1451"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Label</w:t>
            </w:r>
            <w:r>
              <w:rPr>
                <w:rFonts w:ascii="Calibri" w:eastAsia="Times New Roman" w:hAnsi="Calibri" w:cs="Calibri"/>
                <w:color w:val="000000"/>
              </w:rPr>
              <w:t>1 for hypoglycemia 0 for non-hypoglycemia</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Zone</w:t>
            </w:r>
          </w:p>
        </w:tc>
        <w:tc>
          <w:tcPr>
            <w:tcW w:w="1214"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proofErr w:type="spellStart"/>
            <w:r w:rsidRPr="00EB79D9">
              <w:rPr>
                <w:rFonts w:ascii="Calibri" w:eastAsia="Times New Roman" w:hAnsi="Calibri" w:cs="Calibri"/>
                <w:color w:val="000000"/>
              </w:rPr>
              <w:t>EASI_Score</w:t>
            </w:r>
            <w:proofErr w:type="spellEnd"/>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0.950877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0.870175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3.29</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0.901754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0.919298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3.06</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0.982456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3.06</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0.982456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0.996491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0.880702</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0.919298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0.905263</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3.01</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3.39</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0.866667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3.33</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0.887719</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0.975439</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0.978947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0.978947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lastRenderedPageBreak/>
              <w:t>3.12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0.961404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3.21</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0.929825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0.94386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0.961404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0.919298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3.06</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0.982456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0.961404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0.950877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0.940351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3.31</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0.894737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0.975439</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3.21</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0.929825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0.919298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0.996491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0.919298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0.978947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3.03</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0.992982</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0.870175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3.39</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0.866667</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3.32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0.891228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0.961404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0.989474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0.908772</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3.18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0.940351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3.05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1</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Recessive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0.985965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0.933333</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3.84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0.708772</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3.86</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0.701754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4.3</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0.547368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0.582456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4.48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0.484211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4.02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0.645614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3.63</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0.782456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4.28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0.554386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4.34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0.533333</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lastRenderedPageBreak/>
              <w:t>4.12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0.610526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4.35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0.529825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4.04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0.638596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4.08</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0.624561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3.97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0.663158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3.53</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0.817544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3.62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0.785965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3.53</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0.817544</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4.2</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0.582456</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3.85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0.705263</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4.06</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0.631579</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Lower Plausible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0.477193</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4.87</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Trusted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0.347368</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4.84</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Trusted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0.357895</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5.86</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Trusted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5.05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Trusted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0.284211</w:t>
            </w:r>
          </w:p>
        </w:tc>
      </w:tr>
      <w:tr w:rsidR="00EB79D9" w:rsidRPr="00EB79D9" w:rsidTr="00E933B8">
        <w:trPr>
          <w:trHeight w:val="288"/>
        </w:trPr>
        <w:tc>
          <w:tcPr>
            <w:tcW w:w="960"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5.75</w:t>
            </w:r>
          </w:p>
        </w:tc>
        <w:tc>
          <w:tcPr>
            <w:tcW w:w="1451"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w:t>
            </w:r>
          </w:p>
        </w:tc>
        <w:tc>
          <w:tcPr>
            <w:tcW w:w="1923" w:type="dxa"/>
            <w:shd w:val="clear" w:color="auto" w:fill="auto"/>
            <w:noWrap/>
            <w:vAlign w:val="bottom"/>
            <w:hideMark/>
          </w:tcPr>
          <w:p w:rsidR="00EB79D9" w:rsidRPr="00EB79D9" w:rsidRDefault="00EB79D9" w:rsidP="00EB79D9">
            <w:pPr>
              <w:spacing w:after="0" w:line="240" w:lineRule="auto"/>
              <w:rPr>
                <w:rFonts w:ascii="Calibri" w:eastAsia="Times New Roman" w:hAnsi="Calibri" w:cs="Calibri"/>
                <w:color w:val="000000"/>
              </w:rPr>
            </w:pPr>
            <w:r w:rsidRPr="00EB79D9">
              <w:rPr>
                <w:rFonts w:ascii="Calibri" w:eastAsia="Times New Roman" w:hAnsi="Calibri" w:cs="Calibri"/>
                <w:color w:val="000000"/>
              </w:rPr>
              <w:t>Trusted Zone</w:t>
            </w:r>
          </w:p>
        </w:tc>
        <w:tc>
          <w:tcPr>
            <w:tcW w:w="1214" w:type="dxa"/>
            <w:shd w:val="clear" w:color="auto" w:fill="auto"/>
            <w:noWrap/>
            <w:vAlign w:val="bottom"/>
            <w:hideMark/>
          </w:tcPr>
          <w:p w:rsidR="00EB79D9" w:rsidRPr="00EB79D9" w:rsidRDefault="00EB79D9" w:rsidP="00EB79D9">
            <w:pPr>
              <w:spacing w:after="0" w:line="240" w:lineRule="auto"/>
              <w:jc w:val="right"/>
              <w:rPr>
                <w:rFonts w:ascii="Calibri" w:eastAsia="Times New Roman" w:hAnsi="Calibri" w:cs="Calibri"/>
                <w:color w:val="000000"/>
              </w:rPr>
            </w:pPr>
            <w:r w:rsidRPr="00EB79D9">
              <w:rPr>
                <w:rFonts w:ascii="Calibri" w:eastAsia="Times New Roman" w:hAnsi="Calibri" w:cs="Calibri"/>
                <w:color w:val="000000"/>
              </w:rPr>
              <w:t>0.038596</w:t>
            </w:r>
          </w:p>
        </w:tc>
      </w:tr>
    </w:tbl>
    <w:p w:rsidR="00E933B8" w:rsidRPr="00413500" w:rsidRDefault="00E933B8" w:rsidP="00E933B8">
      <w:pPr>
        <w:spacing w:before="100" w:beforeAutospacing="1" w:after="100" w:afterAutospacing="1" w:line="240" w:lineRule="auto"/>
        <w:rPr>
          <w:rFonts w:ascii="Times New Roman" w:eastAsia="Times New Roman" w:hAnsi="Times New Roman" w:cs="Times New Roman"/>
        </w:rPr>
      </w:pPr>
      <w:r w:rsidRPr="00E933B8">
        <w:rPr>
          <w:rFonts w:ascii="Times New Roman" w:eastAsia="Times New Roman" w:hAnsi="Times New Roman" w:cs="Times New Roman"/>
          <w:b/>
          <w:bCs/>
          <w:sz w:val="24"/>
          <w:szCs w:val="24"/>
        </w:rPr>
        <w:t>Appendix C: Zone-Wise HbA1c Value Summary (Simulated Example 1</w:t>
      </w:r>
      <w:proofErr w:type="gramStart"/>
      <w:r w:rsidRPr="00E933B8">
        <w:rPr>
          <w:rFonts w:ascii="Times New Roman" w:eastAsia="Times New Roman" w:hAnsi="Times New Roman" w:cs="Times New Roman"/>
          <w:b/>
          <w:bCs/>
          <w:sz w:val="24"/>
          <w:szCs w:val="24"/>
        </w:rPr>
        <w:t>)</w:t>
      </w:r>
      <w:proofErr w:type="gramEnd"/>
      <w:r w:rsidRPr="00E933B8">
        <w:rPr>
          <w:rFonts w:ascii="Times New Roman" w:eastAsia="Times New Roman" w:hAnsi="Times New Roman" w:cs="Times New Roman"/>
          <w:sz w:val="24"/>
          <w:szCs w:val="24"/>
        </w:rPr>
        <w:br/>
      </w:r>
      <w:r w:rsidRPr="00413500">
        <w:rPr>
          <w:rFonts w:ascii="Times New Roman" w:eastAsia="Times New Roman" w:hAnsi="Times New Roman" w:cs="Times New Roman"/>
        </w:rPr>
        <w:t>This table summarizes the distribution of HbA1c values across epistemic zones based on the RAMI framework. Each zone corresponds to a distinct diagnostic region used in the ROC/DET analysis.</w:t>
      </w:r>
    </w:p>
    <w:tbl>
      <w:tblPr>
        <w:tblW w:w="0" w:type="auto"/>
        <w:tblCellSpacing w:w="15" w:type="dxa"/>
        <w:tblBorders>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1608"/>
        <w:gridCol w:w="1957"/>
        <w:gridCol w:w="608"/>
        <w:gridCol w:w="5277"/>
      </w:tblGrid>
      <w:tr w:rsidR="004622E5" w:rsidTr="008D128D">
        <w:trPr>
          <w:tblHeader/>
          <w:tblCellSpacing w:w="15" w:type="dxa"/>
        </w:trPr>
        <w:tc>
          <w:tcPr>
            <w:tcW w:w="0" w:type="auto"/>
            <w:vAlign w:val="center"/>
            <w:hideMark/>
          </w:tcPr>
          <w:p w:rsidR="004622E5" w:rsidRDefault="004622E5" w:rsidP="007A2C9F">
            <w:pPr>
              <w:jc w:val="center"/>
              <w:rPr>
                <w:b/>
                <w:bCs/>
                <w:sz w:val="24"/>
                <w:szCs w:val="24"/>
              </w:rPr>
            </w:pPr>
            <w:r>
              <w:rPr>
                <w:rStyle w:val="a4"/>
              </w:rPr>
              <w:t>Zone</w:t>
            </w:r>
          </w:p>
        </w:tc>
        <w:tc>
          <w:tcPr>
            <w:tcW w:w="0" w:type="auto"/>
            <w:vAlign w:val="center"/>
            <w:hideMark/>
          </w:tcPr>
          <w:p w:rsidR="004622E5" w:rsidRDefault="004622E5" w:rsidP="007A2C9F">
            <w:pPr>
              <w:jc w:val="center"/>
              <w:rPr>
                <w:b/>
                <w:bCs/>
                <w:sz w:val="24"/>
                <w:szCs w:val="24"/>
              </w:rPr>
            </w:pPr>
            <w:r>
              <w:rPr>
                <w:rStyle w:val="a4"/>
              </w:rPr>
              <w:t>HbA1c Range (approx.)</w:t>
            </w:r>
          </w:p>
        </w:tc>
        <w:tc>
          <w:tcPr>
            <w:tcW w:w="0" w:type="auto"/>
            <w:vAlign w:val="center"/>
            <w:hideMark/>
          </w:tcPr>
          <w:p w:rsidR="004622E5" w:rsidRDefault="004622E5" w:rsidP="007A2C9F">
            <w:pPr>
              <w:jc w:val="center"/>
              <w:rPr>
                <w:b/>
                <w:bCs/>
                <w:sz w:val="24"/>
                <w:szCs w:val="24"/>
              </w:rPr>
            </w:pPr>
            <w:r>
              <w:rPr>
                <w:rStyle w:val="a4"/>
              </w:rPr>
              <w:t>Count</w:t>
            </w:r>
          </w:p>
        </w:tc>
        <w:tc>
          <w:tcPr>
            <w:tcW w:w="0" w:type="auto"/>
            <w:vAlign w:val="center"/>
            <w:hideMark/>
          </w:tcPr>
          <w:p w:rsidR="004622E5" w:rsidRDefault="004622E5" w:rsidP="007A2C9F">
            <w:pPr>
              <w:jc w:val="center"/>
              <w:rPr>
                <w:b/>
                <w:bCs/>
                <w:sz w:val="24"/>
                <w:szCs w:val="24"/>
              </w:rPr>
            </w:pPr>
            <w:r>
              <w:rPr>
                <w:rStyle w:val="a4"/>
              </w:rPr>
              <w:t>Notes</w:t>
            </w:r>
          </w:p>
        </w:tc>
      </w:tr>
      <w:tr w:rsidR="004622E5" w:rsidTr="008D128D">
        <w:trPr>
          <w:tblCellSpacing w:w="15" w:type="dxa"/>
        </w:trPr>
        <w:tc>
          <w:tcPr>
            <w:tcW w:w="0" w:type="auto"/>
            <w:vAlign w:val="center"/>
            <w:hideMark/>
          </w:tcPr>
          <w:p w:rsidR="004622E5" w:rsidRDefault="004622E5" w:rsidP="007A2C9F">
            <w:pPr>
              <w:rPr>
                <w:sz w:val="24"/>
                <w:szCs w:val="24"/>
              </w:rPr>
            </w:pPr>
            <w:r>
              <w:rPr>
                <w:rStyle w:val="a4"/>
              </w:rPr>
              <w:t>Recessive</w:t>
            </w:r>
          </w:p>
        </w:tc>
        <w:tc>
          <w:tcPr>
            <w:tcW w:w="0" w:type="auto"/>
            <w:vAlign w:val="center"/>
            <w:hideMark/>
          </w:tcPr>
          <w:p w:rsidR="004622E5" w:rsidRDefault="004622E5" w:rsidP="007A2C9F">
            <w:pPr>
              <w:rPr>
                <w:sz w:val="24"/>
                <w:szCs w:val="24"/>
              </w:rPr>
            </w:pPr>
            <w:r>
              <w:t>&lt; 3.5%</w:t>
            </w:r>
          </w:p>
        </w:tc>
        <w:tc>
          <w:tcPr>
            <w:tcW w:w="0" w:type="auto"/>
            <w:vAlign w:val="center"/>
            <w:hideMark/>
          </w:tcPr>
          <w:p w:rsidR="004622E5" w:rsidRDefault="004622E5" w:rsidP="007A2C9F">
            <w:pPr>
              <w:rPr>
                <w:sz w:val="24"/>
                <w:szCs w:val="24"/>
              </w:rPr>
            </w:pPr>
            <w:r w:rsidRPr="00614200">
              <w:rPr>
                <w:rFonts w:ascii="Times New Roman" w:eastAsia="Times New Roman" w:hAnsi="Times New Roman" w:cs="Times New Roman"/>
                <w:sz w:val="24"/>
                <w:szCs w:val="24"/>
              </w:rPr>
              <w:t>39</w:t>
            </w:r>
          </w:p>
        </w:tc>
        <w:tc>
          <w:tcPr>
            <w:tcW w:w="0" w:type="auto"/>
            <w:vAlign w:val="center"/>
            <w:hideMark/>
          </w:tcPr>
          <w:p w:rsidR="004622E5" w:rsidRDefault="004622E5" w:rsidP="007A2C9F">
            <w:pPr>
              <w:rPr>
                <w:sz w:val="24"/>
                <w:szCs w:val="24"/>
              </w:rPr>
            </w:pPr>
            <w:r>
              <w:t>Hypoglycemic region; used as positive class in reversed ROC</w:t>
            </w:r>
          </w:p>
        </w:tc>
      </w:tr>
      <w:tr w:rsidR="004622E5" w:rsidTr="008D128D">
        <w:trPr>
          <w:tblCellSpacing w:w="15" w:type="dxa"/>
        </w:trPr>
        <w:tc>
          <w:tcPr>
            <w:tcW w:w="0" w:type="auto"/>
            <w:vAlign w:val="center"/>
            <w:hideMark/>
          </w:tcPr>
          <w:p w:rsidR="004622E5" w:rsidRDefault="004622E5" w:rsidP="007A2C9F">
            <w:pPr>
              <w:rPr>
                <w:sz w:val="24"/>
                <w:szCs w:val="24"/>
              </w:rPr>
            </w:pPr>
            <w:r>
              <w:rPr>
                <w:rStyle w:val="a4"/>
              </w:rPr>
              <w:t>Lower Plausible</w:t>
            </w:r>
          </w:p>
        </w:tc>
        <w:tc>
          <w:tcPr>
            <w:tcW w:w="0" w:type="auto"/>
            <w:vAlign w:val="center"/>
            <w:hideMark/>
          </w:tcPr>
          <w:p w:rsidR="004622E5" w:rsidRDefault="004622E5" w:rsidP="007A2C9F">
            <w:pPr>
              <w:rPr>
                <w:sz w:val="24"/>
                <w:szCs w:val="24"/>
              </w:rPr>
            </w:pPr>
            <w:r>
              <w:t>3.5% – 4.5%</w:t>
            </w:r>
          </w:p>
        </w:tc>
        <w:tc>
          <w:tcPr>
            <w:tcW w:w="0" w:type="auto"/>
            <w:vAlign w:val="center"/>
            <w:hideMark/>
          </w:tcPr>
          <w:p w:rsidR="004622E5" w:rsidRDefault="004622E5" w:rsidP="007A2C9F">
            <w:pPr>
              <w:rPr>
                <w:sz w:val="24"/>
                <w:szCs w:val="24"/>
              </w:rPr>
            </w:pPr>
            <w:r w:rsidRPr="00614200">
              <w:rPr>
                <w:rFonts w:ascii="Times New Roman" w:eastAsia="Times New Roman" w:hAnsi="Times New Roman" w:cs="Times New Roman"/>
                <w:sz w:val="24"/>
                <w:szCs w:val="24"/>
              </w:rPr>
              <w:t>91</w:t>
            </w:r>
          </w:p>
        </w:tc>
        <w:tc>
          <w:tcPr>
            <w:tcW w:w="0" w:type="auto"/>
            <w:vAlign w:val="center"/>
            <w:hideMark/>
          </w:tcPr>
          <w:p w:rsidR="004622E5" w:rsidRDefault="004622E5" w:rsidP="007A2C9F">
            <w:pPr>
              <w:rPr>
                <w:sz w:val="24"/>
                <w:szCs w:val="24"/>
              </w:rPr>
            </w:pPr>
            <w:r>
              <w:t>Transitional/ambiguous zone before normal HbA1c</w:t>
            </w:r>
          </w:p>
        </w:tc>
      </w:tr>
      <w:tr w:rsidR="004622E5" w:rsidTr="008D128D">
        <w:trPr>
          <w:tblCellSpacing w:w="15" w:type="dxa"/>
        </w:trPr>
        <w:tc>
          <w:tcPr>
            <w:tcW w:w="0" w:type="auto"/>
            <w:vAlign w:val="center"/>
            <w:hideMark/>
          </w:tcPr>
          <w:p w:rsidR="004622E5" w:rsidRDefault="004622E5" w:rsidP="007A2C9F">
            <w:pPr>
              <w:rPr>
                <w:sz w:val="24"/>
                <w:szCs w:val="24"/>
              </w:rPr>
            </w:pPr>
            <w:r>
              <w:rPr>
                <w:rStyle w:val="a4"/>
              </w:rPr>
              <w:t>Trusted (</w:t>
            </w:r>
            <w:proofErr w:type="spellStart"/>
            <w:r>
              <w:rPr>
                <w:rStyle w:val="a4"/>
              </w:rPr>
              <w:t>Tareef’s</w:t>
            </w:r>
            <w:proofErr w:type="spellEnd"/>
            <w:r>
              <w:rPr>
                <w:rStyle w:val="a4"/>
              </w:rPr>
              <w:t>)</w:t>
            </w:r>
          </w:p>
        </w:tc>
        <w:tc>
          <w:tcPr>
            <w:tcW w:w="0" w:type="auto"/>
            <w:vAlign w:val="center"/>
            <w:hideMark/>
          </w:tcPr>
          <w:p w:rsidR="004622E5" w:rsidRDefault="004622E5" w:rsidP="007A2C9F">
            <w:pPr>
              <w:rPr>
                <w:sz w:val="24"/>
                <w:szCs w:val="24"/>
              </w:rPr>
            </w:pPr>
            <w:r>
              <w:t>4.5% – 5.9%</w:t>
            </w:r>
          </w:p>
        </w:tc>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0"/>
            </w:tblGrid>
            <w:tr w:rsidR="004622E5" w:rsidRPr="00216DAD" w:rsidTr="007A2C9F">
              <w:trPr>
                <w:tblCellSpacing w:w="15" w:type="dxa"/>
              </w:trPr>
              <w:tc>
                <w:tcPr>
                  <w:tcW w:w="0" w:type="auto"/>
                  <w:vAlign w:val="center"/>
                  <w:hideMark/>
                </w:tcPr>
                <w:p w:rsidR="004622E5" w:rsidRPr="00216DAD" w:rsidRDefault="004622E5" w:rsidP="007A2C9F">
                  <w:pPr>
                    <w:spacing w:after="0" w:line="240" w:lineRule="auto"/>
                    <w:rPr>
                      <w:rFonts w:ascii="Times New Roman" w:eastAsia="Times New Roman" w:hAnsi="Times New Roman" w:cs="Times New Roman"/>
                      <w:sz w:val="24"/>
                      <w:szCs w:val="24"/>
                    </w:rPr>
                  </w:pPr>
                  <w:r w:rsidRPr="00216DAD">
                    <w:rPr>
                      <w:rFonts w:ascii="Times New Roman" w:eastAsia="Times New Roman" w:hAnsi="Times New Roman" w:cs="Times New Roman"/>
                      <w:sz w:val="24"/>
                      <w:szCs w:val="24"/>
                    </w:rPr>
                    <w:t>144</w:t>
                  </w:r>
                </w:p>
              </w:tc>
            </w:tr>
          </w:tbl>
          <w:p w:rsidR="004622E5" w:rsidRPr="00216DAD" w:rsidRDefault="004622E5" w:rsidP="007A2C9F">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622E5" w:rsidRPr="00216DAD" w:rsidTr="007A2C9F">
              <w:trPr>
                <w:tblCellSpacing w:w="15" w:type="dxa"/>
              </w:trPr>
              <w:tc>
                <w:tcPr>
                  <w:tcW w:w="0" w:type="auto"/>
                  <w:vAlign w:val="center"/>
                  <w:hideMark/>
                </w:tcPr>
                <w:p w:rsidR="004622E5" w:rsidRPr="00216DAD" w:rsidRDefault="004622E5" w:rsidP="007A2C9F">
                  <w:pPr>
                    <w:spacing w:after="0" w:line="240" w:lineRule="auto"/>
                    <w:rPr>
                      <w:rFonts w:ascii="Times New Roman" w:eastAsia="Times New Roman" w:hAnsi="Times New Roman" w:cs="Times New Roman"/>
                      <w:sz w:val="24"/>
                      <w:szCs w:val="24"/>
                    </w:rPr>
                  </w:pPr>
                </w:p>
              </w:tc>
            </w:tr>
          </w:tbl>
          <w:p w:rsidR="004622E5" w:rsidRDefault="004622E5" w:rsidP="007A2C9F">
            <w:pPr>
              <w:rPr>
                <w:sz w:val="24"/>
                <w:szCs w:val="24"/>
              </w:rPr>
            </w:pPr>
          </w:p>
        </w:tc>
        <w:tc>
          <w:tcPr>
            <w:tcW w:w="0" w:type="auto"/>
            <w:vAlign w:val="center"/>
            <w:hideMark/>
          </w:tcPr>
          <w:p w:rsidR="004622E5" w:rsidRDefault="004622E5" w:rsidP="007A2C9F">
            <w:pPr>
              <w:rPr>
                <w:sz w:val="24"/>
                <w:szCs w:val="24"/>
              </w:rPr>
            </w:pPr>
            <w:proofErr w:type="spellStart"/>
            <w:r>
              <w:t>Normoglycemia</w:t>
            </w:r>
            <w:proofErr w:type="spellEnd"/>
            <w:r>
              <w:t>; benchmark zone for reliability</w:t>
            </w:r>
          </w:p>
        </w:tc>
      </w:tr>
      <w:tr w:rsidR="004622E5" w:rsidTr="008D128D">
        <w:trPr>
          <w:tblCellSpacing w:w="15" w:type="dxa"/>
        </w:trPr>
        <w:tc>
          <w:tcPr>
            <w:tcW w:w="0" w:type="auto"/>
            <w:vAlign w:val="center"/>
            <w:hideMark/>
          </w:tcPr>
          <w:p w:rsidR="004622E5" w:rsidRDefault="004622E5" w:rsidP="007A2C9F">
            <w:pPr>
              <w:rPr>
                <w:sz w:val="24"/>
                <w:szCs w:val="24"/>
              </w:rPr>
            </w:pPr>
            <w:r>
              <w:rPr>
                <w:rStyle w:val="a4"/>
              </w:rPr>
              <w:lastRenderedPageBreak/>
              <w:t>Upper MOZ</w:t>
            </w:r>
          </w:p>
        </w:tc>
        <w:tc>
          <w:tcPr>
            <w:tcW w:w="0" w:type="auto"/>
            <w:vAlign w:val="center"/>
            <w:hideMark/>
          </w:tcPr>
          <w:p w:rsidR="004622E5" w:rsidRDefault="004622E5" w:rsidP="007A2C9F">
            <w:pPr>
              <w:rPr>
                <w:sz w:val="24"/>
                <w:szCs w:val="24"/>
              </w:rPr>
            </w:pPr>
            <w:r>
              <w:t>6.0% – 6.5%</w:t>
            </w:r>
          </w:p>
        </w:tc>
        <w:tc>
          <w:tcPr>
            <w:tcW w:w="0" w:type="auto"/>
            <w:vAlign w:val="center"/>
            <w:hideMark/>
          </w:tcPr>
          <w:p w:rsidR="004622E5" w:rsidRDefault="004622E5" w:rsidP="007A2C9F">
            <w:pPr>
              <w:rPr>
                <w:sz w:val="24"/>
                <w:szCs w:val="24"/>
              </w:rPr>
            </w:pPr>
            <w:r>
              <w:t>101</w:t>
            </w:r>
          </w:p>
        </w:tc>
        <w:tc>
          <w:tcPr>
            <w:tcW w:w="0" w:type="auto"/>
            <w:vAlign w:val="center"/>
            <w:hideMark/>
          </w:tcPr>
          <w:p w:rsidR="004622E5" w:rsidRDefault="004622E5" w:rsidP="007A2C9F">
            <w:pPr>
              <w:rPr>
                <w:sz w:val="24"/>
                <w:szCs w:val="24"/>
              </w:rPr>
            </w:pPr>
            <w:r>
              <w:t>Diagnostic ambiguity zone; often borderline diabetic</w:t>
            </w:r>
          </w:p>
        </w:tc>
      </w:tr>
      <w:tr w:rsidR="004622E5" w:rsidTr="008D128D">
        <w:trPr>
          <w:tblCellSpacing w:w="15" w:type="dxa"/>
        </w:trPr>
        <w:tc>
          <w:tcPr>
            <w:tcW w:w="0" w:type="auto"/>
            <w:vAlign w:val="center"/>
            <w:hideMark/>
          </w:tcPr>
          <w:p w:rsidR="004622E5" w:rsidRDefault="004622E5" w:rsidP="007A2C9F">
            <w:pPr>
              <w:rPr>
                <w:sz w:val="24"/>
                <w:szCs w:val="24"/>
              </w:rPr>
            </w:pPr>
            <w:r>
              <w:rPr>
                <w:rStyle w:val="a4"/>
              </w:rPr>
              <w:t>Inflated (Diabetic)</w:t>
            </w:r>
          </w:p>
        </w:tc>
        <w:tc>
          <w:tcPr>
            <w:tcW w:w="0" w:type="auto"/>
            <w:vAlign w:val="center"/>
            <w:hideMark/>
          </w:tcPr>
          <w:p w:rsidR="004622E5" w:rsidRDefault="004622E5" w:rsidP="007A2C9F">
            <w:pPr>
              <w:rPr>
                <w:sz w:val="24"/>
                <w:szCs w:val="24"/>
              </w:rPr>
            </w:pPr>
            <w:r>
              <w:t>&gt; 6.5%</w:t>
            </w:r>
          </w:p>
        </w:tc>
        <w:tc>
          <w:tcPr>
            <w:tcW w:w="0" w:type="auto"/>
            <w:vAlign w:val="center"/>
            <w:hideMark/>
          </w:tcPr>
          <w:p w:rsidR="004622E5" w:rsidRDefault="004622E5" w:rsidP="007A2C9F">
            <w:pPr>
              <w:rPr>
                <w:sz w:val="24"/>
                <w:szCs w:val="24"/>
              </w:rPr>
            </w:pPr>
            <w:r>
              <w:t>96</w:t>
            </w:r>
          </w:p>
        </w:tc>
        <w:tc>
          <w:tcPr>
            <w:tcW w:w="0" w:type="auto"/>
            <w:vAlign w:val="center"/>
            <w:hideMark/>
          </w:tcPr>
          <w:p w:rsidR="004622E5" w:rsidRDefault="004622E5" w:rsidP="007A2C9F">
            <w:pPr>
              <w:rPr>
                <w:sz w:val="24"/>
                <w:szCs w:val="24"/>
              </w:rPr>
            </w:pPr>
            <w:r>
              <w:t>Definitive diabetes zone; used as positive class in traditional ROC</w:t>
            </w:r>
          </w:p>
        </w:tc>
      </w:tr>
    </w:tbl>
    <w:p w:rsidR="00E933B8" w:rsidRPr="00413500" w:rsidRDefault="00E933B8" w:rsidP="00E933B8">
      <w:pPr>
        <w:pStyle w:val="3"/>
        <w:jc w:val="both"/>
        <w:rPr>
          <w:b w:val="0"/>
          <w:bCs w:val="0"/>
          <w:sz w:val="22"/>
          <w:szCs w:val="22"/>
        </w:rPr>
      </w:pPr>
      <w:r>
        <w:rPr>
          <w:rStyle w:val="a4"/>
          <w:b/>
          <w:bCs/>
        </w:rPr>
        <w:t>Appendix D: Zone-Wise Brier Scores for HbA1c Classifier Calibration (Simulated Example 1</w:t>
      </w:r>
      <w:proofErr w:type="gramStart"/>
      <w:r>
        <w:rPr>
          <w:rStyle w:val="a4"/>
          <w:b/>
          <w:bCs/>
        </w:rPr>
        <w:t>)</w:t>
      </w:r>
      <w:proofErr w:type="gramEnd"/>
      <w:r>
        <w:br/>
      </w:r>
      <w:r w:rsidRPr="00413500">
        <w:rPr>
          <w:b w:val="0"/>
          <w:bCs w:val="0"/>
          <w:sz w:val="22"/>
          <w:szCs w:val="22"/>
        </w:rPr>
        <w:t xml:space="preserve">This table presents zone-specific Brier scores calculated for the HbA1c-based classifier in Simulated Example 1. The Brier score quantifies the mean squared error between predicted probabilities and actual outcomes, with lower values indicating better probabilistic calibration. The Recessive Zone demonstrated the best calibration, while the Upper Plausible and Trusted Zones exhibited the highest </w:t>
      </w:r>
      <w:proofErr w:type="spellStart"/>
      <w:r w:rsidRPr="00413500">
        <w:rPr>
          <w:b w:val="0"/>
          <w:bCs w:val="0"/>
          <w:sz w:val="22"/>
          <w:szCs w:val="22"/>
        </w:rPr>
        <w:t>miscalibration</w:t>
      </w:r>
      <w:proofErr w:type="spellEnd"/>
      <w:r w:rsidRPr="00413500">
        <w:rPr>
          <w:b w:val="0"/>
          <w:bCs w:val="0"/>
          <w:sz w:val="22"/>
          <w:szCs w:val="22"/>
        </w:rPr>
        <w:t>—highlighting diagnostic fragility in transitional and high-confidence regions.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2295"/>
      </w:tblGrid>
      <w:tr w:rsidR="00A860A1" w:rsidRPr="00852445" w:rsidTr="008D128D">
        <w:trPr>
          <w:tblHeader/>
          <w:tblCellSpacing w:w="15" w:type="dxa"/>
        </w:trPr>
        <w:tc>
          <w:tcPr>
            <w:tcW w:w="0" w:type="auto"/>
            <w:vAlign w:val="center"/>
            <w:hideMark/>
          </w:tcPr>
          <w:p w:rsidR="00A860A1" w:rsidRPr="00852445" w:rsidRDefault="00A860A1" w:rsidP="00BC05C1">
            <w:pPr>
              <w:spacing w:after="0" w:line="240" w:lineRule="auto"/>
              <w:jc w:val="center"/>
              <w:rPr>
                <w:rFonts w:ascii="Times New Roman" w:eastAsia="Times New Roman" w:hAnsi="Times New Roman" w:cs="Times New Roman"/>
                <w:b/>
                <w:bCs/>
                <w:sz w:val="24"/>
                <w:szCs w:val="24"/>
              </w:rPr>
            </w:pPr>
            <w:r w:rsidRPr="00852445">
              <w:rPr>
                <w:rFonts w:ascii="Times New Roman" w:eastAsia="Times New Roman" w:hAnsi="Times New Roman" w:cs="Times New Roman"/>
                <w:b/>
                <w:bCs/>
                <w:sz w:val="24"/>
                <w:szCs w:val="24"/>
              </w:rPr>
              <w:t>Zone</w:t>
            </w:r>
          </w:p>
        </w:tc>
        <w:tc>
          <w:tcPr>
            <w:tcW w:w="0" w:type="auto"/>
            <w:vAlign w:val="center"/>
            <w:hideMark/>
          </w:tcPr>
          <w:p w:rsidR="00A860A1" w:rsidRPr="00852445" w:rsidRDefault="00A860A1" w:rsidP="00BC05C1">
            <w:pPr>
              <w:spacing w:after="0" w:line="240" w:lineRule="auto"/>
              <w:jc w:val="center"/>
              <w:rPr>
                <w:rFonts w:ascii="Times New Roman" w:eastAsia="Times New Roman" w:hAnsi="Times New Roman" w:cs="Times New Roman"/>
                <w:b/>
                <w:bCs/>
                <w:sz w:val="24"/>
                <w:szCs w:val="24"/>
              </w:rPr>
            </w:pPr>
            <w:proofErr w:type="spellStart"/>
            <w:r w:rsidRPr="00852445">
              <w:rPr>
                <w:rFonts w:ascii="Times New Roman" w:eastAsia="Times New Roman" w:hAnsi="Times New Roman" w:cs="Times New Roman"/>
                <w:b/>
                <w:bCs/>
                <w:sz w:val="24"/>
                <w:szCs w:val="24"/>
              </w:rPr>
              <w:t>Brier_Score</w:t>
            </w:r>
            <w:proofErr w:type="spellEnd"/>
          </w:p>
        </w:tc>
      </w:tr>
      <w:tr w:rsidR="00A860A1" w:rsidRPr="00852445" w:rsidTr="008D128D">
        <w:trPr>
          <w:tblCellSpacing w:w="15" w:type="dxa"/>
        </w:trPr>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Inflated</w:t>
            </w:r>
          </w:p>
        </w:tc>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0.12658901110866416</w:t>
            </w:r>
          </w:p>
        </w:tc>
      </w:tr>
      <w:tr w:rsidR="00A860A1" w:rsidRPr="00852445" w:rsidTr="008D128D">
        <w:trPr>
          <w:tblCellSpacing w:w="15" w:type="dxa"/>
        </w:trPr>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Lower Plausible</w:t>
            </w:r>
          </w:p>
        </w:tc>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0.1303166077172559</w:t>
            </w:r>
          </w:p>
        </w:tc>
      </w:tr>
      <w:tr w:rsidR="00A860A1" w:rsidRPr="00852445" w:rsidTr="008D128D">
        <w:trPr>
          <w:tblCellSpacing w:w="15" w:type="dxa"/>
        </w:trPr>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Recessive</w:t>
            </w:r>
          </w:p>
        </w:tc>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0.06385103431894351</w:t>
            </w:r>
          </w:p>
        </w:tc>
      </w:tr>
      <w:tr w:rsidR="00A860A1" w:rsidRPr="00852445" w:rsidTr="008D128D">
        <w:trPr>
          <w:tblCellSpacing w:w="15" w:type="dxa"/>
        </w:trPr>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Trusted</w:t>
            </w:r>
          </w:p>
        </w:tc>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0.2665100557408259</w:t>
            </w:r>
          </w:p>
        </w:tc>
      </w:tr>
      <w:tr w:rsidR="00A860A1" w:rsidRPr="00852445" w:rsidTr="008D128D">
        <w:trPr>
          <w:tblCellSpacing w:w="15" w:type="dxa"/>
        </w:trPr>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Upper Plausible</w:t>
            </w:r>
          </w:p>
        </w:tc>
        <w:tc>
          <w:tcPr>
            <w:tcW w:w="0" w:type="auto"/>
            <w:vAlign w:val="center"/>
            <w:hideMark/>
          </w:tcPr>
          <w:p w:rsidR="00A860A1" w:rsidRPr="00852445" w:rsidRDefault="00A860A1" w:rsidP="00BC05C1">
            <w:pPr>
              <w:spacing w:after="0" w:line="240" w:lineRule="auto"/>
              <w:rPr>
                <w:rFonts w:ascii="Times New Roman" w:eastAsia="Times New Roman" w:hAnsi="Times New Roman" w:cs="Times New Roman"/>
                <w:sz w:val="24"/>
                <w:szCs w:val="24"/>
              </w:rPr>
            </w:pPr>
            <w:r w:rsidRPr="00852445">
              <w:rPr>
                <w:rFonts w:ascii="Times New Roman" w:eastAsia="Times New Roman" w:hAnsi="Times New Roman" w:cs="Times New Roman"/>
                <w:sz w:val="24"/>
                <w:szCs w:val="24"/>
              </w:rPr>
              <w:t>0.29803491981191893</w:t>
            </w:r>
          </w:p>
        </w:tc>
      </w:tr>
    </w:tbl>
    <w:p w:rsidR="00064632" w:rsidRDefault="00064632" w:rsidP="00852445"/>
    <w:p w:rsidR="009D0E7B" w:rsidRDefault="009D0E7B" w:rsidP="008D128D">
      <w:pPr>
        <w:spacing w:line="240" w:lineRule="auto"/>
        <w:jc w:val="both"/>
      </w:pPr>
      <w:r w:rsidRPr="002B7B67">
        <w:rPr>
          <w:b/>
          <w:bCs/>
        </w:rPr>
        <w:t>Appendix E:</w:t>
      </w:r>
      <w:r w:rsidR="002B7B67" w:rsidRPr="002B7B67">
        <w:t xml:space="preserve"> </w:t>
      </w:r>
    </w:p>
    <w:p w:rsidR="009D0E7B" w:rsidRDefault="009D0E7B" w:rsidP="00852445">
      <w:r>
        <w:rPr>
          <w:noProof/>
        </w:rPr>
        <w:drawing>
          <wp:inline distT="0" distB="0" distL="0" distR="0" wp14:anchorId="6F4266C3" wp14:editId="616D2CBE">
            <wp:extent cx="4066672" cy="2877953"/>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40495.tmp"/>
                    <pic:cNvPicPr/>
                  </pic:nvPicPr>
                  <pic:blipFill rotWithShape="1">
                    <a:blip r:embed="rId9">
                      <a:extLst>
                        <a:ext uri="{28A0092B-C50C-407E-A947-70E740481C1C}">
                          <a14:useLocalDpi xmlns:a14="http://schemas.microsoft.com/office/drawing/2010/main" val="0"/>
                        </a:ext>
                      </a:extLst>
                    </a:blip>
                    <a:srcRect l="11030" t="10479" r="20436"/>
                    <a:stretch/>
                  </pic:blipFill>
                  <pic:spPr bwMode="auto">
                    <a:xfrm>
                      <a:off x="0" y="0"/>
                      <a:ext cx="4073394" cy="2882710"/>
                    </a:xfrm>
                    <a:prstGeom prst="rect">
                      <a:avLst/>
                    </a:prstGeom>
                    <a:ln>
                      <a:noFill/>
                    </a:ln>
                    <a:extLst>
                      <a:ext uri="{53640926-AAD7-44D8-BBD7-CCE9431645EC}">
                        <a14:shadowObscured xmlns:a14="http://schemas.microsoft.com/office/drawing/2010/main"/>
                      </a:ext>
                    </a:extLst>
                  </pic:spPr>
                </pic:pic>
              </a:graphicData>
            </a:graphic>
          </wp:inline>
        </w:drawing>
      </w:r>
    </w:p>
    <w:p w:rsidR="008D128D" w:rsidRDefault="008D128D" w:rsidP="00E03026">
      <w:pPr>
        <w:spacing w:line="240" w:lineRule="auto"/>
        <w:jc w:val="both"/>
      </w:pPr>
      <w:r w:rsidRPr="00413500">
        <w:rPr>
          <w:rFonts w:asciiTheme="majorBidi" w:hAnsiTheme="majorBidi" w:cstheme="majorBidi"/>
          <w:b/>
          <w:bCs/>
          <w:sz w:val="24"/>
          <w:szCs w:val="24"/>
        </w:rPr>
        <w:lastRenderedPageBreak/>
        <w:t xml:space="preserve">Appendix </w:t>
      </w:r>
      <w:proofErr w:type="gramStart"/>
      <w:r w:rsidRPr="00413500">
        <w:rPr>
          <w:rFonts w:asciiTheme="majorBidi" w:hAnsiTheme="majorBidi" w:cstheme="majorBidi"/>
          <w:b/>
          <w:bCs/>
          <w:sz w:val="24"/>
          <w:szCs w:val="24"/>
        </w:rPr>
        <w:t>E</w:t>
      </w:r>
      <w:r w:rsidRPr="00413500">
        <w:rPr>
          <w:rStyle w:val="a4"/>
          <w:rFonts w:asciiTheme="majorBidi" w:hAnsiTheme="majorBidi" w:cstheme="majorBidi"/>
          <w:sz w:val="24"/>
          <w:szCs w:val="24"/>
        </w:rPr>
        <w:t xml:space="preserve"> </w:t>
      </w:r>
      <w:r w:rsidR="00E03026" w:rsidRPr="00413500">
        <w:rPr>
          <w:rStyle w:val="a4"/>
          <w:rFonts w:asciiTheme="majorBidi" w:hAnsiTheme="majorBidi" w:cstheme="majorBidi"/>
          <w:sz w:val="24"/>
          <w:szCs w:val="24"/>
        </w:rPr>
        <w:t>,F</w:t>
      </w:r>
      <w:r w:rsidRPr="00413500">
        <w:rPr>
          <w:rStyle w:val="a4"/>
          <w:rFonts w:asciiTheme="majorBidi" w:hAnsiTheme="majorBidi" w:cstheme="majorBidi"/>
          <w:sz w:val="24"/>
          <w:szCs w:val="24"/>
        </w:rPr>
        <w:t>ig</w:t>
      </w:r>
      <w:r w:rsidR="00E03026" w:rsidRPr="00413500">
        <w:rPr>
          <w:rStyle w:val="a4"/>
          <w:rFonts w:asciiTheme="majorBidi" w:hAnsiTheme="majorBidi" w:cstheme="majorBidi"/>
          <w:sz w:val="24"/>
          <w:szCs w:val="24"/>
        </w:rPr>
        <w:t>ure</w:t>
      </w:r>
      <w:proofErr w:type="gramEnd"/>
      <w:r w:rsidR="00E03026" w:rsidRPr="00413500">
        <w:rPr>
          <w:rStyle w:val="a4"/>
          <w:rFonts w:asciiTheme="majorBidi" w:hAnsiTheme="majorBidi" w:cstheme="majorBidi"/>
          <w:sz w:val="24"/>
          <w:szCs w:val="24"/>
        </w:rPr>
        <w:t xml:space="preserve"> E1</w:t>
      </w:r>
      <w:r w:rsidRPr="00413500">
        <w:rPr>
          <w:rStyle w:val="a4"/>
          <w:rFonts w:asciiTheme="majorBidi" w:hAnsiTheme="majorBidi" w:cstheme="majorBidi"/>
          <w:sz w:val="24"/>
          <w:szCs w:val="24"/>
        </w:rPr>
        <w:t>. Zone-Stratified Calibration Plots for HbA1c-Based Classification</w:t>
      </w:r>
      <w:r w:rsidRPr="002B7B67">
        <w:br/>
      </w:r>
      <w:r w:rsidRPr="00413500">
        <w:rPr>
          <w:rStyle w:val="a7"/>
          <w:rFonts w:asciiTheme="majorBidi" w:hAnsiTheme="majorBidi" w:cstheme="majorBidi"/>
        </w:rPr>
        <w:t xml:space="preserve">This reliability diagram presents the calibration performance of the classifier across </w:t>
      </w:r>
      <w:proofErr w:type="spellStart"/>
      <w:r w:rsidRPr="00413500">
        <w:rPr>
          <w:rStyle w:val="a7"/>
          <w:rFonts w:asciiTheme="majorBidi" w:hAnsiTheme="majorBidi" w:cstheme="majorBidi"/>
        </w:rPr>
        <w:t>epistemically</w:t>
      </w:r>
      <w:proofErr w:type="spellEnd"/>
      <w:r w:rsidRPr="00413500">
        <w:rPr>
          <w:rStyle w:val="a7"/>
          <w:rFonts w:asciiTheme="majorBidi" w:hAnsiTheme="majorBidi" w:cstheme="majorBidi"/>
        </w:rPr>
        <w:t xml:space="preserve"> defined zones using the RAMI framework. The dashed diagonal represents perfect calibration, where predicted probabilities match observed event frequencies. The Recessive Zone shows the closest alignment to the perfect calibration line, reflecting strong predictive reliability. In contrast, the Upper Plausible Zone deviates substantially, indicating over- or underestimation of event probabilities near the decision threshold. The Trusted Zone demonstrates moderate calibration, while the Inflated Zone retains high alignment at elevated probabilities, consistent with the greater diagnostic certainty in extreme hyperglycemia.</w:t>
      </w:r>
    </w:p>
    <w:p w:rsidR="008D128D" w:rsidRDefault="008D128D" w:rsidP="008D128D">
      <w:pPr>
        <w:spacing w:line="240" w:lineRule="auto"/>
        <w:jc w:val="both"/>
        <w:rPr>
          <w:rFonts w:asciiTheme="majorBidi" w:hAnsiTheme="majorBidi" w:cstheme="majorBidi"/>
          <w:b/>
          <w:bCs/>
          <w:sz w:val="24"/>
          <w:szCs w:val="24"/>
        </w:rPr>
      </w:pPr>
    </w:p>
    <w:p w:rsidR="009D0E7B" w:rsidRDefault="009D0E7B" w:rsidP="008D128D">
      <w:pPr>
        <w:spacing w:line="240" w:lineRule="auto"/>
        <w:jc w:val="both"/>
      </w:pPr>
      <w:r w:rsidRPr="008D128D">
        <w:rPr>
          <w:rFonts w:asciiTheme="majorBidi" w:hAnsiTheme="majorBidi" w:cstheme="majorBidi"/>
          <w:b/>
          <w:bCs/>
          <w:sz w:val="24"/>
          <w:szCs w:val="24"/>
        </w:rPr>
        <w:t>Appendix F:</w:t>
      </w:r>
      <w:r w:rsidR="008D128D" w:rsidRPr="008D128D">
        <w:rPr>
          <w:rStyle w:val="2Char"/>
          <w:rFonts w:asciiTheme="majorBidi" w:hAnsiTheme="majorBidi"/>
          <w:sz w:val="24"/>
          <w:szCs w:val="24"/>
        </w:rPr>
        <w:t xml:space="preserve"> </w:t>
      </w:r>
      <w:r w:rsidR="008D128D" w:rsidRPr="008D128D">
        <w:rPr>
          <w:rStyle w:val="a4"/>
          <w:rFonts w:asciiTheme="majorBidi" w:hAnsiTheme="majorBidi" w:cstheme="majorBidi"/>
          <w:sz w:val="24"/>
          <w:szCs w:val="24"/>
        </w:rPr>
        <w:t>Net Benefit Characteristics by Epistemic Zone for HbA1c-Based Classification</w:t>
      </w:r>
      <w:r w:rsidR="008D128D">
        <w:br/>
      </w:r>
      <w:r w:rsidR="008D128D" w:rsidRPr="00413500">
        <w:rPr>
          <w:rStyle w:val="a7"/>
          <w:rFonts w:asciiTheme="majorBidi" w:hAnsiTheme="majorBidi" w:cstheme="majorBidi"/>
          <w:i w:val="0"/>
          <w:iCs w:val="0"/>
        </w:rPr>
        <w:t>This table summarizes decision curve analysis (DCA) outcomes stratified by RAMI-defined epistemic zones. Threshold probability ranges indicate intervals where the net benefit (NB) remained positive, reflecting clinically advantageous decision-making. The Trusted Zone (TZ) maintained a broad positive range (0.20–0.70) with a peak NB of 0.22 at a threshold of 0.45, while the Inflated Zone (IZ) achieved the highest peak NB (0.28) at a lower threshold of 0.15. In contrast, the Recessive Zone (RZ) and Lower Plausible Zone (LPZ) failed to produce positive NB at any threshold, underscoring their limited clinical utility. The Upper Plausible Zone (UPZ) demonstrated modest NB gains within a narrower range, consistent with its transitional diagnostic uncertainty</w:t>
      </w:r>
      <w:r w:rsidR="008D128D" w:rsidRPr="002B16D4">
        <w:rPr>
          <w:rStyle w:val="a7"/>
          <w:rFonts w:asciiTheme="majorBidi" w:hAnsiTheme="majorBidi" w:cstheme="majorBidi"/>
          <w:i w:val="0"/>
          <w:iCs w:val="0"/>
          <w:sz w:val="24"/>
          <w:szCs w:val="24"/>
        </w:rPr>
        <w:t>.</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018"/>
        <w:gridCol w:w="3563"/>
        <w:gridCol w:w="1611"/>
        <w:gridCol w:w="2258"/>
      </w:tblGrid>
      <w:tr w:rsidR="009D0E7B" w:rsidRPr="009D0E7B" w:rsidTr="008D128D">
        <w:trPr>
          <w:tblHeader/>
          <w:tblCellSpacing w:w="15" w:type="dxa"/>
        </w:trPr>
        <w:tc>
          <w:tcPr>
            <w:tcW w:w="0" w:type="auto"/>
            <w:vAlign w:val="center"/>
            <w:hideMark/>
          </w:tcPr>
          <w:p w:rsidR="009D0E7B" w:rsidRPr="009D0E7B" w:rsidRDefault="009D0E7B" w:rsidP="009D0E7B">
            <w:pPr>
              <w:spacing w:after="0" w:line="240" w:lineRule="auto"/>
              <w:jc w:val="center"/>
              <w:rPr>
                <w:rFonts w:ascii="Times New Roman" w:eastAsia="Times New Roman" w:hAnsi="Times New Roman" w:cs="Times New Roman"/>
                <w:b/>
                <w:bCs/>
                <w:sz w:val="24"/>
                <w:szCs w:val="24"/>
              </w:rPr>
            </w:pPr>
            <w:r w:rsidRPr="009D0E7B">
              <w:rPr>
                <w:rFonts w:ascii="Times New Roman" w:eastAsia="Times New Roman" w:hAnsi="Times New Roman" w:cs="Times New Roman"/>
                <w:b/>
                <w:bCs/>
                <w:sz w:val="24"/>
                <w:szCs w:val="24"/>
              </w:rPr>
              <w:t>Epistemic Zone</w:t>
            </w:r>
          </w:p>
        </w:tc>
        <w:tc>
          <w:tcPr>
            <w:tcW w:w="0" w:type="auto"/>
            <w:vAlign w:val="center"/>
            <w:hideMark/>
          </w:tcPr>
          <w:p w:rsidR="009D0E7B" w:rsidRPr="009D0E7B" w:rsidRDefault="009D0E7B" w:rsidP="009D0E7B">
            <w:pPr>
              <w:spacing w:after="0" w:line="240" w:lineRule="auto"/>
              <w:jc w:val="center"/>
              <w:rPr>
                <w:rFonts w:ascii="Times New Roman" w:eastAsia="Times New Roman" w:hAnsi="Times New Roman" w:cs="Times New Roman"/>
                <w:b/>
                <w:bCs/>
                <w:sz w:val="24"/>
                <w:szCs w:val="24"/>
              </w:rPr>
            </w:pPr>
            <w:r w:rsidRPr="009D0E7B">
              <w:rPr>
                <w:rFonts w:ascii="Times New Roman" w:eastAsia="Times New Roman" w:hAnsi="Times New Roman" w:cs="Times New Roman"/>
                <w:b/>
                <w:bCs/>
                <w:sz w:val="24"/>
                <w:szCs w:val="24"/>
              </w:rPr>
              <w:t>Threshold Probability Range with Positive Net Benefit</w:t>
            </w:r>
          </w:p>
        </w:tc>
        <w:tc>
          <w:tcPr>
            <w:tcW w:w="0" w:type="auto"/>
            <w:vAlign w:val="center"/>
            <w:hideMark/>
          </w:tcPr>
          <w:p w:rsidR="009D0E7B" w:rsidRPr="009D0E7B" w:rsidRDefault="009D0E7B" w:rsidP="009D0E7B">
            <w:pPr>
              <w:spacing w:after="0" w:line="240" w:lineRule="auto"/>
              <w:jc w:val="center"/>
              <w:rPr>
                <w:rFonts w:ascii="Times New Roman" w:eastAsia="Times New Roman" w:hAnsi="Times New Roman" w:cs="Times New Roman"/>
                <w:b/>
                <w:bCs/>
                <w:sz w:val="24"/>
                <w:szCs w:val="24"/>
              </w:rPr>
            </w:pPr>
            <w:r w:rsidRPr="009D0E7B">
              <w:rPr>
                <w:rFonts w:ascii="Times New Roman" w:eastAsia="Times New Roman" w:hAnsi="Times New Roman" w:cs="Times New Roman"/>
                <w:b/>
                <w:bCs/>
                <w:sz w:val="24"/>
                <w:szCs w:val="24"/>
              </w:rPr>
              <w:t>Peak Net Benefit (NB)</w:t>
            </w:r>
          </w:p>
        </w:tc>
        <w:tc>
          <w:tcPr>
            <w:tcW w:w="0" w:type="auto"/>
            <w:vAlign w:val="center"/>
            <w:hideMark/>
          </w:tcPr>
          <w:p w:rsidR="009D0E7B" w:rsidRPr="009D0E7B" w:rsidRDefault="009D0E7B" w:rsidP="009D0E7B">
            <w:pPr>
              <w:spacing w:after="0" w:line="240" w:lineRule="auto"/>
              <w:jc w:val="center"/>
              <w:rPr>
                <w:rFonts w:ascii="Times New Roman" w:eastAsia="Times New Roman" w:hAnsi="Times New Roman" w:cs="Times New Roman"/>
                <w:b/>
                <w:bCs/>
                <w:sz w:val="24"/>
                <w:szCs w:val="24"/>
              </w:rPr>
            </w:pPr>
            <w:r w:rsidRPr="009D0E7B">
              <w:rPr>
                <w:rFonts w:ascii="Times New Roman" w:eastAsia="Times New Roman" w:hAnsi="Times New Roman" w:cs="Times New Roman"/>
                <w:b/>
                <w:bCs/>
                <w:sz w:val="24"/>
                <w:szCs w:val="24"/>
              </w:rPr>
              <w:t>Approx. Threshold of Peak NB</w:t>
            </w:r>
          </w:p>
        </w:tc>
      </w:tr>
      <w:tr w:rsidR="009D0E7B" w:rsidRPr="009D0E7B" w:rsidTr="008D128D">
        <w:trPr>
          <w:tblCellSpacing w:w="15" w:type="dxa"/>
        </w:trPr>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Recessive Zone (RZ)</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None</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 0.00</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w:t>
            </w:r>
          </w:p>
        </w:tc>
      </w:tr>
      <w:tr w:rsidR="009D0E7B" w:rsidRPr="009D0E7B" w:rsidTr="008D128D">
        <w:trPr>
          <w:tblCellSpacing w:w="15" w:type="dxa"/>
        </w:trPr>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Lower Plausible Zone (LPZ)</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None</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 0.00</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w:t>
            </w:r>
          </w:p>
        </w:tc>
      </w:tr>
      <w:tr w:rsidR="009D0E7B" w:rsidRPr="009D0E7B" w:rsidTr="008D128D">
        <w:trPr>
          <w:tblCellSpacing w:w="15" w:type="dxa"/>
        </w:trPr>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Trusted Zone (TZ)</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0.20 – 0.70</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0.22</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0.45</w:t>
            </w:r>
          </w:p>
        </w:tc>
      </w:tr>
      <w:tr w:rsidR="009D0E7B" w:rsidRPr="009D0E7B" w:rsidTr="008D128D">
        <w:trPr>
          <w:tblCellSpacing w:w="15" w:type="dxa"/>
        </w:trPr>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Upper Plausible Zone (UPZ)</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0.25 – 0.50</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0.12</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0.30</w:t>
            </w:r>
          </w:p>
        </w:tc>
      </w:tr>
      <w:tr w:rsidR="009D0E7B" w:rsidRPr="009D0E7B" w:rsidTr="008D128D">
        <w:trPr>
          <w:tblCellSpacing w:w="15" w:type="dxa"/>
        </w:trPr>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Inflated Zone (IZ)</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0.05 – 0.90</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0.28</w:t>
            </w:r>
          </w:p>
        </w:tc>
        <w:tc>
          <w:tcPr>
            <w:tcW w:w="0" w:type="auto"/>
            <w:vAlign w:val="center"/>
            <w:hideMark/>
          </w:tcPr>
          <w:p w:rsidR="009D0E7B" w:rsidRPr="009D0E7B" w:rsidRDefault="009D0E7B" w:rsidP="009D0E7B">
            <w:pPr>
              <w:spacing w:after="0" w:line="240" w:lineRule="auto"/>
              <w:rPr>
                <w:rFonts w:ascii="Times New Roman" w:eastAsia="Times New Roman" w:hAnsi="Times New Roman" w:cs="Times New Roman"/>
                <w:sz w:val="24"/>
                <w:szCs w:val="24"/>
              </w:rPr>
            </w:pPr>
            <w:r w:rsidRPr="009D0E7B">
              <w:rPr>
                <w:rFonts w:ascii="Times New Roman" w:eastAsia="Times New Roman" w:hAnsi="Times New Roman" w:cs="Times New Roman"/>
                <w:sz w:val="24"/>
                <w:szCs w:val="24"/>
              </w:rPr>
              <w:t>0.15</w:t>
            </w:r>
          </w:p>
        </w:tc>
      </w:tr>
    </w:tbl>
    <w:p w:rsidR="009D0E7B" w:rsidRDefault="009D0E7B" w:rsidP="00852445"/>
    <w:p w:rsidR="00B95152" w:rsidRPr="00413500" w:rsidRDefault="002B16D4" w:rsidP="00B95152">
      <w:pPr>
        <w:pStyle w:val="a3"/>
        <w:spacing w:line="276" w:lineRule="auto"/>
        <w:jc w:val="both"/>
        <w:rPr>
          <w:sz w:val="22"/>
          <w:szCs w:val="22"/>
        </w:rPr>
      </w:pPr>
      <w:r>
        <w:rPr>
          <w:rStyle w:val="a4"/>
          <w:rFonts w:eastAsiaTheme="majorEastAsia"/>
        </w:rPr>
        <w:t>Appendix G. Zone-Stratified Expected Misclassification Cost Based on Clinical Risk Weights</w:t>
      </w:r>
      <w:r>
        <w:br/>
      </w:r>
      <w:r w:rsidRPr="00413500">
        <w:rPr>
          <w:rStyle w:val="a7"/>
          <w:i w:val="0"/>
          <w:iCs w:val="0"/>
          <w:sz w:val="22"/>
          <w:szCs w:val="22"/>
        </w:rPr>
        <w:t>This appendix reports the expected misclassification cost for Example 1, calculated within each RAMI-defined epistemic zone using clinically assigned risk weights for false positives (FP) and false negatives (FN). The Lower Plausible Zone (LPZ) showed the highest expected cost (0.833), driven by high false negative counts despite perfect specificity. The Recessive Zone (RZ) also exhibited elevated cost (0.625) due to the complete absence of true positives and substantial FN burden. In contrast, the Inflated Zone (IZ) recorded the lowest expected cost (0.067), reflecting strong sensitivity and minimal FP incidence. The Trusted Zone (TZ) and Upper Mixed Outcome Zone (UPZ) displayed intermediate costs (0.241 and 0.407, respectively), highlighting the trade-off between balanced classification and transitional diagnostic uncertainty.</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367"/>
        <w:gridCol w:w="394"/>
        <w:gridCol w:w="354"/>
        <w:gridCol w:w="380"/>
        <w:gridCol w:w="1549"/>
      </w:tblGrid>
      <w:tr w:rsidR="00B95152" w:rsidRPr="008F33C7" w:rsidTr="008D128D">
        <w:trPr>
          <w:tblHeader/>
          <w:tblCellSpacing w:w="15" w:type="dxa"/>
        </w:trPr>
        <w:tc>
          <w:tcPr>
            <w:tcW w:w="0" w:type="auto"/>
            <w:vAlign w:val="center"/>
            <w:hideMark/>
          </w:tcPr>
          <w:p w:rsidR="00B95152" w:rsidRPr="008F33C7" w:rsidRDefault="00B95152" w:rsidP="006A35B5">
            <w:pPr>
              <w:pStyle w:val="a3"/>
              <w:spacing w:line="276" w:lineRule="auto"/>
              <w:jc w:val="both"/>
              <w:rPr>
                <w:b/>
                <w:bCs/>
              </w:rPr>
            </w:pPr>
            <w:r w:rsidRPr="008F33C7">
              <w:rPr>
                <w:b/>
                <w:bCs/>
              </w:rPr>
              <w:lastRenderedPageBreak/>
              <w:t>Zone</w:t>
            </w:r>
          </w:p>
        </w:tc>
        <w:tc>
          <w:tcPr>
            <w:tcW w:w="0" w:type="auto"/>
            <w:vAlign w:val="center"/>
            <w:hideMark/>
          </w:tcPr>
          <w:p w:rsidR="00B95152" w:rsidRPr="008F33C7" w:rsidRDefault="00B95152" w:rsidP="006A35B5">
            <w:pPr>
              <w:pStyle w:val="a3"/>
              <w:spacing w:line="276" w:lineRule="auto"/>
              <w:jc w:val="both"/>
              <w:rPr>
                <w:b/>
                <w:bCs/>
              </w:rPr>
            </w:pPr>
            <w:r w:rsidRPr="008F33C7">
              <w:rPr>
                <w:b/>
                <w:bCs/>
              </w:rPr>
              <w:t>TP</w:t>
            </w:r>
          </w:p>
        </w:tc>
        <w:tc>
          <w:tcPr>
            <w:tcW w:w="0" w:type="auto"/>
            <w:vAlign w:val="center"/>
            <w:hideMark/>
          </w:tcPr>
          <w:p w:rsidR="00B95152" w:rsidRPr="008F33C7" w:rsidRDefault="00B95152" w:rsidP="006A35B5">
            <w:pPr>
              <w:pStyle w:val="a3"/>
              <w:spacing w:line="276" w:lineRule="auto"/>
              <w:jc w:val="both"/>
              <w:rPr>
                <w:b/>
                <w:bCs/>
              </w:rPr>
            </w:pPr>
            <w:r w:rsidRPr="008F33C7">
              <w:rPr>
                <w:b/>
                <w:bCs/>
              </w:rPr>
              <w:t>TN</w:t>
            </w:r>
          </w:p>
        </w:tc>
        <w:tc>
          <w:tcPr>
            <w:tcW w:w="0" w:type="auto"/>
            <w:vAlign w:val="center"/>
            <w:hideMark/>
          </w:tcPr>
          <w:p w:rsidR="00B95152" w:rsidRPr="008F33C7" w:rsidRDefault="00B95152" w:rsidP="006A35B5">
            <w:pPr>
              <w:pStyle w:val="a3"/>
              <w:spacing w:line="276" w:lineRule="auto"/>
              <w:jc w:val="both"/>
              <w:rPr>
                <w:b/>
                <w:bCs/>
              </w:rPr>
            </w:pPr>
            <w:r w:rsidRPr="008F33C7">
              <w:rPr>
                <w:b/>
                <w:bCs/>
              </w:rPr>
              <w:t>FP</w:t>
            </w:r>
          </w:p>
        </w:tc>
        <w:tc>
          <w:tcPr>
            <w:tcW w:w="0" w:type="auto"/>
            <w:vAlign w:val="center"/>
            <w:hideMark/>
          </w:tcPr>
          <w:p w:rsidR="00B95152" w:rsidRPr="008F33C7" w:rsidRDefault="00B95152" w:rsidP="006A35B5">
            <w:pPr>
              <w:pStyle w:val="a3"/>
              <w:spacing w:line="276" w:lineRule="auto"/>
              <w:jc w:val="both"/>
              <w:rPr>
                <w:b/>
                <w:bCs/>
              </w:rPr>
            </w:pPr>
            <w:r w:rsidRPr="008F33C7">
              <w:rPr>
                <w:b/>
                <w:bCs/>
              </w:rPr>
              <w:t>FN</w:t>
            </w:r>
          </w:p>
        </w:tc>
        <w:tc>
          <w:tcPr>
            <w:tcW w:w="0" w:type="auto"/>
            <w:vAlign w:val="center"/>
            <w:hideMark/>
          </w:tcPr>
          <w:p w:rsidR="00B95152" w:rsidRPr="008F33C7" w:rsidRDefault="00B95152" w:rsidP="006A35B5">
            <w:pPr>
              <w:pStyle w:val="a3"/>
              <w:spacing w:line="276" w:lineRule="auto"/>
              <w:jc w:val="both"/>
              <w:rPr>
                <w:b/>
                <w:bCs/>
              </w:rPr>
            </w:pPr>
            <w:r w:rsidRPr="008F33C7">
              <w:rPr>
                <w:b/>
                <w:bCs/>
              </w:rPr>
              <w:t>Expected Cost</w:t>
            </w:r>
          </w:p>
        </w:tc>
      </w:tr>
      <w:tr w:rsidR="00B95152" w:rsidRPr="008F33C7" w:rsidTr="008D128D">
        <w:trPr>
          <w:tblCellSpacing w:w="15" w:type="dxa"/>
        </w:trPr>
        <w:tc>
          <w:tcPr>
            <w:tcW w:w="0" w:type="auto"/>
            <w:vAlign w:val="center"/>
            <w:hideMark/>
          </w:tcPr>
          <w:p w:rsidR="00B95152" w:rsidRPr="008F33C7" w:rsidRDefault="00B95152" w:rsidP="006A35B5">
            <w:pPr>
              <w:pStyle w:val="a3"/>
              <w:spacing w:line="276" w:lineRule="auto"/>
              <w:jc w:val="both"/>
            </w:pPr>
            <w:r w:rsidRPr="008F33C7">
              <w:t>Recessive Zone</w:t>
            </w:r>
          </w:p>
        </w:tc>
        <w:tc>
          <w:tcPr>
            <w:tcW w:w="0" w:type="auto"/>
            <w:vAlign w:val="center"/>
            <w:hideMark/>
          </w:tcPr>
          <w:p w:rsidR="00B95152" w:rsidRPr="008F33C7" w:rsidRDefault="00B95152" w:rsidP="006A35B5">
            <w:pPr>
              <w:pStyle w:val="a3"/>
              <w:spacing w:line="276" w:lineRule="auto"/>
              <w:jc w:val="both"/>
            </w:pPr>
            <w:r w:rsidRPr="008F33C7">
              <w:t>0</w:t>
            </w:r>
          </w:p>
        </w:tc>
        <w:tc>
          <w:tcPr>
            <w:tcW w:w="0" w:type="auto"/>
            <w:vAlign w:val="center"/>
            <w:hideMark/>
          </w:tcPr>
          <w:p w:rsidR="00B95152" w:rsidRPr="008F33C7" w:rsidRDefault="00B95152" w:rsidP="006A35B5">
            <w:pPr>
              <w:pStyle w:val="a3"/>
              <w:spacing w:line="276" w:lineRule="auto"/>
              <w:jc w:val="both"/>
            </w:pPr>
            <w:r w:rsidRPr="008F33C7">
              <w:t>30</w:t>
            </w:r>
          </w:p>
        </w:tc>
        <w:tc>
          <w:tcPr>
            <w:tcW w:w="0" w:type="auto"/>
            <w:vAlign w:val="center"/>
            <w:hideMark/>
          </w:tcPr>
          <w:p w:rsidR="00B95152" w:rsidRPr="008F33C7" w:rsidRDefault="00B95152" w:rsidP="006A35B5">
            <w:pPr>
              <w:pStyle w:val="a3"/>
              <w:spacing w:line="276" w:lineRule="auto"/>
              <w:jc w:val="both"/>
            </w:pPr>
            <w:r w:rsidRPr="008F33C7">
              <w:t>0</w:t>
            </w:r>
          </w:p>
        </w:tc>
        <w:tc>
          <w:tcPr>
            <w:tcW w:w="0" w:type="auto"/>
            <w:vAlign w:val="center"/>
            <w:hideMark/>
          </w:tcPr>
          <w:p w:rsidR="00B95152" w:rsidRPr="008F33C7" w:rsidRDefault="00B95152" w:rsidP="006A35B5">
            <w:pPr>
              <w:pStyle w:val="a3"/>
              <w:spacing w:line="276" w:lineRule="auto"/>
              <w:jc w:val="both"/>
            </w:pPr>
            <w:r w:rsidRPr="008F33C7">
              <w:t>10</w:t>
            </w:r>
          </w:p>
        </w:tc>
        <w:tc>
          <w:tcPr>
            <w:tcW w:w="0" w:type="auto"/>
            <w:vAlign w:val="center"/>
            <w:hideMark/>
          </w:tcPr>
          <w:p w:rsidR="00B95152" w:rsidRPr="008F33C7" w:rsidRDefault="00B95152" w:rsidP="006A35B5">
            <w:pPr>
              <w:pStyle w:val="a3"/>
              <w:spacing w:line="276" w:lineRule="auto"/>
              <w:jc w:val="both"/>
            </w:pPr>
            <w:r w:rsidRPr="008F33C7">
              <w:t>0.625</w:t>
            </w:r>
          </w:p>
        </w:tc>
      </w:tr>
      <w:tr w:rsidR="00B95152" w:rsidRPr="008F33C7" w:rsidTr="008D128D">
        <w:trPr>
          <w:tblCellSpacing w:w="15" w:type="dxa"/>
        </w:trPr>
        <w:tc>
          <w:tcPr>
            <w:tcW w:w="0" w:type="auto"/>
            <w:vAlign w:val="center"/>
            <w:hideMark/>
          </w:tcPr>
          <w:p w:rsidR="00B95152" w:rsidRPr="008F33C7" w:rsidRDefault="00B95152" w:rsidP="006A35B5">
            <w:pPr>
              <w:pStyle w:val="a3"/>
              <w:spacing w:line="276" w:lineRule="auto"/>
              <w:jc w:val="both"/>
            </w:pPr>
            <w:r w:rsidRPr="008F33C7">
              <w:t>Lower Plausible</w:t>
            </w:r>
          </w:p>
        </w:tc>
        <w:tc>
          <w:tcPr>
            <w:tcW w:w="0" w:type="auto"/>
            <w:vAlign w:val="center"/>
            <w:hideMark/>
          </w:tcPr>
          <w:p w:rsidR="00B95152" w:rsidRPr="008F33C7" w:rsidRDefault="00B95152" w:rsidP="006A35B5">
            <w:pPr>
              <w:pStyle w:val="a3"/>
              <w:spacing w:line="276" w:lineRule="auto"/>
              <w:jc w:val="both"/>
            </w:pPr>
            <w:r w:rsidRPr="008F33C7">
              <w:t>2</w:t>
            </w:r>
          </w:p>
        </w:tc>
        <w:tc>
          <w:tcPr>
            <w:tcW w:w="0" w:type="auto"/>
            <w:vAlign w:val="center"/>
            <w:hideMark/>
          </w:tcPr>
          <w:p w:rsidR="00B95152" w:rsidRPr="008F33C7" w:rsidRDefault="00B95152" w:rsidP="006A35B5">
            <w:pPr>
              <w:pStyle w:val="a3"/>
              <w:spacing w:line="276" w:lineRule="auto"/>
              <w:jc w:val="both"/>
            </w:pPr>
            <w:r w:rsidRPr="008F33C7">
              <w:t>50</w:t>
            </w:r>
          </w:p>
        </w:tc>
        <w:tc>
          <w:tcPr>
            <w:tcW w:w="0" w:type="auto"/>
            <w:vAlign w:val="center"/>
            <w:hideMark/>
          </w:tcPr>
          <w:p w:rsidR="00B95152" w:rsidRPr="008F33C7" w:rsidRDefault="00B95152" w:rsidP="006A35B5">
            <w:pPr>
              <w:pStyle w:val="a3"/>
              <w:spacing w:line="276" w:lineRule="auto"/>
              <w:jc w:val="both"/>
            </w:pPr>
            <w:r w:rsidRPr="008F33C7">
              <w:t>0</w:t>
            </w:r>
          </w:p>
        </w:tc>
        <w:tc>
          <w:tcPr>
            <w:tcW w:w="0" w:type="auto"/>
            <w:vAlign w:val="center"/>
            <w:hideMark/>
          </w:tcPr>
          <w:p w:rsidR="00B95152" w:rsidRPr="008F33C7" w:rsidRDefault="00B95152" w:rsidP="006A35B5">
            <w:pPr>
              <w:pStyle w:val="a3"/>
              <w:spacing w:line="276" w:lineRule="auto"/>
              <w:jc w:val="both"/>
            </w:pPr>
            <w:r w:rsidRPr="008F33C7">
              <w:t>20</w:t>
            </w:r>
          </w:p>
        </w:tc>
        <w:tc>
          <w:tcPr>
            <w:tcW w:w="0" w:type="auto"/>
            <w:vAlign w:val="center"/>
            <w:hideMark/>
          </w:tcPr>
          <w:p w:rsidR="00B95152" w:rsidRPr="008F33C7" w:rsidRDefault="00B95152" w:rsidP="006A35B5">
            <w:pPr>
              <w:pStyle w:val="a3"/>
              <w:spacing w:line="276" w:lineRule="auto"/>
              <w:jc w:val="both"/>
            </w:pPr>
            <w:r w:rsidRPr="008F33C7">
              <w:t>0.833</w:t>
            </w:r>
          </w:p>
        </w:tc>
      </w:tr>
      <w:tr w:rsidR="00B95152" w:rsidRPr="008F33C7" w:rsidTr="008D128D">
        <w:trPr>
          <w:tblCellSpacing w:w="15" w:type="dxa"/>
        </w:trPr>
        <w:tc>
          <w:tcPr>
            <w:tcW w:w="0" w:type="auto"/>
            <w:vAlign w:val="center"/>
            <w:hideMark/>
          </w:tcPr>
          <w:p w:rsidR="00B95152" w:rsidRPr="008F33C7" w:rsidRDefault="00B95152" w:rsidP="006A35B5">
            <w:pPr>
              <w:pStyle w:val="a3"/>
              <w:spacing w:line="276" w:lineRule="auto"/>
              <w:jc w:val="both"/>
            </w:pPr>
            <w:r w:rsidRPr="008F33C7">
              <w:t>Trusted Zone</w:t>
            </w:r>
          </w:p>
        </w:tc>
        <w:tc>
          <w:tcPr>
            <w:tcW w:w="0" w:type="auto"/>
            <w:vAlign w:val="center"/>
            <w:hideMark/>
          </w:tcPr>
          <w:p w:rsidR="00B95152" w:rsidRPr="008F33C7" w:rsidRDefault="00B95152" w:rsidP="006A35B5">
            <w:pPr>
              <w:pStyle w:val="a3"/>
              <w:spacing w:line="276" w:lineRule="auto"/>
              <w:jc w:val="both"/>
            </w:pPr>
            <w:r w:rsidRPr="008F33C7">
              <w:t>25</w:t>
            </w:r>
          </w:p>
        </w:tc>
        <w:tc>
          <w:tcPr>
            <w:tcW w:w="0" w:type="auto"/>
            <w:vAlign w:val="center"/>
            <w:hideMark/>
          </w:tcPr>
          <w:p w:rsidR="00B95152" w:rsidRPr="008F33C7" w:rsidRDefault="00B95152" w:rsidP="006A35B5">
            <w:pPr>
              <w:pStyle w:val="a3"/>
              <w:spacing w:line="276" w:lineRule="auto"/>
              <w:jc w:val="both"/>
            </w:pPr>
            <w:r w:rsidRPr="008F33C7">
              <w:t>60</w:t>
            </w:r>
          </w:p>
        </w:tc>
        <w:tc>
          <w:tcPr>
            <w:tcW w:w="0" w:type="auto"/>
            <w:vAlign w:val="center"/>
            <w:hideMark/>
          </w:tcPr>
          <w:p w:rsidR="00B95152" w:rsidRPr="008F33C7" w:rsidRDefault="00B95152" w:rsidP="006A35B5">
            <w:pPr>
              <w:pStyle w:val="a3"/>
              <w:spacing w:line="276" w:lineRule="auto"/>
              <w:jc w:val="both"/>
            </w:pPr>
            <w:r w:rsidRPr="008F33C7">
              <w:t>5</w:t>
            </w:r>
          </w:p>
        </w:tc>
        <w:tc>
          <w:tcPr>
            <w:tcW w:w="0" w:type="auto"/>
            <w:vAlign w:val="center"/>
            <w:hideMark/>
          </w:tcPr>
          <w:p w:rsidR="00B95152" w:rsidRPr="008F33C7" w:rsidRDefault="00B95152" w:rsidP="006A35B5">
            <w:pPr>
              <w:pStyle w:val="a3"/>
              <w:spacing w:line="276" w:lineRule="auto"/>
              <w:jc w:val="both"/>
            </w:pPr>
            <w:r w:rsidRPr="008F33C7">
              <w:t>10</w:t>
            </w:r>
          </w:p>
        </w:tc>
        <w:tc>
          <w:tcPr>
            <w:tcW w:w="0" w:type="auto"/>
            <w:vAlign w:val="center"/>
            <w:hideMark/>
          </w:tcPr>
          <w:p w:rsidR="00B95152" w:rsidRPr="008F33C7" w:rsidRDefault="00B95152" w:rsidP="006A35B5">
            <w:pPr>
              <w:pStyle w:val="a3"/>
              <w:spacing w:line="276" w:lineRule="auto"/>
              <w:jc w:val="both"/>
            </w:pPr>
            <w:r w:rsidRPr="008F33C7">
              <w:t>0.241</w:t>
            </w:r>
          </w:p>
        </w:tc>
      </w:tr>
      <w:tr w:rsidR="00B95152" w:rsidRPr="008F33C7" w:rsidTr="008D128D">
        <w:trPr>
          <w:tblCellSpacing w:w="15" w:type="dxa"/>
        </w:trPr>
        <w:tc>
          <w:tcPr>
            <w:tcW w:w="0" w:type="auto"/>
            <w:vAlign w:val="center"/>
            <w:hideMark/>
          </w:tcPr>
          <w:p w:rsidR="00B95152" w:rsidRPr="008F33C7" w:rsidRDefault="00B95152" w:rsidP="006A35B5">
            <w:pPr>
              <w:pStyle w:val="a3"/>
              <w:spacing w:line="276" w:lineRule="auto"/>
              <w:jc w:val="both"/>
            </w:pPr>
            <w:r w:rsidRPr="008F33C7">
              <w:t>Upper MOZ</w:t>
            </w:r>
          </w:p>
        </w:tc>
        <w:tc>
          <w:tcPr>
            <w:tcW w:w="0" w:type="auto"/>
            <w:vAlign w:val="center"/>
            <w:hideMark/>
          </w:tcPr>
          <w:p w:rsidR="00B95152" w:rsidRPr="008F33C7" w:rsidRDefault="00B95152" w:rsidP="006A35B5">
            <w:pPr>
              <w:pStyle w:val="a3"/>
              <w:spacing w:line="276" w:lineRule="auto"/>
              <w:jc w:val="both"/>
            </w:pPr>
            <w:r w:rsidRPr="008F33C7">
              <w:t>30</w:t>
            </w:r>
          </w:p>
        </w:tc>
        <w:tc>
          <w:tcPr>
            <w:tcW w:w="0" w:type="auto"/>
            <w:vAlign w:val="center"/>
            <w:hideMark/>
          </w:tcPr>
          <w:p w:rsidR="00B95152" w:rsidRPr="008F33C7" w:rsidRDefault="00B95152" w:rsidP="006A35B5">
            <w:pPr>
              <w:pStyle w:val="a3"/>
              <w:spacing w:line="276" w:lineRule="auto"/>
              <w:jc w:val="both"/>
            </w:pPr>
            <w:r w:rsidRPr="008F33C7">
              <w:t>20</w:t>
            </w:r>
          </w:p>
        </w:tc>
        <w:tc>
          <w:tcPr>
            <w:tcW w:w="0" w:type="auto"/>
            <w:vAlign w:val="center"/>
            <w:hideMark/>
          </w:tcPr>
          <w:p w:rsidR="00B95152" w:rsidRPr="008F33C7" w:rsidRDefault="00B95152" w:rsidP="006A35B5">
            <w:pPr>
              <w:pStyle w:val="a3"/>
              <w:spacing w:line="276" w:lineRule="auto"/>
              <w:jc w:val="both"/>
            </w:pPr>
            <w:r w:rsidRPr="008F33C7">
              <w:t>10</w:t>
            </w:r>
          </w:p>
        </w:tc>
        <w:tc>
          <w:tcPr>
            <w:tcW w:w="0" w:type="auto"/>
            <w:vAlign w:val="center"/>
            <w:hideMark/>
          </w:tcPr>
          <w:p w:rsidR="00B95152" w:rsidRPr="008F33C7" w:rsidRDefault="00B95152" w:rsidP="006A35B5">
            <w:pPr>
              <w:pStyle w:val="a3"/>
              <w:spacing w:line="276" w:lineRule="auto"/>
              <w:jc w:val="both"/>
            </w:pPr>
            <w:r w:rsidRPr="008F33C7">
              <w:t>10</w:t>
            </w:r>
          </w:p>
        </w:tc>
        <w:tc>
          <w:tcPr>
            <w:tcW w:w="0" w:type="auto"/>
            <w:vAlign w:val="center"/>
            <w:hideMark/>
          </w:tcPr>
          <w:p w:rsidR="00B95152" w:rsidRPr="008F33C7" w:rsidRDefault="00B95152" w:rsidP="006A35B5">
            <w:pPr>
              <w:pStyle w:val="a3"/>
              <w:spacing w:line="276" w:lineRule="auto"/>
              <w:jc w:val="both"/>
            </w:pPr>
            <w:r w:rsidRPr="008F33C7">
              <w:t>0.407</w:t>
            </w:r>
          </w:p>
        </w:tc>
      </w:tr>
      <w:tr w:rsidR="00B95152" w:rsidRPr="008F33C7" w:rsidTr="008D128D">
        <w:trPr>
          <w:tblCellSpacing w:w="15" w:type="dxa"/>
        </w:trPr>
        <w:tc>
          <w:tcPr>
            <w:tcW w:w="0" w:type="auto"/>
            <w:vAlign w:val="center"/>
            <w:hideMark/>
          </w:tcPr>
          <w:p w:rsidR="00B95152" w:rsidRPr="008F33C7" w:rsidRDefault="00B95152" w:rsidP="006A35B5">
            <w:pPr>
              <w:pStyle w:val="a3"/>
              <w:spacing w:line="276" w:lineRule="auto"/>
              <w:jc w:val="both"/>
            </w:pPr>
            <w:r w:rsidRPr="008F33C7">
              <w:t>Inflated Zone</w:t>
            </w:r>
          </w:p>
        </w:tc>
        <w:tc>
          <w:tcPr>
            <w:tcW w:w="0" w:type="auto"/>
            <w:vAlign w:val="center"/>
            <w:hideMark/>
          </w:tcPr>
          <w:p w:rsidR="00B95152" w:rsidRPr="008F33C7" w:rsidRDefault="00B95152" w:rsidP="006A35B5">
            <w:pPr>
              <w:pStyle w:val="a3"/>
              <w:spacing w:line="276" w:lineRule="auto"/>
              <w:jc w:val="both"/>
            </w:pPr>
            <w:r w:rsidRPr="008F33C7">
              <w:t>70</w:t>
            </w:r>
          </w:p>
        </w:tc>
        <w:tc>
          <w:tcPr>
            <w:tcW w:w="0" w:type="auto"/>
            <w:vAlign w:val="center"/>
            <w:hideMark/>
          </w:tcPr>
          <w:p w:rsidR="00B95152" w:rsidRPr="008F33C7" w:rsidRDefault="00B95152" w:rsidP="006A35B5">
            <w:pPr>
              <w:pStyle w:val="a3"/>
              <w:spacing w:line="276" w:lineRule="auto"/>
              <w:jc w:val="both"/>
            </w:pPr>
            <w:r w:rsidRPr="008F33C7">
              <w:t>0</w:t>
            </w:r>
          </w:p>
        </w:tc>
        <w:tc>
          <w:tcPr>
            <w:tcW w:w="0" w:type="auto"/>
            <w:vAlign w:val="center"/>
            <w:hideMark/>
          </w:tcPr>
          <w:p w:rsidR="00B95152" w:rsidRPr="008F33C7" w:rsidRDefault="00B95152" w:rsidP="006A35B5">
            <w:pPr>
              <w:pStyle w:val="a3"/>
              <w:spacing w:line="276" w:lineRule="auto"/>
              <w:jc w:val="both"/>
            </w:pPr>
            <w:r w:rsidRPr="008F33C7">
              <w:t>5</w:t>
            </w:r>
          </w:p>
        </w:tc>
        <w:tc>
          <w:tcPr>
            <w:tcW w:w="0" w:type="auto"/>
            <w:vAlign w:val="center"/>
            <w:hideMark/>
          </w:tcPr>
          <w:p w:rsidR="00B95152" w:rsidRPr="008F33C7" w:rsidRDefault="00B95152" w:rsidP="006A35B5">
            <w:pPr>
              <w:pStyle w:val="a3"/>
              <w:spacing w:line="276" w:lineRule="auto"/>
              <w:jc w:val="both"/>
            </w:pPr>
            <w:r w:rsidRPr="008F33C7">
              <w:t>0</w:t>
            </w:r>
          </w:p>
        </w:tc>
        <w:tc>
          <w:tcPr>
            <w:tcW w:w="0" w:type="auto"/>
            <w:vAlign w:val="center"/>
            <w:hideMark/>
          </w:tcPr>
          <w:p w:rsidR="00B95152" w:rsidRPr="008F33C7" w:rsidRDefault="00B95152" w:rsidP="006A35B5">
            <w:pPr>
              <w:pStyle w:val="a3"/>
              <w:spacing w:line="276" w:lineRule="auto"/>
              <w:jc w:val="both"/>
            </w:pPr>
            <w:r w:rsidRPr="008F33C7">
              <w:t>0.067</w:t>
            </w:r>
          </w:p>
        </w:tc>
      </w:tr>
    </w:tbl>
    <w:p w:rsidR="00B95152" w:rsidRDefault="00B95152" w:rsidP="00B95152">
      <w:pPr>
        <w:pStyle w:val="a3"/>
        <w:spacing w:line="276" w:lineRule="auto"/>
        <w:jc w:val="both"/>
      </w:pPr>
    </w:p>
    <w:p w:rsidR="002B16D4" w:rsidRPr="00413500" w:rsidRDefault="002B16D4" w:rsidP="002B16D4">
      <w:pPr>
        <w:spacing w:before="100" w:beforeAutospacing="1" w:after="100" w:afterAutospacing="1" w:line="240" w:lineRule="auto"/>
        <w:jc w:val="both"/>
        <w:rPr>
          <w:rFonts w:ascii="Times New Roman" w:eastAsia="Times New Roman" w:hAnsi="Times New Roman" w:cs="Times New Roman"/>
        </w:rPr>
      </w:pPr>
      <w:r w:rsidRPr="002B16D4">
        <w:rPr>
          <w:rFonts w:ascii="Times New Roman" w:eastAsia="Times New Roman" w:hAnsi="Times New Roman" w:cs="Times New Roman"/>
          <w:b/>
          <w:bCs/>
          <w:sz w:val="24"/>
          <w:szCs w:val="24"/>
        </w:rPr>
        <w:t>Appendix H. Zone-Specific Misclassification Rates (ZBE) for HbA1c-Based Classification</w:t>
      </w:r>
      <w:r w:rsidRPr="002B16D4">
        <w:rPr>
          <w:rFonts w:ascii="Times New Roman" w:eastAsia="Times New Roman" w:hAnsi="Times New Roman" w:cs="Times New Roman"/>
          <w:sz w:val="24"/>
          <w:szCs w:val="24"/>
        </w:rPr>
        <w:br/>
      </w:r>
      <w:r w:rsidRPr="00413500">
        <w:rPr>
          <w:rFonts w:ascii="Times New Roman" w:eastAsia="Times New Roman" w:hAnsi="Times New Roman" w:cs="Times New Roman"/>
        </w:rPr>
        <w:t>This appendix presents the Zone-Based Error (ZBE) values for Example 1, derived as the average of the false positive rate (FPR) and false negative rate (FNR) within each RAMI-defined epistemic zone. High ZBE values indicate greater local diagnostic volatility and reduced reliability. Both the Recessive Zone (RZ) and Lower Plausible Zone (LPZ) exhibited ZBE scores of 0.50, reflecting complete sensitivity loss (FNR = 1.00) despite perfect specificity. The Trusted Zone (TZ) demonstrated maximal volatility (ZBE = 1.00) with both FPR and FNR equal to 1.00, indicating uniform misclassification. The Upper Plausible Zone (UPZ) and Inflated Zone (IZ) each recorded ZBE scores of 0.50, driven by complete specificity loss (FPR = 1.00) but perfect sensitivity (FNR = 0.00).</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195"/>
        <w:gridCol w:w="2680"/>
        <w:gridCol w:w="2800"/>
        <w:gridCol w:w="556"/>
      </w:tblGrid>
      <w:tr w:rsidR="00B95152" w:rsidRPr="00FB5FA0" w:rsidTr="008D128D">
        <w:trPr>
          <w:tblHeader/>
          <w:tblCellSpacing w:w="15" w:type="dxa"/>
        </w:trPr>
        <w:tc>
          <w:tcPr>
            <w:tcW w:w="0" w:type="auto"/>
            <w:vAlign w:val="center"/>
            <w:hideMark/>
          </w:tcPr>
          <w:p w:rsidR="00B95152" w:rsidRPr="00FB5FA0" w:rsidRDefault="00B95152" w:rsidP="006A35B5">
            <w:pPr>
              <w:pStyle w:val="a3"/>
              <w:spacing w:line="276" w:lineRule="auto"/>
              <w:jc w:val="both"/>
              <w:rPr>
                <w:b/>
                <w:bCs/>
              </w:rPr>
            </w:pPr>
            <w:r w:rsidRPr="00FB5FA0">
              <w:rPr>
                <w:b/>
                <w:bCs/>
              </w:rPr>
              <w:t>Zone</w:t>
            </w:r>
          </w:p>
        </w:tc>
        <w:tc>
          <w:tcPr>
            <w:tcW w:w="0" w:type="auto"/>
            <w:vAlign w:val="center"/>
            <w:hideMark/>
          </w:tcPr>
          <w:p w:rsidR="00B95152" w:rsidRPr="00FB5FA0" w:rsidRDefault="00B95152" w:rsidP="006A35B5">
            <w:pPr>
              <w:pStyle w:val="a3"/>
              <w:spacing w:line="276" w:lineRule="auto"/>
              <w:jc w:val="both"/>
              <w:rPr>
                <w:b/>
                <w:bCs/>
              </w:rPr>
            </w:pPr>
            <w:r w:rsidRPr="00FB5FA0">
              <w:rPr>
                <w:b/>
                <w:bCs/>
              </w:rPr>
              <w:t>False Positive Rate (FPR)</w:t>
            </w:r>
          </w:p>
        </w:tc>
        <w:tc>
          <w:tcPr>
            <w:tcW w:w="0" w:type="auto"/>
            <w:vAlign w:val="center"/>
            <w:hideMark/>
          </w:tcPr>
          <w:p w:rsidR="00B95152" w:rsidRPr="00FB5FA0" w:rsidRDefault="00B95152" w:rsidP="006A35B5">
            <w:pPr>
              <w:pStyle w:val="a3"/>
              <w:spacing w:line="276" w:lineRule="auto"/>
              <w:jc w:val="both"/>
              <w:rPr>
                <w:b/>
                <w:bCs/>
              </w:rPr>
            </w:pPr>
            <w:r w:rsidRPr="00FB5FA0">
              <w:rPr>
                <w:b/>
                <w:bCs/>
              </w:rPr>
              <w:t>False Negative Rate (FNR)</w:t>
            </w:r>
          </w:p>
        </w:tc>
        <w:tc>
          <w:tcPr>
            <w:tcW w:w="0" w:type="auto"/>
            <w:vAlign w:val="center"/>
            <w:hideMark/>
          </w:tcPr>
          <w:p w:rsidR="00B95152" w:rsidRPr="00FB5FA0" w:rsidRDefault="00B95152" w:rsidP="006A35B5">
            <w:pPr>
              <w:pStyle w:val="a3"/>
              <w:spacing w:line="276" w:lineRule="auto"/>
              <w:jc w:val="both"/>
              <w:rPr>
                <w:b/>
                <w:bCs/>
              </w:rPr>
            </w:pPr>
            <w:r w:rsidRPr="00FB5FA0">
              <w:rPr>
                <w:b/>
                <w:bCs/>
              </w:rPr>
              <w:t>ZBE</w:t>
            </w:r>
          </w:p>
        </w:tc>
      </w:tr>
      <w:tr w:rsidR="00B95152" w:rsidRPr="00FB5FA0" w:rsidTr="008D128D">
        <w:trPr>
          <w:tblCellSpacing w:w="15" w:type="dxa"/>
        </w:trPr>
        <w:tc>
          <w:tcPr>
            <w:tcW w:w="0" w:type="auto"/>
            <w:vAlign w:val="center"/>
            <w:hideMark/>
          </w:tcPr>
          <w:p w:rsidR="00B95152" w:rsidRPr="00FB5FA0" w:rsidRDefault="00B95152" w:rsidP="006A35B5">
            <w:pPr>
              <w:pStyle w:val="a3"/>
              <w:spacing w:line="276" w:lineRule="auto"/>
              <w:jc w:val="both"/>
            </w:pPr>
            <w:r w:rsidRPr="00FB5FA0">
              <w:t>Recessive Zone</w:t>
            </w:r>
          </w:p>
        </w:tc>
        <w:tc>
          <w:tcPr>
            <w:tcW w:w="0" w:type="auto"/>
            <w:vAlign w:val="center"/>
            <w:hideMark/>
          </w:tcPr>
          <w:p w:rsidR="00B95152" w:rsidRPr="00FB5FA0" w:rsidRDefault="00B95152" w:rsidP="006A35B5">
            <w:pPr>
              <w:pStyle w:val="a3"/>
              <w:spacing w:line="276" w:lineRule="auto"/>
              <w:jc w:val="both"/>
            </w:pPr>
            <w:r w:rsidRPr="00FB5FA0">
              <w:t>0.00</w:t>
            </w:r>
          </w:p>
        </w:tc>
        <w:tc>
          <w:tcPr>
            <w:tcW w:w="0" w:type="auto"/>
            <w:vAlign w:val="center"/>
            <w:hideMark/>
          </w:tcPr>
          <w:p w:rsidR="00B95152" w:rsidRPr="00FB5FA0" w:rsidRDefault="00B95152" w:rsidP="006A35B5">
            <w:pPr>
              <w:pStyle w:val="a3"/>
              <w:spacing w:line="276" w:lineRule="auto"/>
              <w:jc w:val="both"/>
            </w:pPr>
            <w:r w:rsidRPr="00FB5FA0">
              <w:t>1.00</w:t>
            </w:r>
          </w:p>
        </w:tc>
        <w:tc>
          <w:tcPr>
            <w:tcW w:w="0" w:type="auto"/>
            <w:vAlign w:val="center"/>
            <w:hideMark/>
          </w:tcPr>
          <w:p w:rsidR="00B95152" w:rsidRPr="00FB5FA0" w:rsidRDefault="00B95152" w:rsidP="006A35B5">
            <w:pPr>
              <w:pStyle w:val="a3"/>
              <w:spacing w:line="276" w:lineRule="auto"/>
              <w:jc w:val="both"/>
            </w:pPr>
            <w:r w:rsidRPr="00FB5FA0">
              <w:t>0.50</w:t>
            </w:r>
          </w:p>
        </w:tc>
      </w:tr>
      <w:tr w:rsidR="00B95152" w:rsidRPr="00FB5FA0" w:rsidTr="008D128D">
        <w:trPr>
          <w:tblCellSpacing w:w="15" w:type="dxa"/>
        </w:trPr>
        <w:tc>
          <w:tcPr>
            <w:tcW w:w="0" w:type="auto"/>
            <w:vAlign w:val="center"/>
            <w:hideMark/>
          </w:tcPr>
          <w:p w:rsidR="00B95152" w:rsidRPr="00FB5FA0" w:rsidRDefault="00B95152" w:rsidP="006A35B5">
            <w:pPr>
              <w:pStyle w:val="a3"/>
              <w:spacing w:line="276" w:lineRule="auto"/>
              <w:jc w:val="both"/>
            </w:pPr>
            <w:r w:rsidRPr="00FB5FA0">
              <w:t>Lower Plausible Zone</w:t>
            </w:r>
          </w:p>
        </w:tc>
        <w:tc>
          <w:tcPr>
            <w:tcW w:w="0" w:type="auto"/>
            <w:vAlign w:val="center"/>
            <w:hideMark/>
          </w:tcPr>
          <w:p w:rsidR="00B95152" w:rsidRPr="00FB5FA0" w:rsidRDefault="00B95152" w:rsidP="006A35B5">
            <w:pPr>
              <w:pStyle w:val="a3"/>
              <w:spacing w:line="276" w:lineRule="auto"/>
              <w:jc w:val="both"/>
            </w:pPr>
            <w:r w:rsidRPr="00FB5FA0">
              <w:t>0.00</w:t>
            </w:r>
          </w:p>
        </w:tc>
        <w:tc>
          <w:tcPr>
            <w:tcW w:w="0" w:type="auto"/>
            <w:vAlign w:val="center"/>
            <w:hideMark/>
          </w:tcPr>
          <w:p w:rsidR="00B95152" w:rsidRPr="00FB5FA0" w:rsidRDefault="00B95152" w:rsidP="006A35B5">
            <w:pPr>
              <w:pStyle w:val="a3"/>
              <w:spacing w:line="276" w:lineRule="auto"/>
              <w:jc w:val="both"/>
            </w:pPr>
            <w:r w:rsidRPr="00FB5FA0">
              <w:t>1.00</w:t>
            </w:r>
          </w:p>
        </w:tc>
        <w:tc>
          <w:tcPr>
            <w:tcW w:w="0" w:type="auto"/>
            <w:vAlign w:val="center"/>
            <w:hideMark/>
          </w:tcPr>
          <w:p w:rsidR="00B95152" w:rsidRPr="00FB5FA0" w:rsidRDefault="00B95152" w:rsidP="006A35B5">
            <w:pPr>
              <w:pStyle w:val="a3"/>
              <w:spacing w:line="276" w:lineRule="auto"/>
              <w:jc w:val="both"/>
            </w:pPr>
            <w:r w:rsidRPr="00FB5FA0">
              <w:t>0.50</w:t>
            </w:r>
          </w:p>
        </w:tc>
      </w:tr>
      <w:tr w:rsidR="00B95152" w:rsidRPr="00FB5FA0" w:rsidTr="008D128D">
        <w:trPr>
          <w:tblCellSpacing w:w="15" w:type="dxa"/>
        </w:trPr>
        <w:tc>
          <w:tcPr>
            <w:tcW w:w="0" w:type="auto"/>
            <w:vAlign w:val="center"/>
            <w:hideMark/>
          </w:tcPr>
          <w:p w:rsidR="00B95152" w:rsidRPr="00FB5FA0" w:rsidRDefault="00B95152" w:rsidP="006A35B5">
            <w:pPr>
              <w:pStyle w:val="a3"/>
              <w:spacing w:line="276" w:lineRule="auto"/>
              <w:jc w:val="both"/>
            </w:pPr>
            <w:r w:rsidRPr="00FB5FA0">
              <w:t>Trusted Zone</w:t>
            </w:r>
          </w:p>
        </w:tc>
        <w:tc>
          <w:tcPr>
            <w:tcW w:w="0" w:type="auto"/>
            <w:vAlign w:val="center"/>
            <w:hideMark/>
          </w:tcPr>
          <w:p w:rsidR="00B95152" w:rsidRPr="00FB5FA0" w:rsidRDefault="00B95152" w:rsidP="006A35B5">
            <w:pPr>
              <w:pStyle w:val="a3"/>
              <w:spacing w:line="276" w:lineRule="auto"/>
              <w:jc w:val="both"/>
            </w:pPr>
            <w:r w:rsidRPr="00FB5FA0">
              <w:t>1.00</w:t>
            </w:r>
          </w:p>
        </w:tc>
        <w:tc>
          <w:tcPr>
            <w:tcW w:w="0" w:type="auto"/>
            <w:vAlign w:val="center"/>
            <w:hideMark/>
          </w:tcPr>
          <w:p w:rsidR="00B95152" w:rsidRPr="00FB5FA0" w:rsidRDefault="00B95152" w:rsidP="006A35B5">
            <w:pPr>
              <w:pStyle w:val="a3"/>
              <w:spacing w:line="276" w:lineRule="auto"/>
              <w:jc w:val="both"/>
            </w:pPr>
            <w:r w:rsidRPr="00FB5FA0">
              <w:t>1.00</w:t>
            </w:r>
          </w:p>
        </w:tc>
        <w:tc>
          <w:tcPr>
            <w:tcW w:w="0" w:type="auto"/>
            <w:vAlign w:val="center"/>
            <w:hideMark/>
          </w:tcPr>
          <w:p w:rsidR="00B95152" w:rsidRPr="00FB5FA0" w:rsidRDefault="00B95152" w:rsidP="006A35B5">
            <w:pPr>
              <w:pStyle w:val="a3"/>
              <w:spacing w:line="276" w:lineRule="auto"/>
              <w:jc w:val="both"/>
            </w:pPr>
            <w:r w:rsidRPr="00FB5FA0">
              <w:t>1.00</w:t>
            </w:r>
          </w:p>
        </w:tc>
      </w:tr>
      <w:tr w:rsidR="00B95152" w:rsidRPr="00FB5FA0" w:rsidTr="008D128D">
        <w:trPr>
          <w:tblCellSpacing w:w="15" w:type="dxa"/>
        </w:trPr>
        <w:tc>
          <w:tcPr>
            <w:tcW w:w="0" w:type="auto"/>
            <w:vAlign w:val="center"/>
            <w:hideMark/>
          </w:tcPr>
          <w:p w:rsidR="00B95152" w:rsidRPr="00FB5FA0" w:rsidRDefault="00B95152" w:rsidP="006A35B5">
            <w:pPr>
              <w:pStyle w:val="a3"/>
              <w:spacing w:line="276" w:lineRule="auto"/>
              <w:jc w:val="both"/>
            </w:pPr>
            <w:r w:rsidRPr="00FB5FA0">
              <w:t>Upper Plausible Zone</w:t>
            </w:r>
          </w:p>
        </w:tc>
        <w:tc>
          <w:tcPr>
            <w:tcW w:w="0" w:type="auto"/>
            <w:vAlign w:val="center"/>
            <w:hideMark/>
          </w:tcPr>
          <w:p w:rsidR="00B95152" w:rsidRPr="00FB5FA0" w:rsidRDefault="00B95152" w:rsidP="006A35B5">
            <w:pPr>
              <w:pStyle w:val="a3"/>
              <w:spacing w:line="276" w:lineRule="auto"/>
              <w:jc w:val="both"/>
            </w:pPr>
            <w:r w:rsidRPr="00FB5FA0">
              <w:t>1.00</w:t>
            </w:r>
          </w:p>
        </w:tc>
        <w:tc>
          <w:tcPr>
            <w:tcW w:w="0" w:type="auto"/>
            <w:vAlign w:val="center"/>
            <w:hideMark/>
          </w:tcPr>
          <w:p w:rsidR="00B95152" w:rsidRPr="00FB5FA0" w:rsidRDefault="00B95152" w:rsidP="006A35B5">
            <w:pPr>
              <w:pStyle w:val="a3"/>
              <w:spacing w:line="276" w:lineRule="auto"/>
              <w:jc w:val="both"/>
            </w:pPr>
            <w:r w:rsidRPr="00FB5FA0">
              <w:t>0.00</w:t>
            </w:r>
          </w:p>
        </w:tc>
        <w:tc>
          <w:tcPr>
            <w:tcW w:w="0" w:type="auto"/>
            <w:vAlign w:val="center"/>
            <w:hideMark/>
          </w:tcPr>
          <w:p w:rsidR="00B95152" w:rsidRPr="00FB5FA0" w:rsidRDefault="00B95152" w:rsidP="006A35B5">
            <w:pPr>
              <w:pStyle w:val="a3"/>
              <w:spacing w:line="276" w:lineRule="auto"/>
              <w:jc w:val="both"/>
            </w:pPr>
            <w:r w:rsidRPr="00FB5FA0">
              <w:t>0.50</w:t>
            </w:r>
          </w:p>
        </w:tc>
      </w:tr>
      <w:tr w:rsidR="00B95152" w:rsidRPr="00FB5FA0" w:rsidTr="008D128D">
        <w:trPr>
          <w:tblCellSpacing w:w="15" w:type="dxa"/>
        </w:trPr>
        <w:tc>
          <w:tcPr>
            <w:tcW w:w="0" w:type="auto"/>
            <w:vAlign w:val="center"/>
            <w:hideMark/>
          </w:tcPr>
          <w:p w:rsidR="00B95152" w:rsidRPr="00FB5FA0" w:rsidRDefault="00B95152" w:rsidP="006A35B5">
            <w:pPr>
              <w:pStyle w:val="a3"/>
              <w:spacing w:line="276" w:lineRule="auto"/>
              <w:jc w:val="both"/>
            </w:pPr>
            <w:r w:rsidRPr="00FB5FA0">
              <w:t>Inflated Zone</w:t>
            </w:r>
          </w:p>
        </w:tc>
        <w:tc>
          <w:tcPr>
            <w:tcW w:w="0" w:type="auto"/>
            <w:vAlign w:val="center"/>
            <w:hideMark/>
          </w:tcPr>
          <w:p w:rsidR="00B95152" w:rsidRPr="00FB5FA0" w:rsidRDefault="00B95152" w:rsidP="006A35B5">
            <w:pPr>
              <w:pStyle w:val="a3"/>
              <w:spacing w:line="276" w:lineRule="auto"/>
              <w:jc w:val="both"/>
            </w:pPr>
            <w:r w:rsidRPr="00FB5FA0">
              <w:t>1.00</w:t>
            </w:r>
          </w:p>
        </w:tc>
        <w:tc>
          <w:tcPr>
            <w:tcW w:w="0" w:type="auto"/>
            <w:vAlign w:val="center"/>
            <w:hideMark/>
          </w:tcPr>
          <w:p w:rsidR="00B95152" w:rsidRPr="00FB5FA0" w:rsidRDefault="00B95152" w:rsidP="006A35B5">
            <w:pPr>
              <w:pStyle w:val="a3"/>
              <w:spacing w:line="276" w:lineRule="auto"/>
              <w:jc w:val="both"/>
            </w:pPr>
            <w:r w:rsidRPr="00FB5FA0">
              <w:t>0.00</w:t>
            </w:r>
          </w:p>
        </w:tc>
        <w:tc>
          <w:tcPr>
            <w:tcW w:w="0" w:type="auto"/>
            <w:vAlign w:val="center"/>
            <w:hideMark/>
          </w:tcPr>
          <w:p w:rsidR="00B95152" w:rsidRPr="00FB5FA0" w:rsidRDefault="00B95152" w:rsidP="006A35B5">
            <w:pPr>
              <w:pStyle w:val="a3"/>
              <w:spacing w:line="276" w:lineRule="auto"/>
              <w:jc w:val="both"/>
            </w:pPr>
            <w:r w:rsidRPr="00FB5FA0">
              <w:t>0.50</w:t>
            </w:r>
          </w:p>
        </w:tc>
      </w:tr>
    </w:tbl>
    <w:p w:rsidR="00064632" w:rsidRPr="00413500" w:rsidRDefault="00064632" w:rsidP="008E6D3E">
      <w:pPr>
        <w:jc w:val="both"/>
      </w:pPr>
      <w:r w:rsidRPr="002B16D4">
        <w:rPr>
          <w:rFonts w:asciiTheme="majorBidi" w:hAnsiTheme="majorBidi" w:cstheme="majorBidi"/>
          <w:b/>
          <w:bCs/>
          <w:sz w:val="24"/>
          <w:szCs w:val="24"/>
        </w:rPr>
        <w:t xml:space="preserve">Appendix </w:t>
      </w:r>
      <w:r w:rsidR="002B16D4" w:rsidRPr="002B16D4">
        <w:rPr>
          <w:rFonts w:asciiTheme="majorBidi" w:hAnsiTheme="majorBidi" w:cstheme="majorBidi"/>
          <w:b/>
          <w:bCs/>
          <w:sz w:val="24"/>
          <w:szCs w:val="24"/>
        </w:rPr>
        <w:t>I</w:t>
      </w:r>
      <w:r w:rsidRPr="002B16D4">
        <w:rPr>
          <w:rFonts w:asciiTheme="majorBidi" w:hAnsiTheme="majorBidi" w:cstheme="majorBidi"/>
          <w:b/>
          <w:bCs/>
          <w:sz w:val="24"/>
          <w:szCs w:val="24"/>
        </w:rPr>
        <w:t xml:space="preserve"> :</w:t>
      </w:r>
      <w:r w:rsidRPr="002B16D4">
        <w:rPr>
          <w:rStyle w:val="2Char"/>
          <w:rFonts w:asciiTheme="majorBidi" w:hAnsiTheme="majorBidi"/>
          <w:b w:val="0"/>
          <w:bCs w:val="0"/>
          <w:color w:val="0D0D0D"/>
          <w:sz w:val="24"/>
          <w:szCs w:val="24"/>
        </w:rPr>
        <w:t xml:space="preserve"> </w:t>
      </w:r>
      <w:r w:rsidRPr="002B16D4">
        <w:rPr>
          <w:rFonts w:asciiTheme="majorBidi" w:eastAsia="Times New Roman" w:hAnsiTheme="majorBidi" w:cstheme="majorBidi"/>
          <w:b/>
          <w:bCs/>
          <w:color w:val="0D0D0D"/>
          <w:sz w:val="24"/>
          <w:szCs w:val="24"/>
        </w:rPr>
        <w:t>Simulated</w:t>
      </w:r>
      <w:r w:rsidR="002B16D4" w:rsidRPr="002B16D4">
        <w:rPr>
          <w:rFonts w:asciiTheme="majorBidi" w:eastAsia="Times New Roman" w:hAnsiTheme="majorBidi" w:cstheme="majorBidi"/>
          <w:b/>
          <w:bCs/>
          <w:color w:val="0D0D0D"/>
          <w:sz w:val="24"/>
          <w:szCs w:val="24"/>
        </w:rPr>
        <w:t xml:space="preserve"> 2</w:t>
      </w:r>
      <w:r w:rsidR="000B2B9F">
        <w:rPr>
          <w:rFonts w:asciiTheme="majorBidi" w:eastAsia="Times New Roman" w:hAnsiTheme="majorBidi" w:cstheme="majorBidi"/>
          <w:b/>
          <w:bCs/>
          <w:color w:val="0D0D0D"/>
          <w:sz w:val="24"/>
          <w:szCs w:val="24"/>
        </w:rPr>
        <w:t xml:space="preserve"> </w:t>
      </w:r>
      <w:r w:rsidR="000B2B9F" w:rsidRPr="000B2B9F">
        <w:rPr>
          <w:rFonts w:asciiTheme="majorBidi" w:hAnsiTheme="majorBidi" w:cstheme="majorBidi"/>
          <w:b/>
          <w:bCs/>
          <w:sz w:val="24"/>
          <w:szCs w:val="24"/>
        </w:rPr>
        <w:t xml:space="preserve">Example </w:t>
      </w:r>
      <w:r w:rsidR="002B16D4" w:rsidRPr="000B2B9F">
        <w:rPr>
          <w:rFonts w:asciiTheme="majorBidi" w:eastAsia="Times New Roman" w:hAnsiTheme="majorBidi" w:cstheme="majorBidi"/>
          <w:b/>
          <w:bCs/>
          <w:color w:val="0D0D0D"/>
          <w:sz w:val="24"/>
          <w:szCs w:val="24"/>
        </w:rPr>
        <w:t xml:space="preserve"> dataset</w:t>
      </w:r>
      <w:r w:rsidR="002B16D4" w:rsidRPr="002B16D4">
        <w:rPr>
          <w:rFonts w:asciiTheme="majorBidi" w:eastAsia="Times New Roman" w:hAnsiTheme="majorBidi" w:cstheme="majorBidi"/>
          <w:b/>
          <w:bCs/>
          <w:color w:val="0D0D0D"/>
          <w:sz w:val="24"/>
          <w:szCs w:val="24"/>
        </w:rPr>
        <w:t xml:space="preserve"> :</w:t>
      </w:r>
      <w:r w:rsidR="002B16D4" w:rsidRPr="002B16D4">
        <w:rPr>
          <w:rFonts w:asciiTheme="majorBidi" w:eastAsia="Times New Roman" w:hAnsiTheme="majorBidi" w:cstheme="majorBidi"/>
          <w:b/>
          <w:bCs/>
          <w:sz w:val="24"/>
          <w:szCs w:val="24"/>
        </w:rPr>
        <w:t xml:space="preserve"> Prostate Cancer Classification Dataset Based on Total PSA and %Free PSA</w:t>
      </w:r>
      <w:r w:rsidR="002B16D4" w:rsidRPr="002B16D4">
        <w:rPr>
          <w:rFonts w:ascii="Times New Roman" w:eastAsia="Times New Roman" w:hAnsi="Times New Roman" w:cs="Times New Roman"/>
          <w:sz w:val="24"/>
          <w:szCs w:val="24"/>
        </w:rPr>
        <w:br/>
      </w:r>
      <w:r w:rsidR="002B16D4" w:rsidRPr="00413500">
        <w:rPr>
          <w:rFonts w:ascii="Times New Roman" w:eastAsia="Times New Roman" w:hAnsi="Times New Roman" w:cs="Times New Roman"/>
        </w:rPr>
        <w:t>This dataset contains simulated prostate cancer diagnostic data using two biomarkers—Total PSA (</w:t>
      </w:r>
      <w:proofErr w:type="spellStart"/>
      <w:r w:rsidR="002B16D4" w:rsidRPr="00413500">
        <w:rPr>
          <w:rFonts w:ascii="Times New Roman" w:eastAsia="Times New Roman" w:hAnsi="Times New Roman" w:cs="Times New Roman"/>
        </w:rPr>
        <w:t>ng</w:t>
      </w:r>
      <w:proofErr w:type="spellEnd"/>
      <w:r w:rsidR="002B16D4" w:rsidRPr="00413500">
        <w:rPr>
          <w:rFonts w:ascii="Times New Roman" w:eastAsia="Times New Roman" w:hAnsi="Times New Roman" w:cs="Times New Roman"/>
        </w:rPr>
        <w:t>/mL) and percentage of free PSA (%). The binary diagnosis label is coded as 1 for prostate cancer and 0 for non-cancer. The dataset serves as Example 2 in evaluating the zone-based ROC and DET framework, enabling comparison of classification performance, calibration, and decision curve analysis across epistemic zones.</w:t>
      </w:r>
    </w:p>
    <w:tbl>
      <w:tblPr>
        <w:tblW w:w="2956" w:type="dxa"/>
        <w:tblInd w:w="93" w:type="dxa"/>
        <w:tblBorders>
          <w:insideH w:val="single" w:sz="4" w:space="0" w:color="auto"/>
        </w:tblBorders>
        <w:tblLook w:val="04A0" w:firstRow="1" w:lastRow="0" w:firstColumn="1" w:lastColumn="0" w:noHBand="0" w:noVBand="1"/>
      </w:tblPr>
      <w:tblGrid>
        <w:gridCol w:w="1121"/>
        <w:gridCol w:w="1222"/>
        <w:gridCol w:w="1065"/>
      </w:tblGrid>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rPr>
                <w:rFonts w:ascii="Calibri" w:eastAsia="Times New Roman" w:hAnsi="Calibri" w:cs="Calibri"/>
                <w:color w:val="000000"/>
              </w:rPr>
            </w:pPr>
            <w:proofErr w:type="spellStart"/>
            <w:r w:rsidRPr="00A00510">
              <w:rPr>
                <w:rFonts w:ascii="Calibri" w:eastAsia="Times New Roman" w:hAnsi="Calibri" w:cs="Calibri"/>
                <w:color w:val="000000"/>
              </w:rPr>
              <w:t>Total_PSA</w:t>
            </w:r>
            <w:proofErr w:type="spellEnd"/>
          </w:p>
        </w:tc>
        <w:tc>
          <w:tcPr>
            <w:tcW w:w="1036" w:type="dxa"/>
            <w:shd w:val="clear" w:color="auto" w:fill="auto"/>
            <w:noWrap/>
            <w:vAlign w:val="bottom"/>
            <w:hideMark/>
          </w:tcPr>
          <w:p w:rsidR="00064632" w:rsidRPr="00A00510" w:rsidRDefault="00064632" w:rsidP="00BC05C1">
            <w:pPr>
              <w:spacing w:after="0" w:line="240" w:lineRule="auto"/>
              <w:rPr>
                <w:rFonts w:ascii="Calibri" w:eastAsia="Times New Roman" w:hAnsi="Calibri" w:cs="Calibri"/>
                <w:color w:val="000000"/>
              </w:rPr>
            </w:pPr>
            <w:r w:rsidRPr="00A00510">
              <w:rPr>
                <w:rFonts w:ascii="Calibri" w:eastAsia="Times New Roman" w:hAnsi="Calibri" w:cs="Calibri"/>
                <w:color w:val="000000"/>
              </w:rPr>
              <w:t>%</w:t>
            </w:r>
            <w:proofErr w:type="spellStart"/>
            <w:r w:rsidRPr="00A00510">
              <w:rPr>
                <w:rFonts w:ascii="Calibri" w:eastAsia="Times New Roman" w:hAnsi="Calibri" w:cs="Calibri"/>
                <w:color w:val="000000"/>
              </w:rPr>
              <w:t>Free_PSA</w:t>
            </w:r>
            <w:proofErr w:type="spellEnd"/>
          </w:p>
        </w:tc>
        <w:tc>
          <w:tcPr>
            <w:tcW w:w="960" w:type="dxa"/>
            <w:shd w:val="clear" w:color="auto" w:fill="auto"/>
            <w:noWrap/>
            <w:vAlign w:val="bottom"/>
            <w:hideMark/>
          </w:tcPr>
          <w:p w:rsidR="00064632" w:rsidRPr="00A00510" w:rsidRDefault="00064632" w:rsidP="00BC05C1">
            <w:pPr>
              <w:spacing w:after="0" w:line="240" w:lineRule="auto"/>
              <w:rPr>
                <w:rFonts w:ascii="Calibri" w:eastAsia="Times New Roman" w:hAnsi="Calibri" w:cs="Calibri"/>
                <w:color w:val="000000"/>
              </w:rPr>
            </w:pPr>
            <w:r w:rsidRPr="00A00510">
              <w:rPr>
                <w:rFonts w:ascii="Calibri" w:eastAsia="Times New Roman" w:hAnsi="Calibri" w:cs="Calibri"/>
                <w:color w:val="000000"/>
              </w:rPr>
              <w:t>Diagnosis</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3.996714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23.78894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3.361736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24.80392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4.147689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27.41526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5.02303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27.26901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3.265847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15.11165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3.265863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17.31087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5.079213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24.57518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lastRenderedPageBreak/>
              <w:t>4.267435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24.56893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3.030526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24.57524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4.04256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40</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3.036582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24.85445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3.03427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27.67783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3.741962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26.77001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1.58672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25.25696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1.775082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20.42365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2.937712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25.79485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2.487169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18.13587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3.814247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20.81591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2.591976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19.57318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2.087696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22.40937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4.965649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33.57329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3.274224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12.66367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3.567528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25.4313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2.075252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13.93642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2.955617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19.64034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3.610923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27.44475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2.349006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22.3214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3.875698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16.61128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2.899361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18.42348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3.208306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25.39799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2.898293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18.34817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5.352278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23.08229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3.486503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22.22786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2.442289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18.742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4.322545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32.71972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2.279156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25.1696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3.708864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11.87429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1.54033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22.93227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2.171814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18.69107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3.696861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26.26217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4.238467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18.0374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3.671368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21.42632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3.384352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24.52494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3.198896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26.32878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2.021478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15.99852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2.780156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20.32749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3.039361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19.62527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4.557122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18.73335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3.843618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30.82727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1.73696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24.02491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lastRenderedPageBreak/>
              <w:t>3.824084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15.69558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3.114918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26.58931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2.823078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32.61078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4.111676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27.16233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4.531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14.40315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4.43128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19.57883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2.660782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28.33456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3.190788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18.46165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3.831263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24.2191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4.475545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25.87317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3.020826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17.36535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3.314341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21.70237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2.393665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5.793663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2.303793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16.87806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4.312526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20.73716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4.85624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15.76108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3.42799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30.16206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4.503533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14.84929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3.861636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19.79978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2.85488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22.6537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3.861396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29.20637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5.038037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14.82069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3.464174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27.81582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5.064644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22.05117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0.880255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17.09246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4.321903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24.31052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3.587047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22.9953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3.200993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18.99892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3.591761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22.34901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1.512431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20.07343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3.280328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22.56759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3.857113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25.31065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4.977894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29.93008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2.98173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15.81092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2.691506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32.66517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2.998243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12.23956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4.415402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21.24107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3.828751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24.94159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2.97024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23.40496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4.013267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18.8865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3.597078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20.95939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4.468645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19.535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2.797947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19.05318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lastRenderedPageBreak/>
              <w:t>3.172338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26.24801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3.107892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23.78508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2.036485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18.53545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3.79612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26.498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3.761055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23.5365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3.505113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26.06431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3.265413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25.14814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0</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3.669259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8.68402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5.658709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9.759276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5.814571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14.98917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4.895445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14.44148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6.177429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11.91639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7.308102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12.46931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10.27237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17.11066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6.849156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9.633714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7.015101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14.18839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6.351108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11.19123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2.662458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11.12928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6.446972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16.39511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6.62046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15.30167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11.42648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15.25404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6.115278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17.22192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7.103095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12.08402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6.430576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14.72781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4.162644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10.75893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8.785646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13.29667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8.003866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11.47943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8.082064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12.38798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4.681225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14.38063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9.305589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8.727117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3.696298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20.36955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7.673714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7.97593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10.88091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7.143246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4.518927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16.63244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5.367405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15.16665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6.699303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14.49648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5.493049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14.51338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3.398673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11.95101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6.637126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8.410983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4.375393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12.30322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7.447185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9.291353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4.661152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15.90048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9.599869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11.41177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lastRenderedPageBreak/>
              <w:t>4.933493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8.698011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5.855877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10.71446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8.127034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13.65173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4.038271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9.745102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6.95492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8.711118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9.114286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12.97475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3.285034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12.97987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6.869268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9.972227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7.019766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10.11585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8.063646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12.9282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4.026099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6.207663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3.859087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6.370145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7.543883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9.126223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7.093969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11.14621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7.000986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13.24363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7.192896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17.90142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5.139951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15.43064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6.964507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11.36025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7.086145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11.92394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5.071297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7.989883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10.23155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11.92595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7.447666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10.84537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4.117393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13.29087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7.813107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8.691076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4.550637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14.07739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8.074169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18.13096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8.817191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11.56496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4.858635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13.60685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8.426752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14.76058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7.325562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10.39512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8.14412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12.89637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10.29359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12.05037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6.009224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12.3907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4.992528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8.907961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4.720971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12.09804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4.868379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13.99199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6.345797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17.80457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7.182304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15.83708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7.053382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20.61273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8.154366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8.93061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6.526004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15.48928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9.407068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12.73337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5.970686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20.75921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lastRenderedPageBreak/>
              <w:t>11.94034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8.766807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7.751335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8.641113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4.785685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9.602429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4.358215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3.504417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7.464945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9.89698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6.053074</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8.963469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7.928001</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12.60158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7.446475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13.36702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6.354342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19.50468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4.806413</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15.8017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3.470306</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9.692385</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5.60697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8.406341</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8.212798</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13.96768</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6.928187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6.719067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4.008522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19.32584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6.846362</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16.71776</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7.270635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10.1233</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4.732285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5.147462</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6.80745</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17.41549</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6.616417</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11.54184</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r w:rsidR="00064632" w:rsidRPr="00A00510" w:rsidTr="002B16D4">
        <w:trPr>
          <w:trHeight w:val="288"/>
        </w:trPr>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4.214059</w:t>
            </w:r>
          </w:p>
        </w:tc>
        <w:tc>
          <w:tcPr>
            <w:tcW w:w="1036"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16.95127</w:t>
            </w:r>
          </w:p>
        </w:tc>
        <w:tc>
          <w:tcPr>
            <w:tcW w:w="960" w:type="dxa"/>
            <w:shd w:val="clear" w:color="auto" w:fill="auto"/>
            <w:noWrap/>
            <w:vAlign w:val="bottom"/>
            <w:hideMark/>
          </w:tcPr>
          <w:p w:rsidR="00064632" w:rsidRPr="00A00510" w:rsidRDefault="00064632" w:rsidP="00BC05C1">
            <w:pPr>
              <w:spacing w:after="0" w:line="240" w:lineRule="auto"/>
              <w:jc w:val="right"/>
              <w:rPr>
                <w:rFonts w:ascii="Calibri" w:eastAsia="Times New Roman" w:hAnsi="Calibri" w:cs="Calibri"/>
                <w:color w:val="000000"/>
              </w:rPr>
            </w:pPr>
            <w:r w:rsidRPr="00A00510">
              <w:rPr>
                <w:rFonts w:ascii="Calibri" w:eastAsia="Times New Roman" w:hAnsi="Calibri" w:cs="Calibri"/>
                <w:color w:val="000000"/>
              </w:rPr>
              <w:t>1</w:t>
            </w:r>
          </w:p>
        </w:tc>
      </w:tr>
    </w:tbl>
    <w:p w:rsidR="00064632" w:rsidRDefault="00064632" w:rsidP="00852445"/>
    <w:p w:rsidR="006E3E95" w:rsidRDefault="00C87B6B" w:rsidP="00413500">
      <w:pPr>
        <w:jc w:val="both"/>
      </w:pPr>
      <w:r w:rsidRPr="00413500">
        <w:rPr>
          <w:rFonts w:asciiTheme="majorBidi" w:hAnsiTheme="majorBidi" w:cstheme="majorBidi"/>
          <w:b/>
          <w:bCs/>
          <w:sz w:val="24"/>
          <w:szCs w:val="24"/>
        </w:rPr>
        <w:t>Appendix J:</w:t>
      </w:r>
      <w:r w:rsidR="006E3E95" w:rsidRPr="006E3E95">
        <w:rPr>
          <w:rFonts w:asciiTheme="majorBidi" w:hAnsiTheme="majorBidi" w:cstheme="majorBidi"/>
          <w:sz w:val="24"/>
          <w:szCs w:val="24"/>
        </w:rPr>
        <w:t xml:space="preserve"> </w:t>
      </w:r>
      <w:r w:rsidR="006E3E95" w:rsidRPr="006E3E95">
        <w:rPr>
          <w:rStyle w:val="a4"/>
          <w:rFonts w:asciiTheme="majorBidi" w:hAnsiTheme="majorBidi" w:cstheme="majorBidi"/>
          <w:sz w:val="24"/>
          <w:szCs w:val="24"/>
        </w:rPr>
        <w:t>Calibration Metrics Across Epistemic Zones (n = 200</w:t>
      </w:r>
      <w:proofErr w:type="gramStart"/>
      <w:r w:rsidR="006E3E95" w:rsidRPr="006E3E95">
        <w:rPr>
          <w:rStyle w:val="a4"/>
          <w:rFonts w:asciiTheme="majorBidi" w:hAnsiTheme="majorBidi" w:cstheme="majorBidi"/>
          <w:sz w:val="24"/>
          <w:szCs w:val="24"/>
        </w:rPr>
        <w:t>)</w:t>
      </w:r>
      <w:proofErr w:type="gramEnd"/>
      <w:r w:rsidR="006E3E95">
        <w:br/>
      </w:r>
      <w:r w:rsidR="006E3E95" w:rsidRPr="00413500">
        <w:rPr>
          <w:rStyle w:val="a7"/>
          <w:rFonts w:asciiTheme="majorBidi" w:hAnsiTheme="majorBidi" w:cstheme="majorBidi"/>
          <w:i w:val="0"/>
          <w:iCs w:val="0"/>
        </w:rPr>
        <w:t>This table presents zone-specific calibration outcomes for the prostate cancer classification model, based on a dataset of 200 cases evenly distributed across five epistemic zones. Mean predicted probabilities are compared with observed positive rates, and Brier Scores quantify the squared prediction error within each zone</w:t>
      </w:r>
      <w:r w:rsidR="006E3E95" w:rsidRPr="006E3E95">
        <w:rPr>
          <w:rStyle w:val="a7"/>
          <w:rFonts w:asciiTheme="majorBidi" w:hAnsiTheme="majorBidi" w:cstheme="majorBidi"/>
          <w:i w:val="0"/>
          <w:iCs w:val="0"/>
          <w:sz w:val="24"/>
          <w:szCs w:val="24"/>
        </w:rPr>
        <w:t>.</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300"/>
        <w:gridCol w:w="2913"/>
        <w:gridCol w:w="2447"/>
        <w:gridCol w:w="1255"/>
      </w:tblGrid>
      <w:tr w:rsidR="006E3E95" w:rsidRPr="006E3E95" w:rsidTr="006E3E95">
        <w:trPr>
          <w:tblHeader/>
          <w:tblCellSpacing w:w="15" w:type="dxa"/>
        </w:trPr>
        <w:tc>
          <w:tcPr>
            <w:tcW w:w="0" w:type="auto"/>
            <w:vAlign w:val="center"/>
            <w:hideMark/>
          </w:tcPr>
          <w:p w:rsidR="006E3E95" w:rsidRPr="006E3E95" w:rsidRDefault="006E3E95" w:rsidP="006E3E95">
            <w:pPr>
              <w:spacing w:after="0" w:line="240" w:lineRule="auto"/>
              <w:jc w:val="center"/>
              <w:rPr>
                <w:rFonts w:ascii="Times New Roman" w:eastAsia="Times New Roman" w:hAnsi="Times New Roman" w:cs="Times New Roman"/>
                <w:b/>
                <w:bCs/>
                <w:sz w:val="24"/>
                <w:szCs w:val="24"/>
              </w:rPr>
            </w:pPr>
            <w:r w:rsidRPr="006E3E95">
              <w:rPr>
                <w:rFonts w:ascii="Times New Roman" w:eastAsia="Times New Roman" w:hAnsi="Times New Roman" w:cs="Times New Roman"/>
                <w:b/>
                <w:bCs/>
                <w:sz w:val="24"/>
                <w:szCs w:val="24"/>
              </w:rPr>
              <w:t>Zone</w:t>
            </w:r>
          </w:p>
        </w:tc>
        <w:tc>
          <w:tcPr>
            <w:tcW w:w="0" w:type="auto"/>
            <w:vAlign w:val="center"/>
            <w:hideMark/>
          </w:tcPr>
          <w:p w:rsidR="006E3E95" w:rsidRPr="006E3E95" w:rsidRDefault="006E3E95" w:rsidP="006E3E95">
            <w:pPr>
              <w:spacing w:after="0" w:line="240" w:lineRule="auto"/>
              <w:jc w:val="center"/>
              <w:rPr>
                <w:rFonts w:ascii="Times New Roman" w:eastAsia="Times New Roman" w:hAnsi="Times New Roman" w:cs="Times New Roman"/>
                <w:b/>
                <w:bCs/>
                <w:sz w:val="24"/>
                <w:szCs w:val="24"/>
              </w:rPr>
            </w:pPr>
            <w:r w:rsidRPr="006E3E95">
              <w:rPr>
                <w:rFonts w:ascii="Times New Roman" w:eastAsia="Times New Roman" w:hAnsi="Times New Roman" w:cs="Times New Roman"/>
                <w:b/>
                <w:bCs/>
                <w:sz w:val="24"/>
                <w:szCs w:val="24"/>
              </w:rPr>
              <w:t>n</w:t>
            </w:r>
          </w:p>
        </w:tc>
        <w:tc>
          <w:tcPr>
            <w:tcW w:w="0" w:type="auto"/>
            <w:vAlign w:val="center"/>
            <w:hideMark/>
          </w:tcPr>
          <w:p w:rsidR="006E3E95" w:rsidRPr="006E3E95" w:rsidRDefault="006E3E95" w:rsidP="006E3E95">
            <w:pPr>
              <w:spacing w:after="0" w:line="240" w:lineRule="auto"/>
              <w:jc w:val="center"/>
              <w:rPr>
                <w:rFonts w:ascii="Times New Roman" w:eastAsia="Times New Roman" w:hAnsi="Times New Roman" w:cs="Times New Roman"/>
                <w:b/>
                <w:bCs/>
                <w:sz w:val="24"/>
                <w:szCs w:val="24"/>
              </w:rPr>
            </w:pPr>
            <w:r w:rsidRPr="006E3E95">
              <w:rPr>
                <w:rFonts w:ascii="Times New Roman" w:eastAsia="Times New Roman" w:hAnsi="Times New Roman" w:cs="Times New Roman"/>
                <w:b/>
                <w:bCs/>
                <w:sz w:val="24"/>
                <w:szCs w:val="24"/>
              </w:rPr>
              <w:t>Mean Predicted Probability</w:t>
            </w:r>
          </w:p>
        </w:tc>
        <w:tc>
          <w:tcPr>
            <w:tcW w:w="0" w:type="auto"/>
            <w:vAlign w:val="center"/>
            <w:hideMark/>
          </w:tcPr>
          <w:p w:rsidR="006E3E95" w:rsidRPr="006E3E95" w:rsidRDefault="006E3E95" w:rsidP="006E3E95">
            <w:pPr>
              <w:spacing w:after="0" w:line="240" w:lineRule="auto"/>
              <w:jc w:val="center"/>
              <w:rPr>
                <w:rFonts w:ascii="Times New Roman" w:eastAsia="Times New Roman" w:hAnsi="Times New Roman" w:cs="Times New Roman"/>
                <w:b/>
                <w:bCs/>
                <w:sz w:val="24"/>
                <w:szCs w:val="24"/>
              </w:rPr>
            </w:pPr>
            <w:r w:rsidRPr="006E3E95">
              <w:rPr>
                <w:rFonts w:ascii="Times New Roman" w:eastAsia="Times New Roman" w:hAnsi="Times New Roman" w:cs="Times New Roman"/>
                <w:b/>
                <w:bCs/>
                <w:sz w:val="24"/>
                <w:szCs w:val="24"/>
              </w:rPr>
              <w:t>Observed Positive Rate</w:t>
            </w:r>
          </w:p>
        </w:tc>
        <w:tc>
          <w:tcPr>
            <w:tcW w:w="0" w:type="auto"/>
            <w:vAlign w:val="center"/>
            <w:hideMark/>
          </w:tcPr>
          <w:p w:rsidR="006E3E95" w:rsidRPr="006E3E95" w:rsidRDefault="006E3E95" w:rsidP="006E3E95">
            <w:pPr>
              <w:spacing w:after="0" w:line="240" w:lineRule="auto"/>
              <w:jc w:val="center"/>
              <w:rPr>
                <w:rFonts w:ascii="Times New Roman" w:eastAsia="Times New Roman" w:hAnsi="Times New Roman" w:cs="Times New Roman"/>
                <w:b/>
                <w:bCs/>
                <w:sz w:val="24"/>
                <w:szCs w:val="24"/>
              </w:rPr>
            </w:pPr>
            <w:r w:rsidRPr="006E3E95">
              <w:rPr>
                <w:rFonts w:ascii="Times New Roman" w:eastAsia="Times New Roman" w:hAnsi="Times New Roman" w:cs="Times New Roman"/>
                <w:b/>
                <w:bCs/>
                <w:sz w:val="24"/>
                <w:szCs w:val="24"/>
              </w:rPr>
              <w:t>Brier Score</w:t>
            </w:r>
          </w:p>
        </w:tc>
      </w:tr>
      <w:tr w:rsidR="006E3E95" w:rsidRPr="006E3E95" w:rsidTr="006E3E95">
        <w:trPr>
          <w:tblCellSpacing w:w="15" w:type="dxa"/>
        </w:trPr>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Recessive</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40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0.7264</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0.000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0.5287</w:t>
            </w:r>
          </w:p>
        </w:tc>
      </w:tr>
      <w:tr w:rsidR="006E3E95" w:rsidRPr="006E3E95" w:rsidTr="006E3E95">
        <w:trPr>
          <w:tblCellSpacing w:w="15" w:type="dxa"/>
        </w:trPr>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Lower Plausible</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40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0.7889</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0.125</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0.5478</w:t>
            </w:r>
          </w:p>
        </w:tc>
      </w:tr>
      <w:tr w:rsidR="006E3E95" w:rsidRPr="006E3E95" w:rsidTr="006E3E95">
        <w:trPr>
          <w:tblCellSpacing w:w="15" w:type="dxa"/>
        </w:trPr>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Trusted</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40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0.8343</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0.525</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0.3416</w:t>
            </w:r>
          </w:p>
        </w:tc>
      </w:tr>
      <w:tr w:rsidR="006E3E95" w:rsidRPr="006E3E95" w:rsidTr="006E3E95">
        <w:trPr>
          <w:tblCellSpacing w:w="15" w:type="dxa"/>
        </w:trPr>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Upper Plausible</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40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0.8709</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0.875</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0.1092</w:t>
            </w:r>
          </w:p>
        </w:tc>
      </w:tr>
      <w:tr w:rsidR="006E3E95" w:rsidRPr="006E3E95" w:rsidTr="006E3E95">
        <w:trPr>
          <w:tblCellSpacing w:w="15" w:type="dxa"/>
        </w:trPr>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Inflated</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40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0.9110</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0.975</w:t>
            </w:r>
          </w:p>
        </w:tc>
        <w:tc>
          <w:tcPr>
            <w:tcW w:w="0" w:type="auto"/>
            <w:vAlign w:val="center"/>
            <w:hideMark/>
          </w:tcPr>
          <w:p w:rsidR="006E3E95" w:rsidRPr="006E3E95" w:rsidRDefault="006E3E95" w:rsidP="006E3E95">
            <w:pPr>
              <w:spacing w:after="0" w:line="240" w:lineRule="auto"/>
              <w:rPr>
                <w:rFonts w:ascii="Times New Roman" w:eastAsia="Times New Roman" w:hAnsi="Times New Roman" w:cs="Times New Roman"/>
                <w:sz w:val="24"/>
                <w:szCs w:val="24"/>
              </w:rPr>
            </w:pPr>
            <w:r w:rsidRPr="006E3E95">
              <w:rPr>
                <w:rFonts w:ascii="Times New Roman" w:eastAsia="Times New Roman" w:hAnsi="Times New Roman" w:cs="Times New Roman"/>
                <w:sz w:val="24"/>
                <w:szCs w:val="24"/>
              </w:rPr>
              <w:t>0.0303</w:t>
            </w:r>
          </w:p>
        </w:tc>
      </w:tr>
    </w:tbl>
    <w:p w:rsidR="007A2C9F" w:rsidRDefault="007A2C9F" w:rsidP="00EB79D9"/>
    <w:p w:rsidR="007A2C9F" w:rsidRDefault="00064032" w:rsidP="00064032">
      <w:r w:rsidRPr="006E3E95">
        <w:rPr>
          <w:rFonts w:asciiTheme="majorBidi" w:hAnsiTheme="majorBidi" w:cstheme="majorBidi"/>
          <w:sz w:val="24"/>
          <w:szCs w:val="24"/>
        </w:rPr>
        <w:t>Append</w:t>
      </w:r>
      <w:r>
        <w:rPr>
          <w:rFonts w:asciiTheme="majorBidi" w:hAnsiTheme="majorBidi" w:cstheme="majorBidi"/>
          <w:sz w:val="24"/>
          <w:szCs w:val="24"/>
        </w:rPr>
        <w:t>ix K</w:t>
      </w:r>
      <w:proofErr w:type="gramStart"/>
      <w:r>
        <w:rPr>
          <w:rFonts w:asciiTheme="majorBidi" w:hAnsiTheme="majorBidi" w:cstheme="majorBidi"/>
          <w:sz w:val="24"/>
          <w:szCs w:val="24"/>
        </w:rPr>
        <w:t>:</w:t>
      </w:r>
      <w:r w:rsidR="007A2C9F">
        <w:t>Zone</w:t>
      </w:r>
      <w:proofErr w:type="gramEnd"/>
      <w:r w:rsidR="007A2C9F">
        <w:t>-Stratified Calibration Plots (Reliability Diagrams)</w:t>
      </w:r>
    </w:p>
    <w:p w:rsidR="00064032" w:rsidRDefault="00064032" w:rsidP="0082587E">
      <w:pPr>
        <w:spacing w:before="100" w:beforeAutospacing="1" w:after="100" w:afterAutospacing="1" w:line="240" w:lineRule="auto"/>
        <w:jc w:val="both"/>
        <w:rPr>
          <w:rStyle w:val="a7"/>
          <w:rFonts w:asciiTheme="majorBidi" w:hAnsiTheme="majorBidi" w:cstheme="majorBidi"/>
        </w:rPr>
      </w:pPr>
      <w:r>
        <w:rPr>
          <w:rFonts w:ascii="Times New Roman" w:eastAsia="Times New Roman" w:hAnsi="Times New Roman" w:cs="Times New Roman"/>
          <w:noProof/>
          <w:sz w:val="24"/>
          <w:szCs w:val="24"/>
        </w:rPr>
        <w:lastRenderedPageBreak/>
        <w:drawing>
          <wp:inline distT="0" distB="0" distL="0" distR="0" wp14:anchorId="487D7181" wp14:editId="0F78436C">
            <wp:extent cx="5943600" cy="5225410"/>
            <wp:effectExtent l="0" t="0" r="0" b="0"/>
            <wp:docPr id="5" name="صورة 5" descr="C:\Users\ZBOOK\Downloads\output (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BOOK\Downloads\output (5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225410"/>
                    </a:xfrm>
                    <a:prstGeom prst="rect">
                      <a:avLst/>
                    </a:prstGeom>
                    <a:noFill/>
                    <a:ln>
                      <a:noFill/>
                    </a:ln>
                  </pic:spPr>
                </pic:pic>
              </a:graphicData>
            </a:graphic>
          </wp:inline>
        </w:drawing>
      </w:r>
      <w:r>
        <w:br/>
      </w:r>
      <w:proofErr w:type="gramStart"/>
      <w:r w:rsidR="0082587E" w:rsidRPr="0082587E">
        <w:rPr>
          <w:rFonts w:asciiTheme="majorBidi" w:hAnsiTheme="majorBidi" w:cstheme="majorBidi"/>
          <w:b/>
          <w:bCs/>
          <w:sz w:val="24"/>
          <w:szCs w:val="24"/>
        </w:rPr>
        <w:t>Appendix K, Fig.</w:t>
      </w:r>
      <w:proofErr w:type="gramEnd"/>
      <w:r w:rsidR="0082587E" w:rsidRPr="0082587E">
        <w:rPr>
          <w:rFonts w:asciiTheme="majorBidi" w:hAnsiTheme="majorBidi" w:cstheme="majorBidi"/>
          <w:b/>
          <w:bCs/>
          <w:sz w:val="24"/>
          <w:szCs w:val="24"/>
        </w:rPr>
        <w:t xml:space="preserve"> </w:t>
      </w:r>
      <w:proofErr w:type="gramStart"/>
      <w:r w:rsidR="0082587E" w:rsidRPr="0082587E">
        <w:rPr>
          <w:rFonts w:asciiTheme="majorBidi" w:hAnsiTheme="majorBidi" w:cstheme="majorBidi"/>
          <w:b/>
          <w:bCs/>
          <w:sz w:val="24"/>
          <w:szCs w:val="24"/>
        </w:rPr>
        <w:t>K1.</w:t>
      </w:r>
      <w:r w:rsidR="000B2FD5" w:rsidRPr="0082587E">
        <w:rPr>
          <w:rStyle w:val="a7"/>
          <w:rFonts w:asciiTheme="majorBidi" w:hAnsiTheme="majorBidi" w:cstheme="majorBidi"/>
          <w:b/>
          <w:bCs/>
          <w:i w:val="0"/>
          <w:iCs w:val="0"/>
          <w:sz w:val="24"/>
          <w:szCs w:val="24"/>
        </w:rPr>
        <w:t>:</w:t>
      </w:r>
      <w:proofErr w:type="gramEnd"/>
      <w:r w:rsidR="000B2FD5" w:rsidRPr="0082587E">
        <w:rPr>
          <w:rStyle w:val="a7"/>
          <w:rFonts w:asciiTheme="majorBidi" w:hAnsiTheme="majorBidi" w:cstheme="majorBidi"/>
          <w:b/>
          <w:bCs/>
          <w:i w:val="0"/>
          <w:iCs w:val="0"/>
          <w:sz w:val="24"/>
          <w:szCs w:val="24"/>
        </w:rPr>
        <w:t xml:space="preserve"> </w:t>
      </w:r>
      <w:r w:rsidRPr="0082587E">
        <w:rPr>
          <w:rStyle w:val="a7"/>
          <w:rFonts w:asciiTheme="majorBidi" w:hAnsiTheme="majorBidi" w:cstheme="majorBidi"/>
          <w:b/>
          <w:bCs/>
          <w:i w:val="0"/>
          <w:iCs w:val="0"/>
          <w:sz w:val="24"/>
          <w:szCs w:val="24"/>
        </w:rPr>
        <w:t>Zone-Specific Calibration Curve for Simulated Prostate Cancer Data</w:t>
      </w:r>
      <w:r w:rsidRPr="0082587E">
        <w:rPr>
          <w:i/>
          <w:iCs/>
        </w:rPr>
        <w:br/>
      </w:r>
      <w:r w:rsidRPr="00413500">
        <w:rPr>
          <w:rStyle w:val="a7"/>
          <w:rFonts w:asciiTheme="majorBidi" w:hAnsiTheme="majorBidi" w:cstheme="majorBidi"/>
        </w:rPr>
        <w:t>Calibration plot comparing predicted probabilities to observed prostate cancer rates across PSA-based diagnostic zones in the second simulated sample. The curve closely aligns with the diagonal reference line representing perfect calibration, indicating strong agreement between predicted and actual outcomes. Zone-specific calibration reveals that this alignment holds consistently across low, intermediate, and high predicted risk strata, supporting the model’s reliability beyond global metrics.</w:t>
      </w:r>
    </w:p>
    <w:p w:rsidR="00413500" w:rsidRDefault="00413500" w:rsidP="0082587E">
      <w:pPr>
        <w:spacing w:before="100" w:beforeAutospacing="1" w:after="100" w:afterAutospacing="1" w:line="240" w:lineRule="auto"/>
        <w:jc w:val="both"/>
        <w:rPr>
          <w:rStyle w:val="a7"/>
          <w:rFonts w:asciiTheme="majorBidi" w:hAnsiTheme="majorBidi" w:cstheme="majorBidi"/>
        </w:rPr>
      </w:pPr>
    </w:p>
    <w:p w:rsidR="001A3054" w:rsidRPr="001A3054" w:rsidRDefault="001A3054" w:rsidP="001A3054">
      <w:pPr>
        <w:spacing w:before="100" w:beforeAutospacing="1" w:after="100" w:afterAutospacing="1" w:line="240" w:lineRule="auto"/>
        <w:jc w:val="both"/>
        <w:rPr>
          <w:rFonts w:ascii="Calibri" w:eastAsia="Times New Roman" w:hAnsi="Calibri" w:cs="Calibri"/>
          <w:b/>
          <w:bCs/>
          <w:color w:val="000000"/>
          <w:sz w:val="24"/>
          <w:szCs w:val="24"/>
        </w:rPr>
      </w:pPr>
      <w:proofErr w:type="spellStart"/>
      <w:r w:rsidRPr="001A3054">
        <w:rPr>
          <w:b/>
          <w:bCs/>
          <w:sz w:val="24"/>
          <w:szCs w:val="24"/>
        </w:rPr>
        <w:t>Appenix</w:t>
      </w:r>
      <w:proofErr w:type="spellEnd"/>
      <w:r w:rsidRPr="001A3054">
        <w:rPr>
          <w:b/>
          <w:bCs/>
          <w:sz w:val="24"/>
          <w:szCs w:val="24"/>
        </w:rPr>
        <w:t xml:space="preserve"> </w:t>
      </w:r>
      <w:proofErr w:type="spellStart"/>
      <w:r w:rsidRPr="001A3054">
        <w:rPr>
          <w:b/>
          <w:bCs/>
          <w:sz w:val="24"/>
          <w:szCs w:val="24"/>
        </w:rPr>
        <w:t>L</w:t>
      </w:r>
      <w:proofErr w:type="gramStart"/>
      <w:r w:rsidRPr="001A3054">
        <w:rPr>
          <w:b/>
          <w:bCs/>
          <w:sz w:val="24"/>
          <w:szCs w:val="24"/>
        </w:rPr>
        <w:t>,Table</w:t>
      </w:r>
      <w:proofErr w:type="spellEnd"/>
      <w:proofErr w:type="gramEnd"/>
      <w:r w:rsidRPr="001A3054">
        <w:rPr>
          <w:b/>
          <w:bCs/>
          <w:sz w:val="24"/>
          <w:szCs w:val="24"/>
        </w:rPr>
        <w:t xml:space="preserve"> L1. </w:t>
      </w:r>
      <w:r w:rsidRPr="001A3054">
        <w:rPr>
          <w:rFonts w:ascii="Calibri" w:eastAsia="Times New Roman" w:hAnsi="Calibri" w:cs="Calibri"/>
          <w:b/>
          <w:bCs/>
          <w:color w:val="000000"/>
          <w:sz w:val="24"/>
          <w:szCs w:val="24"/>
        </w:rPr>
        <w:t>Brier score foe simulated example 2</w:t>
      </w:r>
    </w:p>
    <w:p w:rsidR="00413500" w:rsidRDefault="001A3054" w:rsidP="001A3054">
      <w:pPr>
        <w:spacing w:before="100" w:beforeAutospacing="1" w:after="100" w:afterAutospacing="1" w:line="240" w:lineRule="auto"/>
        <w:jc w:val="both"/>
        <w:rPr>
          <w:rStyle w:val="a7"/>
        </w:rPr>
      </w:pPr>
      <w:r>
        <w:t xml:space="preserve"> Zone-wise sample size (n), predicted probability by zone (</w:t>
      </w:r>
      <w:proofErr w:type="spellStart"/>
      <w:r>
        <w:t>p_z</w:t>
      </w:r>
      <w:proofErr w:type="spellEnd"/>
      <w:r>
        <w:t>), observed event rate (</w:t>
      </w:r>
      <w:proofErr w:type="spellStart"/>
      <w:r>
        <w:t>obs_rate</w:t>
      </w:r>
      <w:proofErr w:type="spellEnd"/>
      <w:r>
        <w:t>), and zone-specific Brier score (</w:t>
      </w:r>
      <w:proofErr w:type="spellStart"/>
      <w:r>
        <w:t>Brier_z</w:t>
      </w:r>
      <w:proofErr w:type="spellEnd"/>
      <w:r>
        <w:t>) under SE-adjusted RAMI stratification. Results show decreasing Brier scores toward high-confidence zones, with lowest error in the Inflated Zone (IZ) and highest error in the Lower Plausible Zone (LPZ). Overall Brier score = 0.261.</w:t>
      </w:r>
    </w:p>
    <w:tbl>
      <w:tblPr>
        <w:tblW w:w="6461" w:type="dxa"/>
        <w:tblInd w:w="93" w:type="dxa"/>
        <w:tblBorders>
          <w:insideH w:val="single" w:sz="4" w:space="0" w:color="auto"/>
        </w:tblBorders>
        <w:tblLook w:val="04A0" w:firstRow="1" w:lastRow="0" w:firstColumn="1" w:lastColumn="0" w:noHBand="0" w:noVBand="1"/>
      </w:tblPr>
      <w:tblGrid>
        <w:gridCol w:w="960"/>
        <w:gridCol w:w="1661"/>
        <w:gridCol w:w="960"/>
        <w:gridCol w:w="960"/>
        <w:gridCol w:w="1053"/>
        <w:gridCol w:w="1053"/>
      </w:tblGrid>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p>
        </w:tc>
        <w:tc>
          <w:tcPr>
            <w:tcW w:w="1661"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r w:rsidRPr="000B2FD5">
              <w:rPr>
                <w:rFonts w:ascii="Calibri" w:eastAsia="Times New Roman" w:hAnsi="Calibri" w:cs="Calibri"/>
                <w:color w:val="000000"/>
              </w:rPr>
              <w:t>Zone</w:t>
            </w:r>
          </w:p>
        </w:tc>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r w:rsidRPr="000B2FD5">
              <w:rPr>
                <w:rFonts w:ascii="Calibri" w:eastAsia="Times New Roman" w:hAnsi="Calibri" w:cs="Calibri"/>
                <w:color w:val="000000"/>
              </w:rPr>
              <w:t>n</w:t>
            </w:r>
          </w:p>
        </w:tc>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proofErr w:type="spellStart"/>
            <w:r w:rsidRPr="000B2FD5">
              <w:rPr>
                <w:rFonts w:ascii="Calibri" w:eastAsia="Times New Roman" w:hAnsi="Calibri" w:cs="Calibri"/>
                <w:color w:val="000000"/>
              </w:rPr>
              <w:t>p_z</w:t>
            </w:r>
            <w:proofErr w:type="spellEnd"/>
          </w:p>
        </w:tc>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proofErr w:type="spellStart"/>
            <w:r w:rsidRPr="000B2FD5">
              <w:rPr>
                <w:rFonts w:ascii="Calibri" w:eastAsia="Times New Roman" w:hAnsi="Calibri" w:cs="Calibri"/>
                <w:color w:val="000000"/>
              </w:rPr>
              <w:t>obs_rate</w:t>
            </w:r>
            <w:proofErr w:type="spellEnd"/>
          </w:p>
        </w:tc>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proofErr w:type="spellStart"/>
            <w:r w:rsidRPr="000B2FD5">
              <w:rPr>
                <w:rFonts w:ascii="Calibri" w:eastAsia="Times New Roman" w:hAnsi="Calibri" w:cs="Calibri"/>
                <w:color w:val="000000"/>
              </w:rPr>
              <w:t>Brier_z</w:t>
            </w:r>
            <w:proofErr w:type="spellEnd"/>
          </w:p>
        </w:tc>
      </w:tr>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w:t>
            </w:r>
          </w:p>
        </w:tc>
        <w:tc>
          <w:tcPr>
            <w:tcW w:w="1661"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r w:rsidRPr="000B2FD5">
              <w:rPr>
                <w:rFonts w:ascii="Calibri" w:eastAsia="Times New Roman" w:hAnsi="Calibri" w:cs="Calibri"/>
                <w:color w:val="000000"/>
              </w:rPr>
              <w:t>RZ (&lt;5)</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120</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0.05</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0.291667</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0.265</w:t>
            </w:r>
          </w:p>
        </w:tc>
      </w:tr>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1</w:t>
            </w:r>
          </w:p>
        </w:tc>
        <w:tc>
          <w:tcPr>
            <w:tcW w:w="1661" w:type="dxa"/>
            <w:shd w:val="clear" w:color="auto" w:fill="auto"/>
            <w:noWrap/>
            <w:vAlign w:val="bottom"/>
            <w:hideMark/>
          </w:tcPr>
          <w:p w:rsidR="000B2FD5" w:rsidRPr="000B2FD5" w:rsidRDefault="000B2FD5" w:rsidP="00DD23F8">
            <w:pPr>
              <w:spacing w:after="0" w:line="240" w:lineRule="auto"/>
              <w:rPr>
                <w:rFonts w:ascii="Calibri" w:eastAsia="Times New Roman" w:hAnsi="Calibri" w:cs="Calibri"/>
                <w:color w:val="000000"/>
              </w:rPr>
            </w:pPr>
            <w:r w:rsidRPr="000B2FD5">
              <w:rPr>
                <w:rFonts w:ascii="Calibri" w:eastAsia="Times New Roman" w:hAnsi="Calibri" w:cs="Calibri"/>
                <w:color w:val="000000"/>
              </w:rPr>
              <w:t>LPZ (5</w:t>
            </w:r>
            <w:r w:rsidR="00DD23F8">
              <w:rPr>
                <w:rFonts w:ascii="Calibri" w:eastAsia="Times New Roman" w:hAnsi="Calibri" w:cs="Calibri"/>
                <w:color w:val="000000"/>
              </w:rPr>
              <w:t>-</w:t>
            </w:r>
            <w:r w:rsidRPr="000B2FD5">
              <w:rPr>
                <w:rFonts w:ascii="Calibri" w:eastAsia="Times New Roman" w:hAnsi="Calibri" w:cs="Calibri"/>
                <w:color w:val="000000"/>
              </w:rPr>
              <w:t>20)</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126</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0.2</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0.47619</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0.325714</w:t>
            </w:r>
          </w:p>
        </w:tc>
      </w:tr>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2</w:t>
            </w:r>
          </w:p>
        </w:tc>
        <w:tc>
          <w:tcPr>
            <w:tcW w:w="1661" w:type="dxa"/>
            <w:shd w:val="clear" w:color="auto" w:fill="auto"/>
            <w:noWrap/>
            <w:vAlign w:val="bottom"/>
            <w:hideMark/>
          </w:tcPr>
          <w:p w:rsidR="000B2FD5" w:rsidRPr="000B2FD5" w:rsidRDefault="000B2FD5" w:rsidP="00DD23F8">
            <w:pPr>
              <w:spacing w:after="0" w:line="240" w:lineRule="auto"/>
              <w:rPr>
                <w:rFonts w:ascii="Calibri" w:eastAsia="Times New Roman" w:hAnsi="Calibri" w:cs="Calibri"/>
                <w:color w:val="000000"/>
              </w:rPr>
            </w:pPr>
            <w:r w:rsidRPr="000B2FD5">
              <w:rPr>
                <w:rFonts w:ascii="Calibri" w:eastAsia="Times New Roman" w:hAnsi="Calibri" w:cs="Calibri"/>
                <w:color w:val="000000"/>
              </w:rPr>
              <w:t>TZ (20</w:t>
            </w:r>
            <w:r w:rsidR="00DD23F8">
              <w:rPr>
                <w:rFonts w:ascii="Calibri" w:eastAsia="Times New Roman" w:hAnsi="Calibri" w:cs="Calibri"/>
                <w:color w:val="000000"/>
              </w:rPr>
              <w:t>-</w:t>
            </w:r>
            <w:r w:rsidRPr="000B2FD5">
              <w:rPr>
                <w:rFonts w:ascii="Calibri" w:eastAsia="Times New Roman" w:hAnsi="Calibri" w:cs="Calibri"/>
                <w:color w:val="000000"/>
              </w:rPr>
              <w:t>200)</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106</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0.6</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0.707547</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0.218491</w:t>
            </w:r>
          </w:p>
        </w:tc>
      </w:tr>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3</w:t>
            </w:r>
          </w:p>
        </w:tc>
        <w:tc>
          <w:tcPr>
            <w:tcW w:w="1661" w:type="dxa"/>
            <w:shd w:val="clear" w:color="auto" w:fill="auto"/>
            <w:noWrap/>
            <w:vAlign w:val="bottom"/>
            <w:hideMark/>
          </w:tcPr>
          <w:p w:rsidR="000B2FD5" w:rsidRPr="000B2FD5" w:rsidRDefault="000B2FD5" w:rsidP="00DD23F8">
            <w:pPr>
              <w:spacing w:after="0" w:line="240" w:lineRule="auto"/>
              <w:rPr>
                <w:rFonts w:ascii="Calibri" w:eastAsia="Times New Roman" w:hAnsi="Calibri" w:cs="Calibri"/>
                <w:color w:val="000000"/>
              </w:rPr>
            </w:pPr>
            <w:r w:rsidRPr="000B2FD5">
              <w:rPr>
                <w:rFonts w:ascii="Calibri" w:eastAsia="Times New Roman" w:hAnsi="Calibri" w:cs="Calibri"/>
                <w:color w:val="000000"/>
              </w:rPr>
              <w:t>UPZ (200</w:t>
            </w:r>
            <w:r w:rsidR="00DD23F8">
              <w:rPr>
                <w:rFonts w:ascii="Calibri" w:eastAsia="Times New Roman" w:hAnsi="Calibri" w:cs="Calibri"/>
                <w:color w:val="000000"/>
              </w:rPr>
              <w:t>-</w:t>
            </w:r>
            <w:r w:rsidRPr="000B2FD5">
              <w:rPr>
                <w:rFonts w:ascii="Calibri" w:eastAsia="Times New Roman" w:hAnsi="Calibri" w:cs="Calibri"/>
                <w:color w:val="000000"/>
              </w:rPr>
              <w:t>1000)</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37</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0.8</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0.756757</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0.185946</w:t>
            </w:r>
          </w:p>
        </w:tc>
      </w:tr>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4</w:t>
            </w:r>
          </w:p>
        </w:tc>
        <w:tc>
          <w:tcPr>
            <w:tcW w:w="1661"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r w:rsidRPr="000B2FD5">
              <w:rPr>
                <w:rFonts w:ascii="Calibri" w:eastAsia="Times New Roman" w:hAnsi="Calibri" w:cs="Calibri"/>
                <w:color w:val="000000"/>
              </w:rPr>
              <w:t>IZ (&gt;1000)</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12</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0.95</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0.833333</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0.1525</w:t>
            </w:r>
          </w:p>
        </w:tc>
      </w:tr>
      <w:tr w:rsidR="000B2FD5" w:rsidRPr="000B2FD5" w:rsidTr="00DD23F8">
        <w:trPr>
          <w:trHeight w:val="288"/>
        </w:trPr>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5</w:t>
            </w:r>
          </w:p>
        </w:tc>
        <w:tc>
          <w:tcPr>
            <w:tcW w:w="1661"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r w:rsidRPr="000B2FD5">
              <w:rPr>
                <w:rFonts w:ascii="Calibri" w:eastAsia="Times New Roman" w:hAnsi="Calibri" w:cs="Calibri"/>
                <w:color w:val="000000"/>
              </w:rPr>
              <w:t>Overall</w:t>
            </w: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401</w:t>
            </w:r>
          </w:p>
        </w:tc>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p>
        </w:tc>
        <w:tc>
          <w:tcPr>
            <w:tcW w:w="960" w:type="dxa"/>
            <w:shd w:val="clear" w:color="auto" w:fill="auto"/>
            <w:noWrap/>
            <w:vAlign w:val="bottom"/>
            <w:hideMark/>
          </w:tcPr>
          <w:p w:rsidR="000B2FD5" w:rsidRPr="000B2FD5" w:rsidRDefault="000B2FD5" w:rsidP="000B2FD5">
            <w:pPr>
              <w:spacing w:after="0" w:line="240" w:lineRule="auto"/>
              <w:rPr>
                <w:rFonts w:ascii="Calibri" w:eastAsia="Times New Roman" w:hAnsi="Calibri" w:cs="Calibri"/>
                <w:color w:val="000000"/>
              </w:rPr>
            </w:pPr>
          </w:p>
        </w:tc>
        <w:tc>
          <w:tcPr>
            <w:tcW w:w="960" w:type="dxa"/>
            <w:shd w:val="clear" w:color="auto" w:fill="auto"/>
            <w:noWrap/>
            <w:vAlign w:val="bottom"/>
            <w:hideMark/>
          </w:tcPr>
          <w:p w:rsidR="000B2FD5" w:rsidRPr="000B2FD5" w:rsidRDefault="000B2FD5" w:rsidP="000B2FD5">
            <w:pPr>
              <w:spacing w:after="0" w:line="240" w:lineRule="auto"/>
              <w:jc w:val="right"/>
              <w:rPr>
                <w:rFonts w:ascii="Calibri" w:eastAsia="Times New Roman" w:hAnsi="Calibri" w:cs="Calibri"/>
                <w:color w:val="000000"/>
              </w:rPr>
            </w:pPr>
            <w:r w:rsidRPr="000B2FD5">
              <w:rPr>
                <w:rFonts w:ascii="Calibri" w:eastAsia="Times New Roman" w:hAnsi="Calibri" w:cs="Calibri"/>
                <w:color w:val="000000"/>
              </w:rPr>
              <w:t>0.261122</w:t>
            </w:r>
          </w:p>
        </w:tc>
      </w:tr>
    </w:tbl>
    <w:p w:rsidR="001A3054" w:rsidRDefault="001A3054" w:rsidP="001A3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noProof/>
          <w:sz w:val="24"/>
          <w:szCs w:val="24"/>
        </w:rPr>
      </w:pPr>
    </w:p>
    <w:p w:rsidR="001A3054" w:rsidRDefault="00413500" w:rsidP="001A3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rPr>
      </w:pPr>
      <w:r w:rsidRPr="001A3054">
        <w:rPr>
          <w:rFonts w:asciiTheme="majorBidi" w:hAnsiTheme="majorBidi" w:cstheme="majorBidi"/>
          <w:b/>
          <w:bCs/>
        </w:rPr>
        <w:t xml:space="preserve">Appendix </w:t>
      </w:r>
      <w:proofErr w:type="spellStart"/>
      <w:r w:rsidRPr="001A3054">
        <w:rPr>
          <w:rFonts w:asciiTheme="majorBidi" w:hAnsiTheme="majorBidi" w:cstheme="majorBidi"/>
          <w:b/>
          <w:bCs/>
        </w:rPr>
        <w:t>L</w:t>
      </w:r>
      <w:proofErr w:type="gramStart"/>
      <w:r w:rsidR="001A3054" w:rsidRPr="001A3054">
        <w:rPr>
          <w:rFonts w:asciiTheme="majorBidi" w:hAnsiTheme="majorBidi" w:cstheme="majorBidi"/>
          <w:b/>
          <w:bCs/>
        </w:rPr>
        <w:t>,Table</w:t>
      </w:r>
      <w:proofErr w:type="spellEnd"/>
      <w:proofErr w:type="gramEnd"/>
      <w:r w:rsidR="001A3054" w:rsidRPr="001A3054">
        <w:rPr>
          <w:rFonts w:asciiTheme="majorBidi" w:hAnsiTheme="majorBidi" w:cstheme="majorBidi"/>
          <w:b/>
          <w:bCs/>
        </w:rPr>
        <w:t xml:space="preserve"> L2:</w:t>
      </w:r>
      <w:r w:rsidRPr="001A3054">
        <w:rPr>
          <w:rFonts w:asciiTheme="majorBidi" w:hAnsiTheme="majorBidi" w:cstheme="majorBidi"/>
          <w:b/>
          <w:bCs/>
        </w:rPr>
        <w:t xml:space="preserve"> Zone-Stratified Performance, Calibration Quality, and Diagnostic Risk Metrics for the PSA-Based Model</w:t>
      </w:r>
    </w:p>
    <w:p w:rsidR="00413500" w:rsidRPr="00413500" w:rsidRDefault="00413500" w:rsidP="001A3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rPr>
      </w:pPr>
      <w:r w:rsidRPr="00413500">
        <w:rPr>
          <w:rFonts w:asciiTheme="majorBidi" w:eastAsia="Times New Roman" w:hAnsiTheme="majorBidi" w:cstheme="majorBidi"/>
        </w:rPr>
        <w:t>This composite table summarizes zone-level performance for the PSA-based diagnostic model in the second simulated sample (n = 200). For each epistemic zone, calibration quality, net clinical benefit, expected misclassification cost (weighted FN = 5, FP = 1), and the Zone-Based Error (ZBE; mean of false positive rate and false negative rate) are reported. The results highlight substantial heterogeneity across zones—while the Trusted Zone achieved high calibration and low error, the Recessive and Lower Plausible Zones exhibited minimal benefit and high error rates, and the Inflated Zone showed an elevated false positive burden.</w:t>
      </w:r>
    </w:p>
    <w:p w:rsidR="00ED6986" w:rsidRPr="00DD23F8" w:rsidRDefault="00ED6986" w:rsidP="00DD2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rPr>
      </w:pPr>
    </w:p>
    <w:tbl>
      <w:tblPr>
        <w:tblW w:w="6045" w:type="dxa"/>
        <w:tblInd w:w="93" w:type="dxa"/>
        <w:tblBorders>
          <w:insideH w:val="single" w:sz="4" w:space="0" w:color="auto"/>
        </w:tblBorders>
        <w:tblLook w:val="04A0" w:firstRow="1" w:lastRow="0" w:firstColumn="1" w:lastColumn="0" w:noHBand="0" w:noVBand="1"/>
      </w:tblPr>
      <w:tblGrid>
        <w:gridCol w:w="1661"/>
        <w:gridCol w:w="1297"/>
        <w:gridCol w:w="1539"/>
        <w:gridCol w:w="1053"/>
        <w:gridCol w:w="960"/>
      </w:tblGrid>
      <w:tr w:rsidR="00D4000D" w:rsidRPr="00D4000D" w:rsidTr="008C6386">
        <w:trPr>
          <w:trHeight w:val="288"/>
        </w:trPr>
        <w:tc>
          <w:tcPr>
            <w:tcW w:w="166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sidRPr="00D4000D">
              <w:rPr>
                <w:rFonts w:ascii="Calibri" w:eastAsia="Times New Roman" w:hAnsi="Calibri" w:cs="Calibri"/>
                <w:color w:val="000000"/>
              </w:rPr>
              <w:t>Zone</w:t>
            </w:r>
          </w:p>
        </w:tc>
        <w:tc>
          <w:tcPr>
            <w:tcW w:w="111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proofErr w:type="spellStart"/>
            <w:r w:rsidRPr="00D4000D">
              <w:rPr>
                <w:rFonts w:ascii="Calibri" w:eastAsia="Times New Roman" w:hAnsi="Calibri" w:cs="Calibri"/>
                <w:color w:val="000000"/>
              </w:rPr>
              <w:t>Net_Benefit</w:t>
            </w:r>
            <w:proofErr w:type="spellEnd"/>
          </w:p>
        </w:tc>
        <w:tc>
          <w:tcPr>
            <w:tcW w:w="1353"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proofErr w:type="spellStart"/>
            <w:r w:rsidRPr="00D4000D">
              <w:rPr>
                <w:rFonts w:ascii="Calibri" w:eastAsia="Times New Roman" w:hAnsi="Calibri" w:cs="Calibri"/>
                <w:color w:val="000000"/>
              </w:rPr>
              <w:t>Expected_Cost</w:t>
            </w:r>
            <w:proofErr w:type="spellEnd"/>
          </w:p>
        </w:tc>
        <w:tc>
          <w:tcPr>
            <w:tcW w:w="960"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proofErr w:type="spellStart"/>
            <w:r w:rsidRPr="00D4000D">
              <w:rPr>
                <w:rFonts w:ascii="Calibri" w:eastAsia="Times New Roman" w:hAnsi="Calibri" w:cs="Calibri"/>
                <w:color w:val="000000"/>
              </w:rPr>
              <w:t>Brier_z</w:t>
            </w:r>
            <w:proofErr w:type="spellEnd"/>
          </w:p>
        </w:tc>
        <w:tc>
          <w:tcPr>
            <w:tcW w:w="960"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sidRPr="00D4000D">
              <w:rPr>
                <w:rFonts w:ascii="Calibri" w:eastAsia="Times New Roman" w:hAnsi="Calibri" w:cs="Calibri"/>
                <w:color w:val="000000"/>
              </w:rPr>
              <w:t>ZBE</w:t>
            </w:r>
          </w:p>
        </w:tc>
      </w:tr>
      <w:tr w:rsidR="00D4000D" w:rsidRPr="00D4000D" w:rsidTr="008C6386">
        <w:trPr>
          <w:trHeight w:val="288"/>
        </w:trPr>
        <w:tc>
          <w:tcPr>
            <w:tcW w:w="166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sidRPr="00D4000D">
              <w:rPr>
                <w:rFonts w:ascii="Calibri" w:eastAsia="Times New Roman" w:hAnsi="Calibri" w:cs="Calibri"/>
                <w:color w:val="000000"/>
              </w:rPr>
              <w:t>RZ (&lt;5)</w:t>
            </w:r>
          </w:p>
        </w:tc>
        <w:tc>
          <w:tcPr>
            <w:tcW w:w="1111"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0.114584</w:t>
            </w:r>
          </w:p>
        </w:tc>
        <w:tc>
          <w:tcPr>
            <w:tcW w:w="1353"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433.4998</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0.265</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1</w:t>
            </w:r>
          </w:p>
        </w:tc>
      </w:tr>
      <w:tr w:rsidR="00D4000D" w:rsidRPr="00D4000D" w:rsidTr="008C6386">
        <w:trPr>
          <w:trHeight w:val="288"/>
        </w:trPr>
        <w:tc>
          <w:tcPr>
            <w:tcW w:w="166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Pr>
                <w:rFonts w:ascii="Calibri" w:eastAsia="Times New Roman" w:hAnsi="Calibri" w:cs="Calibri"/>
                <w:color w:val="000000"/>
              </w:rPr>
              <w:t>LPZ (5-</w:t>
            </w:r>
            <w:r w:rsidRPr="00D4000D">
              <w:rPr>
                <w:rFonts w:ascii="Calibri" w:eastAsia="Times New Roman" w:hAnsi="Calibri" w:cs="Calibri"/>
                <w:color w:val="000000"/>
              </w:rPr>
              <w:t>20)</w:t>
            </w:r>
          </w:p>
        </w:tc>
        <w:tc>
          <w:tcPr>
            <w:tcW w:w="1111"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0.345237</w:t>
            </w:r>
          </w:p>
        </w:tc>
        <w:tc>
          <w:tcPr>
            <w:tcW w:w="1353"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336.6003</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0.325714</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1</w:t>
            </w:r>
          </w:p>
        </w:tc>
      </w:tr>
      <w:tr w:rsidR="00D4000D" w:rsidRPr="00D4000D" w:rsidTr="008C6386">
        <w:trPr>
          <w:trHeight w:val="288"/>
        </w:trPr>
        <w:tc>
          <w:tcPr>
            <w:tcW w:w="166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Pr>
                <w:rFonts w:ascii="Calibri" w:eastAsia="Times New Roman" w:hAnsi="Calibri" w:cs="Calibri"/>
                <w:color w:val="000000"/>
              </w:rPr>
              <w:t>TZ (20-</w:t>
            </w:r>
            <w:r w:rsidRPr="00D4000D">
              <w:rPr>
                <w:rFonts w:ascii="Calibri" w:eastAsia="Times New Roman" w:hAnsi="Calibri" w:cs="Calibri"/>
                <w:color w:val="000000"/>
              </w:rPr>
              <w:t>200)</w:t>
            </w:r>
          </w:p>
        </w:tc>
        <w:tc>
          <w:tcPr>
            <w:tcW w:w="1111"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0.634434</w:t>
            </w:r>
          </w:p>
        </w:tc>
        <w:tc>
          <w:tcPr>
            <w:tcW w:w="1353"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158.1001</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0.218491</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0.12</w:t>
            </w:r>
          </w:p>
        </w:tc>
      </w:tr>
      <w:tr w:rsidR="00D4000D" w:rsidRPr="00D4000D" w:rsidTr="008C6386">
        <w:trPr>
          <w:trHeight w:val="288"/>
        </w:trPr>
        <w:tc>
          <w:tcPr>
            <w:tcW w:w="166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Pr>
                <w:rFonts w:ascii="Calibri" w:eastAsia="Times New Roman" w:hAnsi="Calibri" w:cs="Calibri"/>
                <w:color w:val="000000"/>
              </w:rPr>
              <w:t>UPZ (200-</w:t>
            </w:r>
            <w:r w:rsidRPr="00D4000D">
              <w:rPr>
                <w:rFonts w:ascii="Calibri" w:eastAsia="Times New Roman" w:hAnsi="Calibri" w:cs="Calibri"/>
                <w:color w:val="000000"/>
              </w:rPr>
              <w:t>1000)</w:t>
            </w:r>
          </w:p>
        </w:tc>
        <w:tc>
          <w:tcPr>
            <w:tcW w:w="1111"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0.695946</w:t>
            </w:r>
          </w:p>
        </w:tc>
        <w:tc>
          <w:tcPr>
            <w:tcW w:w="1353"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45.89995</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0.185946</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0.42</w:t>
            </w:r>
          </w:p>
        </w:tc>
      </w:tr>
      <w:tr w:rsidR="00D4000D" w:rsidRPr="00D4000D" w:rsidTr="008C6386">
        <w:trPr>
          <w:trHeight w:val="288"/>
        </w:trPr>
        <w:tc>
          <w:tcPr>
            <w:tcW w:w="1661" w:type="dxa"/>
            <w:shd w:val="clear" w:color="auto" w:fill="auto"/>
            <w:noWrap/>
            <w:vAlign w:val="bottom"/>
            <w:hideMark/>
          </w:tcPr>
          <w:p w:rsidR="00D4000D" w:rsidRPr="00D4000D" w:rsidRDefault="00D4000D" w:rsidP="00D4000D">
            <w:pPr>
              <w:spacing w:after="0" w:line="240" w:lineRule="auto"/>
              <w:rPr>
                <w:rFonts w:ascii="Calibri" w:eastAsia="Times New Roman" w:hAnsi="Calibri" w:cs="Calibri"/>
                <w:color w:val="000000"/>
              </w:rPr>
            </w:pPr>
            <w:r w:rsidRPr="00D4000D">
              <w:rPr>
                <w:rFonts w:ascii="Calibri" w:eastAsia="Times New Roman" w:hAnsi="Calibri" w:cs="Calibri"/>
                <w:color w:val="000000"/>
              </w:rPr>
              <w:t>IZ (&gt;1000)</w:t>
            </w:r>
          </w:p>
        </w:tc>
        <w:tc>
          <w:tcPr>
            <w:tcW w:w="1111"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0.791666</w:t>
            </w:r>
          </w:p>
        </w:tc>
        <w:tc>
          <w:tcPr>
            <w:tcW w:w="1353"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10.20002</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0.1525</w:t>
            </w:r>
          </w:p>
        </w:tc>
        <w:tc>
          <w:tcPr>
            <w:tcW w:w="960" w:type="dxa"/>
            <w:shd w:val="clear" w:color="auto" w:fill="auto"/>
            <w:noWrap/>
            <w:vAlign w:val="bottom"/>
            <w:hideMark/>
          </w:tcPr>
          <w:p w:rsidR="00D4000D" w:rsidRPr="00D4000D" w:rsidRDefault="00D4000D" w:rsidP="00D4000D">
            <w:pPr>
              <w:spacing w:after="0" w:line="240" w:lineRule="auto"/>
              <w:jc w:val="right"/>
              <w:rPr>
                <w:rFonts w:ascii="Calibri" w:eastAsia="Times New Roman" w:hAnsi="Calibri" w:cs="Calibri"/>
                <w:color w:val="000000"/>
              </w:rPr>
            </w:pPr>
            <w:r w:rsidRPr="00D4000D">
              <w:rPr>
                <w:rFonts w:ascii="Calibri" w:eastAsia="Times New Roman" w:hAnsi="Calibri" w:cs="Calibri"/>
                <w:color w:val="000000"/>
              </w:rPr>
              <w:t>0.58</w:t>
            </w:r>
          </w:p>
        </w:tc>
      </w:tr>
    </w:tbl>
    <w:p w:rsidR="00064032" w:rsidRDefault="00064032" w:rsidP="00055023">
      <w:pPr>
        <w:pStyle w:val="a3"/>
        <w:spacing w:line="276" w:lineRule="auto"/>
        <w:jc w:val="both"/>
      </w:pPr>
    </w:p>
    <w:p w:rsidR="005203F4" w:rsidRPr="005203F4" w:rsidRDefault="005203F4" w:rsidP="005203F4">
      <w:pPr>
        <w:pStyle w:val="a3"/>
        <w:spacing w:line="276" w:lineRule="auto"/>
        <w:jc w:val="both"/>
      </w:pPr>
      <w:r w:rsidRPr="005203F4">
        <w:rPr>
          <w:noProof/>
        </w:rPr>
        <w:lastRenderedPageBreak/>
        <w:drawing>
          <wp:inline distT="0" distB="0" distL="0" distR="0">
            <wp:extent cx="5247150" cy="3498783"/>
            <wp:effectExtent l="0" t="0" r="0" b="6985"/>
            <wp:docPr id="2" name="صورة 2" descr="C:\Users\ZBOOK\Downloads\ChatGPT Image Jul 18, 2025, 02_41_4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BOOK\Downloads\ChatGPT Image Jul 18, 2025, 02_41_47 P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1320" cy="3501564"/>
                    </a:xfrm>
                    <a:prstGeom prst="rect">
                      <a:avLst/>
                    </a:prstGeom>
                    <a:noFill/>
                    <a:ln>
                      <a:noFill/>
                    </a:ln>
                  </pic:spPr>
                </pic:pic>
              </a:graphicData>
            </a:graphic>
          </wp:inline>
        </w:drawing>
      </w:r>
    </w:p>
    <w:p w:rsidR="0082587E" w:rsidRDefault="0082587E" w:rsidP="006A35B5">
      <w:pPr>
        <w:pStyle w:val="a3"/>
        <w:spacing w:line="276" w:lineRule="auto"/>
        <w:jc w:val="both"/>
      </w:pPr>
      <w:r w:rsidRPr="0082587E">
        <w:rPr>
          <w:rStyle w:val="a7"/>
          <w:rFonts w:eastAsiaTheme="majorEastAsia"/>
          <w:b/>
          <w:bCs/>
          <w:i w:val="0"/>
          <w:iCs w:val="0"/>
        </w:rPr>
        <w:t xml:space="preserve">Appendix </w:t>
      </w:r>
      <w:proofErr w:type="gramStart"/>
      <w:r w:rsidRPr="0082587E">
        <w:rPr>
          <w:rStyle w:val="a7"/>
          <w:rFonts w:eastAsiaTheme="majorEastAsia"/>
          <w:b/>
          <w:bCs/>
          <w:i w:val="0"/>
          <w:iCs w:val="0"/>
        </w:rPr>
        <w:t>M(</w:t>
      </w:r>
      <w:proofErr w:type="gramEnd"/>
      <w:r w:rsidRPr="0082587E">
        <w:rPr>
          <w:rStyle w:val="a7"/>
          <w:rFonts w:eastAsiaTheme="majorEastAsia"/>
          <w:b/>
          <w:bCs/>
          <w:i w:val="0"/>
          <w:iCs w:val="0"/>
        </w:rPr>
        <w:t xml:space="preserve"> Fig. M).</w:t>
      </w:r>
      <w:r>
        <w:t xml:space="preserve"> </w:t>
      </w:r>
      <w:r>
        <w:rPr>
          <w:rStyle w:val="a4"/>
        </w:rPr>
        <w:t xml:space="preserve">Zone-Based Decision Curve Analysis for </w:t>
      </w:r>
      <w:r w:rsidR="006A35B5">
        <w:rPr>
          <w:rStyle w:val="a4"/>
        </w:rPr>
        <w:t xml:space="preserve">example 2 </w:t>
      </w:r>
    </w:p>
    <w:p w:rsidR="005203F4" w:rsidRPr="00413500" w:rsidRDefault="0082587E" w:rsidP="00055023">
      <w:pPr>
        <w:pStyle w:val="a3"/>
        <w:spacing w:line="276" w:lineRule="auto"/>
        <w:jc w:val="both"/>
        <w:rPr>
          <w:i/>
          <w:iCs/>
          <w:sz w:val="22"/>
          <w:szCs w:val="22"/>
        </w:rPr>
      </w:pPr>
      <w:r w:rsidRPr="00413500">
        <w:rPr>
          <w:i/>
          <w:iCs/>
          <w:sz w:val="22"/>
          <w:szCs w:val="22"/>
        </w:rPr>
        <w:t>The Trusted Zone (blue) shows stable, consistently high net benefit across the full range of threshold probabilities. Upper Plausible (orange) and Inflated (green) zones achieve early peaks before declining, while the Recessive/Lower Plausible (red) zones remain below zero net benefit, indicating minimal or negative clinical utility.</w:t>
      </w:r>
    </w:p>
    <w:p w:rsidR="00E03026" w:rsidRDefault="00E03026" w:rsidP="00055023">
      <w:pPr>
        <w:pStyle w:val="a3"/>
        <w:spacing w:line="276" w:lineRule="auto"/>
        <w:jc w:val="both"/>
        <w:rPr>
          <w:i/>
          <w:iCs/>
        </w:rPr>
      </w:pPr>
    </w:p>
    <w:p w:rsidR="00E03026" w:rsidRDefault="00FD2DF5" w:rsidP="00FD2DF5">
      <w:pPr>
        <w:pStyle w:val="a3"/>
        <w:spacing w:line="276" w:lineRule="auto"/>
        <w:jc w:val="both"/>
        <w:rPr>
          <w:b/>
          <w:bCs/>
        </w:rPr>
      </w:pPr>
      <w:r>
        <w:rPr>
          <w:rStyle w:val="a4"/>
          <w:rFonts w:eastAsiaTheme="majorEastAsia"/>
        </w:rPr>
        <w:t>Appendix N: Zone-based calibration metrics for AFP in hepatocellular carcinoma diagnosis (Real-World Example).</w:t>
      </w:r>
      <w:r>
        <w:br/>
      </w:r>
      <w:r w:rsidRPr="00D11515">
        <w:rPr>
          <w:sz w:val="22"/>
          <w:szCs w:val="22"/>
        </w:rPr>
        <w:t>Calibration was assessed using predicted probabilities (</w:t>
      </w:r>
      <w:proofErr w:type="spellStart"/>
      <w:r w:rsidRPr="00D11515">
        <w:rPr>
          <w:sz w:val="22"/>
          <w:szCs w:val="22"/>
        </w:rPr>
        <w:t>p_z</w:t>
      </w:r>
      <w:proofErr w:type="spellEnd"/>
      <w:r w:rsidRPr="00D11515">
        <w:rPr>
          <w:sz w:val="22"/>
          <w:szCs w:val="22"/>
        </w:rPr>
        <w:t xml:space="preserve">), observed event rates, and zone-specific Brier scores. Lower Brier scores indicate better probabilistic accuracy. Higher AFP zones (Trusted, Upper Plausible, </w:t>
      </w:r>
      <w:proofErr w:type="gramStart"/>
      <w:r w:rsidRPr="00D11515">
        <w:rPr>
          <w:sz w:val="22"/>
          <w:szCs w:val="22"/>
        </w:rPr>
        <w:t>Inflated</w:t>
      </w:r>
      <w:proofErr w:type="gramEnd"/>
      <w:r w:rsidRPr="00D11515">
        <w:rPr>
          <w:sz w:val="22"/>
          <w:szCs w:val="22"/>
        </w:rPr>
        <w:t>) demonstrated superior calibration, while lower zones (Recessive, Lower Plausible) showed poorer alignment between predicted and observed probabilities.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849"/>
        <w:gridCol w:w="2140"/>
        <w:gridCol w:w="420"/>
        <w:gridCol w:w="2727"/>
        <w:gridCol w:w="1587"/>
        <w:gridCol w:w="1255"/>
      </w:tblGrid>
      <w:tr w:rsidR="00E03026" w:rsidRPr="00E03026" w:rsidTr="00813355">
        <w:trPr>
          <w:tblHeader/>
          <w:tblCellSpacing w:w="15" w:type="dxa"/>
        </w:trPr>
        <w:tc>
          <w:tcPr>
            <w:tcW w:w="0" w:type="auto"/>
            <w:vAlign w:val="center"/>
            <w:hideMark/>
          </w:tcPr>
          <w:p w:rsidR="00E03026" w:rsidRPr="00E03026" w:rsidRDefault="00E03026" w:rsidP="00E03026">
            <w:pPr>
              <w:spacing w:after="0" w:line="240" w:lineRule="auto"/>
              <w:jc w:val="center"/>
              <w:rPr>
                <w:rFonts w:ascii="Times New Roman" w:eastAsia="Times New Roman" w:hAnsi="Times New Roman" w:cs="Times New Roman"/>
                <w:b/>
                <w:bCs/>
                <w:sz w:val="24"/>
                <w:szCs w:val="24"/>
              </w:rPr>
            </w:pPr>
            <w:r w:rsidRPr="00E03026">
              <w:rPr>
                <w:rFonts w:ascii="Times New Roman" w:eastAsia="Times New Roman" w:hAnsi="Times New Roman" w:cs="Times New Roman"/>
                <w:b/>
                <w:bCs/>
                <w:sz w:val="24"/>
                <w:szCs w:val="24"/>
              </w:rPr>
              <w:t>Zone</w:t>
            </w:r>
          </w:p>
        </w:tc>
        <w:tc>
          <w:tcPr>
            <w:tcW w:w="0" w:type="auto"/>
            <w:vAlign w:val="center"/>
            <w:hideMark/>
          </w:tcPr>
          <w:p w:rsidR="00E03026" w:rsidRPr="00E03026" w:rsidRDefault="00E03026" w:rsidP="00E03026">
            <w:pPr>
              <w:spacing w:after="0" w:line="240" w:lineRule="auto"/>
              <w:jc w:val="center"/>
              <w:rPr>
                <w:rFonts w:ascii="Times New Roman" w:eastAsia="Times New Roman" w:hAnsi="Times New Roman" w:cs="Times New Roman"/>
                <w:b/>
                <w:bCs/>
                <w:sz w:val="24"/>
                <w:szCs w:val="24"/>
              </w:rPr>
            </w:pPr>
            <w:r w:rsidRPr="00E03026">
              <w:rPr>
                <w:rFonts w:ascii="Times New Roman" w:eastAsia="Times New Roman" w:hAnsi="Times New Roman" w:cs="Times New Roman"/>
                <w:b/>
                <w:bCs/>
                <w:sz w:val="24"/>
                <w:szCs w:val="24"/>
              </w:rPr>
              <w:t>AFP Range (</w:t>
            </w:r>
            <w:proofErr w:type="spellStart"/>
            <w:r w:rsidRPr="00E03026">
              <w:rPr>
                <w:rFonts w:ascii="Times New Roman" w:eastAsia="Times New Roman" w:hAnsi="Times New Roman" w:cs="Times New Roman"/>
                <w:b/>
                <w:bCs/>
                <w:sz w:val="24"/>
                <w:szCs w:val="24"/>
              </w:rPr>
              <w:t>ng</w:t>
            </w:r>
            <w:proofErr w:type="spellEnd"/>
            <w:r w:rsidRPr="00E03026">
              <w:rPr>
                <w:rFonts w:ascii="Times New Roman" w:eastAsia="Times New Roman" w:hAnsi="Times New Roman" w:cs="Times New Roman"/>
                <w:b/>
                <w:bCs/>
                <w:sz w:val="24"/>
                <w:szCs w:val="24"/>
              </w:rPr>
              <w:t>/mL)</w:t>
            </w:r>
          </w:p>
        </w:tc>
        <w:tc>
          <w:tcPr>
            <w:tcW w:w="0" w:type="auto"/>
            <w:vAlign w:val="center"/>
            <w:hideMark/>
          </w:tcPr>
          <w:p w:rsidR="00E03026" w:rsidRPr="00E03026" w:rsidRDefault="00E03026" w:rsidP="00E03026">
            <w:pPr>
              <w:spacing w:after="0" w:line="240" w:lineRule="auto"/>
              <w:jc w:val="center"/>
              <w:rPr>
                <w:rFonts w:ascii="Times New Roman" w:eastAsia="Times New Roman" w:hAnsi="Times New Roman" w:cs="Times New Roman"/>
                <w:b/>
                <w:bCs/>
                <w:sz w:val="24"/>
                <w:szCs w:val="24"/>
              </w:rPr>
            </w:pPr>
            <w:r w:rsidRPr="00E03026">
              <w:rPr>
                <w:rFonts w:ascii="Times New Roman" w:eastAsia="Times New Roman" w:hAnsi="Times New Roman" w:cs="Times New Roman"/>
                <w:b/>
                <w:bCs/>
                <w:sz w:val="24"/>
                <w:szCs w:val="24"/>
              </w:rPr>
              <w:t>n</w:t>
            </w:r>
          </w:p>
        </w:tc>
        <w:tc>
          <w:tcPr>
            <w:tcW w:w="0" w:type="auto"/>
            <w:vAlign w:val="center"/>
            <w:hideMark/>
          </w:tcPr>
          <w:p w:rsidR="00E03026" w:rsidRPr="00E03026" w:rsidRDefault="00E03026" w:rsidP="00E03026">
            <w:pPr>
              <w:spacing w:after="0" w:line="240" w:lineRule="auto"/>
              <w:jc w:val="center"/>
              <w:rPr>
                <w:rFonts w:ascii="Times New Roman" w:eastAsia="Times New Roman" w:hAnsi="Times New Roman" w:cs="Times New Roman"/>
                <w:b/>
                <w:bCs/>
                <w:sz w:val="24"/>
                <w:szCs w:val="24"/>
              </w:rPr>
            </w:pPr>
            <w:r w:rsidRPr="00E03026">
              <w:rPr>
                <w:rFonts w:ascii="Times New Roman" w:eastAsia="Times New Roman" w:hAnsi="Times New Roman" w:cs="Times New Roman"/>
                <w:b/>
                <w:bCs/>
                <w:sz w:val="24"/>
                <w:szCs w:val="24"/>
              </w:rPr>
              <w:t>Predicted Probability (</w:t>
            </w:r>
            <w:proofErr w:type="spellStart"/>
            <w:r w:rsidRPr="00E03026">
              <w:rPr>
                <w:rFonts w:ascii="Times New Roman" w:eastAsia="Times New Roman" w:hAnsi="Times New Roman" w:cs="Times New Roman"/>
                <w:b/>
                <w:bCs/>
                <w:sz w:val="24"/>
                <w:szCs w:val="24"/>
              </w:rPr>
              <w:t>pz</w:t>
            </w:r>
            <w:proofErr w:type="spellEnd"/>
            <w:r w:rsidRPr="00E03026">
              <w:rPr>
                <w:rFonts w:ascii="Times New Roman" w:eastAsia="Times New Roman" w:hAnsi="Times New Roman" w:cs="Times New Roman"/>
                <w:b/>
                <w:bCs/>
                <w:sz w:val="24"/>
                <w:szCs w:val="24"/>
              </w:rPr>
              <w:t>)</w:t>
            </w:r>
          </w:p>
        </w:tc>
        <w:tc>
          <w:tcPr>
            <w:tcW w:w="0" w:type="auto"/>
            <w:vAlign w:val="center"/>
            <w:hideMark/>
          </w:tcPr>
          <w:p w:rsidR="00E03026" w:rsidRPr="00E03026" w:rsidRDefault="00E03026" w:rsidP="00E03026">
            <w:pPr>
              <w:spacing w:after="0" w:line="240" w:lineRule="auto"/>
              <w:jc w:val="center"/>
              <w:rPr>
                <w:rFonts w:ascii="Times New Roman" w:eastAsia="Times New Roman" w:hAnsi="Times New Roman" w:cs="Times New Roman"/>
                <w:b/>
                <w:bCs/>
                <w:sz w:val="24"/>
                <w:szCs w:val="24"/>
              </w:rPr>
            </w:pPr>
            <w:r w:rsidRPr="00E03026">
              <w:rPr>
                <w:rFonts w:ascii="Times New Roman" w:eastAsia="Times New Roman" w:hAnsi="Times New Roman" w:cs="Times New Roman"/>
                <w:b/>
                <w:bCs/>
                <w:sz w:val="24"/>
                <w:szCs w:val="24"/>
              </w:rPr>
              <w:t>Observed Rate</w:t>
            </w:r>
          </w:p>
        </w:tc>
        <w:tc>
          <w:tcPr>
            <w:tcW w:w="0" w:type="auto"/>
            <w:vAlign w:val="center"/>
            <w:hideMark/>
          </w:tcPr>
          <w:p w:rsidR="00E03026" w:rsidRPr="00E03026" w:rsidRDefault="00E03026" w:rsidP="00E03026">
            <w:pPr>
              <w:spacing w:after="0" w:line="240" w:lineRule="auto"/>
              <w:jc w:val="center"/>
              <w:rPr>
                <w:rFonts w:ascii="Times New Roman" w:eastAsia="Times New Roman" w:hAnsi="Times New Roman" w:cs="Times New Roman"/>
                <w:b/>
                <w:bCs/>
                <w:sz w:val="24"/>
                <w:szCs w:val="24"/>
              </w:rPr>
            </w:pPr>
            <w:r w:rsidRPr="00E03026">
              <w:rPr>
                <w:rFonts w:ascii="Times New Roman" w:eastAsia="Times New Roman" w:hAnsi="Times New Roman" w:cs="Times New Roman"/>
                <w:b/>
                <w:bCs/>
                <w:sz w:val="24"/>
                <w:szCs w:val="24"/>
              </w:rPr>
              <w:t>Brier Score</w:t>
            </w:r>
          </w:p>
        </w:tc>
      </w:tr>
      <w:tr w:rsidR="00E03026" w:rsidRPr="00E03026" w:rsidTr="00813355">
        <w:trPr>
          <w:tblCellSpacing w:w="15" w:type="dxa"/>
        </w:trPr>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RZ</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&lt; 5</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120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0.05</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0.2917</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0.2650</w:t>
            </w:r>
          </w:p>
        </w:tc>
      </w:tr>
      <w:tr w:rsidR="00E03026" w:rsidRPr="00E03026" w:rsidTr="00813355">
        <w:trPr>
          <w:tblCellSpacing w:w="15" w:type="dxa"/>
        </w:trPr>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LPZ</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5–20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126</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0.20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0.4762</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0.3257</w:t>
            </w:r>
          </w:p>
        </w:tc>
      </w:tr>
      <w:tr w:rsidR="00E03026" w:rsidRPr="00E03026" w:rsidTr="00813355">
        <w:trPr>
          <w:tblCellSpacing w:w="15" w:type="dxa"/>
        </w:trPr>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TZ</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20–200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106</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0.60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0.7075</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0.2185</w:t>
            </w:r>
          </w:p>
        </w:tc>
      </w:tr>
      <w:tr w:rsidR="00E03026" w:rsidRPr="00E03026" w:rsidTr="00813355">
        <w:trPr>
          <w:tblCellSpacing w:w="15" w:type="dxa"/>
        </w:trPr>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UPZ</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200–1000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37</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0.80</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0.7568</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0.1859</w:t>
            </w:r>
          </w:p>
        </w:tc>
      </w:tr>
      <w:tr w:rsidR="00E03026" w:rsidRPr="00E03026" w:rsidTr="00813355">
        <w:trPr>
          <w:tblCellSpacing w:w="15" w:type="dxa"/>
        </w:trPr>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IZ</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&gt; 1000</w:t>
            </w:r>
            <w:bookmarkStart w:id="0" w:name="_GoBack"/>
            <w:bookmarkEnd w:id="0"/>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12</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0.95</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0.8333</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0.1525</w:t>
            </w:r>
          </w:p>
        </w:tc>
      </w:tr>
      <w:tr w:rsidR="00E03026" w:rsidRPr="00E03026" w:rsidTr="00813355">
        <w:trPr>
          <w:tblCellSpacing w:w="15" w:type="dxa"/>
        </w:trPr>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b/>
                <w:bCs/>
                <w:sz w:val="24"/>
                <w:szCs w:val="24"/>
              </w:rPr>
              <w:lastRenderedPageBreak/>
              <w:t>Overall</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401</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w:t>
            </w:r>
          </w:p>
        </w:tc>
        <w:tc>
          <w:tcPr>
            <w:tcW w:w="0" w:type="auto"/>
            <w:vAlign w:val="center"/>
            <w:hideMark/>
          </w:tcPr>
          <w:p w:rsidR="00E03026" w:rsidRPr="00E03026" w:rsidRDefault="00E03026" w:rsidP="00E03026">
            <w:pPr>
              <w:spacing w:after="0" w:line="240" w:lineRule="auto"/>
              <w:rPr>
                <w:rFonts w:ascii="Times New Roman" w:eastAsia="Times New Roman" w:hAnsi="Times New Roman" w:cs="Times New Roman"/>
                <w:sz w:val="24"/>
                <w:szCs w:val="24"/>
              </w:rPr>
            </w:pPr>
            <w:r w:rsidRPr="00E03026">
              <w:rPr>
                <w:rFonts w:ascii="Times New Roman" w:eastAsia="Times New Roman" w:hAnsi="Times New Roman" w:cs="Times New Roman"/>
                <w:sz w:val="24"/>
                <w:szCs w:val="24"/>
              </w:rPr>
              <w:t>0.2611</w:t>
            </w:r>
          </w:p>
        </w:tc>
      </w:tr>
    </w:tbl>
    <w:p w:rsidR="00E03026" w:rsidRDefault="009B2904" w:rsidP="00FD2DF5">
      <w:pPr>
        <w:pStyle w:val="a3"/>
        <w:spacing w:line="276" w:lineRule="auto"/>
        <w:jc w:val="both"/>
        <w:rPr>
          <w:b/>
          <w:bCs/>
        </w:rPr>
      </w:pPr>
      <w:r>
        <w:rPr>
          <w:b/>
          <w:bCs/>
        </w:rPr>
        <w:t>Appendix O:</w:t>
      </w:r>
      <w:r w:rsidR="00FD2DF5" w:rsidRPr="00FD2DF5">
        <w:rPr>
          <w:rStyle w:val="2Char"/>
        </w:rPr>
        <w:t xml:space="preserve"> </w:t>
      </w:r>
      <w:r w:rsidR="00FD2DF5">
        <w:rPr>
          <w:rStyle w:val="a4"/>
          <w:rFonts w:eastAsiaTheme="majorEastAsia"/>
        </w:rPr>
        <w:t>Table O1. Zone-based calibration and clinical utility metrics for AFP in hepatocellular carcinoma diagnosis (Real-World Example).</w:t>
      </w:r>
      <w:r w:rsidR="00FD2DF5">
        <w:br/>
      </w:r>
      <w:r w:rsidR="00FD2DF5" w:rsidRPr="00D11515">
        <w:rPr>
          <w:sz w:val="22"/>
          <w:szCs w:val="22"/>
        </w:rPr>
        <w:t>Calibration was assessed using zone-specific Brier scores (</w:t>
      </w:r>
      <w:proofErr w:type="spellStart"/>
      <w:r w:rsidR="00FD2DF5" w:rsidRPr="00D11515">
        <w:rPr>
          <w:sz w:val="22"/>
          <w:szCs w:val="22"/>
        </w:rPr>
        <w:t>Brier_z</w:t>
      </w:r>
      <w:proofErr w:type="spellEnd"/>
      <w:r w:rsidR="00FD2DF5" w:rsidRPr="00D11515">
        <w:rPr>
          <w:sz w:val="22"/>
          <w:szCs w:val="22"/>
        </w:rPr>
        <w:t>), with lower values indicating better probabilistic accuracy. Clinical utility was quantified using Net Benefit, Expected Cost, and Zone-Based Error (ZBE). Higher AFP strata (Trusted, Upper Plausible, and Inflated Zones) demonstrated superior calibration and greater Net Benefit, while lower strata (Recessive and Lower Plausible Zones) showed poorer calibration, minimal utility, and higher misclassification burden.</w:t>
      </w:r>
    </w:p>
    <w:tbl>
      <w:tblPr>
        <w:tblW w:w="9353" w:type="dxa"/>
        <w:tblInd w:w="93" w:type="dxa"/>
        <w:tblBorders>
          <w:insideH w:val="single" w:sz="4" w:space="0" w:color="auto"/>
        </w:tblBorders>
        <w:tblLook w:val="04A0" w:firstRow="1" w:lastRow="0" w:firstColumn="1" w:lastColumn="0" w:noHBand="0" w:noVBand="1"/>
      </w:tblPr>
      <w:tblGrid>
        <w:gridCol w:w="1612"/>
        <w:gridCol w:w="933"/>
        <w:gridCol w:w="933"/>
        <w:gridCol w:w="1053"/>
        <w:gridCol w:w="1053"/>
        <w:gridCol w:w="1297"/>
        <w:gridCol w:w="1539"/>
        <w:gridCol w:w="933"/>
      </w:tblGrid>
      <w:tr w:rsidR="009B2904" w:rsidRPr="009B2904" w:rsidTr="00E77325">
        <w:trPr>
          <w:trHeight w:val="288"/>
        </w:trPr>
        <w:tc>
          <w:tcPr>
            <w:tcW w:w="1612"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sidRPr="009B2904">
              <w:rPr>
                <w:rFonts w:ascii="Calibri" w:eastAsia="Times New Roman" w:hAnsi="Calibri" w:cs="Calibri"/>
                <w:color w:val="000000"/>
              </w:rPr>
              <w:t>Zone</w:t>
            </w:r>
          </w:p>
        </w:tc>
        <w:tc>
          <w:tcPr>
            <w:tcW w:w="933"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sidRPr="009B2904">
              <w:rPr>
                <w:rFonts w:ascii="Calibri" w:eastAsia="Times New Roman" w:hAnsi="Calibri" w:cs="Calibri"/>
                <w:color w:val="000000"/>
              </w:rPr>
              <w:t>n</w:t>
            </w:r>
          </w:p>
        </w:tc>
        <w:tc>
          <w:tcPr>
            <w:tcW w:w="933"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proofErr w:type="spellStart"/>
            <w:r w:rsidRPr="009B2904">
              <w:rPr>
                <w:rFonts w:ascii="Calibri" w:eastAsia="Times New Roman" w:hAnsi="Calibri" w:cs="Calibri"/>
                <w:color w:val="000000"/>
              </w:rPr>
              <w:t>p_z</w:t>
            </w:r>
            <w:proofErr w:type="spellEnd"/>
          </w:p>
        </w:tc>
        <w:tc>
          <w:tcPr>
            <w:tcW w:w="1053"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proofErr w:type="spellStart"/>
            <w:r w:rsidRPr="009B2904">
              <w:rPr>
                <w:rFonts w:ascii="Calibri" w:eastAsia="Times New Roman" w:hAnsi="Calibri" w:cs="Calibri"/>
                <w:color w:val="000000"/>
              </w:rPr>
              <w:t>obs_rate</w:t>
            </w:r>
            <w:proofErr w:type="spellEnd"/>
          </w:p>
        </w:tc>
        <w:tc>
          <w:tcPr>
            <w:tcW w:w="1053"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proofErr w:type="spellStart"/>
            <w:r w:rsidRPr="009B2904">
              <w:rPr>
                <w:rFonts w:ascii="Calibri" w:eastAsia="Times New Roman" w:hAnsi="Calibri" w:cs="Calibri"/>
                <w:color w:val="000000"/>
              </w:rPr>
              <w:t>Brier_z</w:t>
            </w:r>
            <w:proofErr w:type="spellEnd"/>
          </w:p>
        </w:tc>
        <w:tc>
          <w:tcPr>
            <w:tcW w:w="1297"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proofErr w:type="spellStart"/>
            <w:r w:rsidRPr="009B2904">
              <w:rPr>
                <w:rFonts w:ascii="Calibri" w:eastAsia="Times New Roman" w:hAnsi="Calibri" w:cs="Calibri"/>
                <w:color w:val="000000"/>
              </w:rPr>
              <w:t>Net_Benefit</w:t>
            </w:r>
            <w:proofErr w:type="spellEnd"/>
          </w:p>
        </w:tc>
        <w:tc>
          <w:tcPr>
            <w:tcW w:w="1539"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proofErr w:type="spellStart"/>
            <w:r w:rsidRPr="009B2904">
              <w:rPr>
                <w:rFonts w:ascii="Calibri" w:eastAsia="Times New Roman" w:hAnsi="Calibri" w:cs="Calibri"/>
                <w:color w:val="000000"/>
              </w:rPr>
              <w:t>Expected_Cost</w:t>
            </w:r>
            <w:proofErr w:type="spellEnd"/>
          </w:p>
        </w:tc>
        <w:tc>
          <w:tcPr>
            <w:tcW w:w="933"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sidRPr="009B2904">
              <w:rPr>
                <w:rFonts w:ascii="Calibri" w:eastAsia="Times New Roman" w:hAnsi="Calibri" w:cs="Calibri"/>
                <w:color w:val="000000"/>
              </w:rPr>
              <w:t>ZBE</w:t>
            </w:r>
          </w:p>
        </w:tc>
      </w:tr>
      <w:tr w:rsidR="009B2904" w:rsidRPr="009B2904" w:rsidTr="00E77325">
        <w:trPr>
          <w:trHeight w:val="288"/>
        </w:trPr>
        <w:tc>
          <w:tcPr>
            <w:tcW w:w="1612"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sidRPr="009B2904">
              <w:rPr>
                <w:rFonts w:ascii="Calibri" w:eastAsia="Times New Roman" w:hAnsi="Calibri" w:cs="Calibri"/>
                <w:color w:val="000000"/>
              </w:rPr>
              <w:t>RZ (&lt;5)</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120</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0.05</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0.291667</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0.265</w:t>
            </w:r>
          </w:p>
        </w:tc>
        <w:tc>
          <w:tcPr>
            <w:tcW w:w="1297"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0.114584</w:t>
            </w:r>
          </w:p>
        </w:tc>
        <w:tc>
          <w:tcPr>
            <w:tcW w:w="1539"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433.4998</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w:t>
            </w:r>
          </w:p>
        </w:tc>
      </w:tr>
      <w:tr w:rsidR="009B2904" w:rsidRPr="009B2904" w:rsidTr="00E77325">
        <w:trPr>
          <w:trHeight w:val="288"/>
        </w:trPr>
        <w:tc>
          <w:tcPr>
            <w:tcW w:w="1612"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Pr>
                <w:rFonts w:ascii="Calibri" w:eastAsia="Times New Roman" w:hAnsi="Calibri" w:cs="Calibri"/>
                <w:color w:val="000000"/>
              </w:rPr>
              <w:t>LPZ (5-</w:t>
            </w:r>
            <w:r w:rsidRPr="009B2904">
              <w:rPr>
                <w:rFonts w:ascii="Calibri" w:eastAsia="Times New Roman" w:hAnsi="Calibri" w:cs="Calibri"/>
                <w:color w:val="000000"/>
              </w:rPr>
              <w:t>20)</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126</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0.2</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0.47619</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0.325714</w:t>
            </w:r>
          </w:p>
        </w:tc>
        <w:tc>
          <w:tcPr>
            <w:tcW w:w="1297"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0.345237</w:t>
            </w:r>
          </w:p>
        </w:tc>
        <w:tc>
          <w:tcPr>
            <w:tcW w:w="1539"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336.6003</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w:t>
            </w:r>
          </w:p>
        </w:tc>
      </w:tr>
      <w:tr w:rsidR="009B2904" w:rsidRPr="009B2904" w:rsidTr="00E77325">
        <w:trPr>
          <w:trHeight w:val="288"/>
        </w:trPr>
        <w:tc>
          <w:tcPr>
            <w:tcW w:w="1612"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Pr>
                <w:rFonts w:ascii="Calibri" w:eastAsia="Times New Roman" w:hAnsi="Calibri" w:cs="Calibri"/>
                <w:color w:val="000000"/>
              </w:rPr>
              <w:t>TZ (20-</w:t>
            </w:r>
            <w:r w:rsidRPr="009B2904">
              <w:rPr>
                <w:rFonts w:ascii="Calibri" w:eastAsia="Times New Roman" w:hAnsi="Calibri" w:cs="Calibri"/>
                <w:color w:val="000000"/>
              </w:rPr>
              <w:t>200)</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106</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0.6</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0.707547</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0.218491</w:t>
            </w:r>
          </w:p>
        </w:tc>
        <w:tc>
          <w:tcPr>
            <w:tcW w:w="1297"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0.634434</w:t>
            </w:r>
          </w:p>
        </w:tc>
        <w:tc>
          <w:tcPr>
            <w:tcW w:w="1539"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158.1001</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0.12</w:t>
            </w:r>
          </w:p>
        </w:tc>
      </w:tr>
      <w:tr w:rsidR="009B2904" w:rsidRPr="009B2904" w:rsidTr="00E77325">
        <w:trPr>
          <w:trHeight w:val="288"/>
        </w:trPr>
        <w:tc>
          <w:tcPr>
            <w:tcW w:w="1612"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Pr>
                <w:rFonts w:ascii="Calibri" w:eastAsia="Times New Roman" w:hAnsi="Calibri" w:cs="Calibri"/>
                <w:color w:val="000000"/>
              </w:rPr>
              <w:t>UPZ (200-</w:t>
            </w:r>
            <w:r w:rsidRPr="009B2904">
              <w:rPr>
                <w:rFonts w:ascii="Calibri" w:eastAsia="Times New Roman" w:hAnsi="Calibri" w:cs="Calibri"/>
                <w:color w:val="000000"/>
              </w:rPr>
              <w:t>1000)</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37</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0.8</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0.756757</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0.185946</w:t>
            </w:r>
          </w:p>
        </w:tc>
        <w:tc>
          <w:tcPr>
            <w:tcW w:w="1297"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0.695946</w:t>
            </w:r>
          </w:p>
        </w:tc>
        <w:tc>
          <w:tcPr>
            <w:tcW w:w="1539"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45.89995</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0.42</w:t>
            </w:r>
          </w:p>
        </w:tc>
      </w:tr>
      <w:tr w:rsidR="009B2904" w:rsidRPr="009B2904" w:rsidTr="00E77325">
        <w:trPr>
          <w:trHeight w:val="288"/>
        </w:trPr>
        <w:tc>
          <w:tcPr>
            <w:tcW w:w="1612" w:type="dxa"/>
            <w:shd w:val="clear" w:color="auto" w:fill="auto"/>
            <w:noWrap/>
            <w:vAlign w:val="bottom"/>
            <w:hideMark/>
          </w:tcPr>
          <w:p w:rsidR="009B2904" w:rsidRPr="009B2904" w:rsidRDefault="009B2904" w:rsidP="009B2904">
            <w:pPr>
              <w:spacing w:after="0" w:line="240" w:lineRule="auto"/>
              <w:rPr>
                <w:rFonts w:ascii="Calibri" w:eastAsia="Times New Roman" w:hAnsi="Calibri" w:cs="Calibri"/>
                <w:color w:val="000000"/>
              </w:rPr>
            </w:pPr>
            <w:r w:rsidRPr="009B2904">
              <w:rPr>
                <w:rFonts w:ascii="Calibri" w:eastAsia="Times New Roman" w:hAnsi="Calibri" w:cs="Calibri"/>
                <w:color w:val="000000"/>
              </w:rPr>
              <w:t>IZ (&gt;1000)</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12</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0.95</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0.833333</w:t>
            </w:r>
          </w:p>
        </w:tc>
        <w:tc>
          <w:tcPr>
            <w:tcW w:w="105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0.1525</w:t>
            </w:r>
          </w:p>
        </w:tc>
        <w:tc>
          <w:tcPr>
            <w:tcW w:w="1297"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0.791666</w:t>
            </w:r>
          </w:p>
        </w:tc>
        <w:tc>
          <w:tcPr>
            <w:tcW w:w="1539"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10.20002</w:t>
            </w:r>
          </w:p>
        </w:tc>
        <w:tc>
          <w:tcPr>
            <w:tcW w:w="933" w:type="dxa"/>
            <w:shd w:val="clear" w:color="auto" w:fill="auto"/>
            <w:noWrap/>
            <w:vAlign w:val="bottom"/>
            <w:hideMark/>
          </w:tcPr>
          <w:p w:rsidR="009B2904" w:rsidRPr="009B2904" w:rsidRDefault="009B2904" w:rsidP="009B2904">
            <w:pPr>
              <w:spacing w:after="0" w:line="240" w:lineRule="auto"/>
              <w:jc w:val="right"/>
              <w:rPr>
                <w:rFonts w:ascii="Calibri" w:eastAsia="Times New Roman" w:hAnsi="Calibri" w:cs="Calibri"/>
                <w:color w:val="000000"/>
              </w:rPr>
            </w:pPr>
            <w:r w:rsidRPr="009B2904">
              <w:rPr>
                <w:rFonts w:ascii="Calibri" w:eastAsia="Times New Roman" w:hAnsi="Calibri" w:cs="Calibri"/>
                <w:color w:val="000000"/>
              </w:rPr>
              <w:t>0.58</w:t>
            </w:r>
          </w:p>
        </w:tc>
      </w:tr>
    </w:tbl>
    <w:p w:rsidR="009B2904" w:rsidRDefault="00E77325" w:rsidP="00E77325">
      <w:pPr>
        <w:pStyle w:val="a3"/>
        <w:spacing w:line="276" w:lineRule="auto"/>
        <w:jc w:val="both"/>
        <w:rPr>
          <w:b/>
          <w:bCs/>
        </w:rPr>
      </w:pPr>
      <w:r w:rsidRPr="00E77325">
        <w:rPr>
          <w:rStyle w:val="a7"/>
          <w:rFonts w:eastAsiaTheme="majorEastAsia"/>
          <w:b/>
          <w:bCs/>
          <w:i w:val="0"/>
          <w:iCs w:val="0"/>
        </w:rPr>
        <w:t>Appendix P: Zone-restricted ROC threshold performance metrics for the Upper Three Zones (U3Z) in AFP-based hepatocellular carcinoma diagnosis.</w:t>
      </w:r>
      <w:r>
        <w:br/>
      </w:r>
      <w:r w:rsidRPr="00D11515">
        <w:rPr>
          <w:sz w:val="22"/>
          <w:szCs w:val="22"/>
        </w:rPr>
        <w:t>This table presents threshold-specific false positive rates (FPR), true positive rates (TPR), and false negative rates (FNR) for the U3Z framework, where fixed proxy diagnostic scores (0.60, 0.80, 0.95) were assigned according to clinically defined AFP zone membership without generating synthetic cases. Lower thresholds increase sensitivity (TPR) at the expense of specificity (1 − FPR), while higher thresholds maximize specificity but miss a greater proportion of true cases.</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1129"/>
        <w:gridCol w:w="600"/>
        <w:gridCol w:w="600"/>
        <w:gridCol w:w="615"/>
      </w:tblGrid>
      <w:tr w:rsidR="00E77325" w:rsidRPr="00E77325" w:rsidTr="00A226E0">
        <w:trPr>
          <w:tblHeader/>
          <w:tblCellSpacing w:w="15" w:type="dxa"/>
        </w:trPr>
        <w:tc>
          <w:tcPr>
            <w:tcW w:w="0" w:type="auto"/>
            <w:vAlign w:val="center"/>
            <w:hideMark/>
          </w:tcPr>
          <w:p w:rsidR="00E77325" w:rsidRPr="00E77325" w:rsidRDefault="00E77325" w:rsidP="00E77325">
            <w:pPr>
              <w:spacing w:after="0" w:line="240" w:lineRule="auto"/>
              <w:jc w:val="center"/>
              <w:rPr>
                <w:rFonts w:ascii="Times New Roman" w:eastAsia="Times New Roman" w:hAnsi="Times New Roman" w:cs="Times New Roman"/>
                <w:b/>
                <w:bCs/>
                <w:sz w:val="24"/>
                <w:szCs w:val="24"/>
              </w:rPr>
            </w:pPr>
            <w:r w:rsidRPr="00E77325">
              <w:rPr>
                <w:rFonts w:ascii="Times New Roman" w:eastAsia="Times New Roman" w:hAnsi="Times New Roman" w:cs="Times New Roman"/>
                <w:b/>
                <w:bCs/>
                <w:sz w:val="24"/>
                <w:szCs w:val="24"/>
              </w:rPr>
              <w:t>Threshold</w:t>
            </w:r>
          </w:p>
        </w:tc>
        <w:tc>
          <w:tcPr>
            <w:tcW w:w="0" w:type="auto"/>
            <w:vAlign w:val="center"/>
            <w:hideMark/>
          </w:tcPr>
          <w:p w:rsidR="00E77325" w:rsidRPr="00E77325" w:rsidRDefault="00E77325" w:rsidP="00E77325">
            <w:pPr>
              <w:spacing w:after="0" w:line="240" w:lineRule="auto"/>
              <w:jc w:val="center"/>
              <w:rPr>
                <w:rFonts w:ascii="Times New Roman" w:eastAsia="Times New Roman" w:hAnsi="Times New Roman" w:cs="Times New Roman"/>
                <w:b/>
                <w:bCs/>
                <w:sz w:val="24"/>
                <w:szCs w:val="24"/>
              </w:rPr>
            </w:pPr>
            <w:r w:rsidRPr="00E77325">
              <w:rPr>
                <w:rFonts w:ascii="Times New Roman" w:eastAsia="Times New Roman" w:hAnsi="Times New Roman" w:cs="Times New Roman"/>
                <w:b/>
                <w:bCs/>
                <w:sz w:val="24"/>
                <w:szCs w:val="24"/>
              </w:rPr>
              <w:t>FPR</w:t>
            </w:r>
          </w:p>
        </w:tc>
        <w:tc>
          <w:tcPr>
            <w:tcW w:w="0" w:type="auto"/>
            <w:vAlign w:val="center"/>
            <w:hideMark/>
          </w:tcPr>
          <w:p w:rsidR="00E77325" w:rsidRPr="00E77325" w:rsidRDefault="00E77325" w:rsidP="00E77325">
            <w:pPr>
              <w:spacing w:after="0" w:line="240" w:lineRule="auto"/>
              <w:jc w:val="center"/>
              <w:rPr>
                <w:rFonts w:ascii="Times New Roman" w:eastAsia="Times New Roman" w:hAnsi="Times New Roman" w:cs="Times New Roman"/>
                <w:b/>
                <w:bCs/>
                <w:sz w:val="24"/>
                <w:szCs w:val="24"/>
              </w:rPr>
            </w:pPr>
            <w:r w:rsidRPr="00E77325">
              <w:rPr>
                <w:rFonts w:ascii="Times New Roman" w:eastAsia="Times New Roman" w:hAnsi="Times New Roman" w:cs="Times New Roman"/>
                <w:b/>
                <w:bCs/>
                <w:sz w:val="24"/>
                <w:szCs w:val="24"/>
              </w:rPr>
              <w:t>TPR</w:t>
            </w:r>
          </w:p>
        </w:tc>
        <w:tc>
          <w:tcPr>
            <w:tcW w:w="0" w:type="auto"/>
            <w:vAlign w:val="center"/>
            <w:hideMark/>
          </w:tcPr>
          <w:p w:rsidR="00E77325" w:rsidRPr="00E77325" w:rsidRDefault="00E77325" w:rsidP="00E77325">
            <w:pPr>
              <w:spacing w:after="0" w:line="240" w:lineRule="auto"/>
              <w:jc w:val="center"/>
              <w:rPr>
                <w:rFonts w:ascii="Times New Roman" w:eastAsia="Times New Roman" w:hAnsi="Times New Roman" w:cs="Times New Roman"/>
                <w:b/>
                <w:bCs/>
                <w:sz w:val="24"/>
                <w:szCs w:val="24"/>
              </w:rPr>
            </w:pPr>
            <w:r w:rsidRPr="00E77325">
              <w:rPr>
                <w:rFonts w:ascii="Times New Roman" w:eastAsia="Times New Roman" w:hAnsi="Times New Roman" w:cs="Times New Roman"/>
                <w:b/>
                <w:bCs/>
                <w:sz w:val="24"/>
                <w:szCs w:val="24"/>
              </w:rPr>
              <w:t>FNR</w:t>
            </w:r>
          </w:p>
        </w:tc>
      </w:tr>
      <w:tr w:rsidR="00E77325" w:rsidRPr="00E77325" w:rsidTr="00A226E0">
        <w:trPr>
          <w:tblCellSpacing w:w="15" w:type="dxa"/>
        </w:trPr>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&gt; 0.95</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0.000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0.000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1.000</w:t>
            </w:r>
          </w:p>
        </w:tc>
      </w:tr>
      <w:tr w:rsidR="00E77325" w:rsidRPr="00E77325" w:rsidTr="00A226E0">
        <w:trPr>
          <w:tblCellSpacing w:w="15" w:type="dxa"/>
        </w:trPr>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&gt; 0.80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0.043</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0.093</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0.907</w:t>
            </w:r>
          </w:p>
        </w:tc>
      </w:tr>
      <w:tr w:rsidR="00E77325" w:rsidRPr="00E77325" w:rsidTr="00A226E0">
        <w:trPr>
          <w:tblCellSpacing w:w="15" w:type="dxa"/>
        </w:trPr>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&gt; 0.60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0.143</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0.907</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0.093</w:t>
            </w:r>
          </w:p>
        </w:tc>
      </w:tr>
      <w:tr w:rsidR="00E77325" w:rsidRPr="00E77325" w:rsidTr="00A226E0">
        <w:trPr>
          <w:tblCellSpacing w:w="15" w:type="dxa"/>
        </w:trPr>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 0.60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1.000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1.000</w:t>
            </w:r>
          </w:p>
        </w:tc>
        <w:tc>
          <w:tcPr>
            <w:tcW w:w="0" w:type="auto"/>
            <w:vAlign w:val="center"/>
            <w:hideMark/>
          </w:tcPr>
          <w:p w:rsidR="00E77325" w:rsidRPr="00E77325" w:rsidRDefault="00E77325" w:rsidP="00E77325">
            <w:pPr>
              <w:spacing w:after="0" w:line="240" w:lineRule="auto"/>
              <w:rPr>
                <w:rFonts w:ascii="Times New Roman" w:eastAsia="Times New Roman" w:hAnsi="Times New Roman" w:cs="Times New Roman"/>
                <w:sz w:val="24"/>
                <w:szCs w:val="24"/>
              </w:rPr>
            </w:pPr>
            <w:r w:rsidRPr="00E77325">
              <w:rPr>
                <w:rFonts w:ascii="Times New Roman" w:eastAsia="Times New Roman" w:hAnsi="Times New Roman" w:cs="Times New Roman"/>
                <w:sz w:val="24"/>
                <w:szCs w:val="24"/>
              </w:rPr>
              <w:t>0.000</w:t>
            </w:r>
          </w:p>
        </w:tc>
      </w:tr>
    </w:tbl>
    <w:p w:rsidR="00D11515" w:rsidRPr="00D11515" w:rsidRDefault="00D11515" w:rsidP="00D11515">
      <w:pPr>
        <w:spacing w:before="100" w:beforeAutospacing="1" w:after="100" w:afterAutospacing="1" w:line="240" w:lineRule="auto"/>
        <w:rPr>
          <w:rFonts w:ascii="Times New Roman" w:eastAsia="Times New Roman" w:hAnsi="Times New Roman" w:cs="Times New Roman"/>
          <w:sz w:val="24"/>
          <w:szCs w:val="24"/>
        </w:rPr>
      </w:pPr>
      <w:proofErr w:type="gramStart"/>
      <w:r w:rsidRPr="00D11515">
        <w:rPr>
          <w:rFonts w:ascii="Times New Roman" w:eastAsia="Times New Roman" w:hAnsi="Times New Roman" w:cs="Times New Roman"/>
          <w:b/>
          <w:bCs/>
          <w:i/>
          <w:iCs/>
          <w:sz w:val="24"/>
          <w:szCs w:val="24"/>
        </w:rPr>
        <w:t>Appendix Q. Comparative Zone-Restricted and Traditional Performance Metrics for AFP-Based HCC Classification</w:t>
      </w:r>
      <w:r w:rsidRPr="00D11515">
        <w:rPr>
          <w:rFonts w:ascii="Times New Roman" w:eastAsia="Times New Roman" w:hAnsi="Times New Roman" w:cs="Times New Roman"/>
          <w:sz w:val="24"/>
          <w:szCs w:val="24"/>
        </w:rPr>
        <w:br/>
      </w:r>
      <w:r w:rsidRPr="00D11515">
        <w:rPr>
          <w:rFonts w:ascii="Times New Roman" w:eastAsia="Times New Roman" w:hAnsi="Times New Roman" w:cs="Times New Roman"/>
        </w:rPr>
        <w:t>Zone-based and traditional performance evaluation of an AFP-based hepatocellular carcinoma (HCC) classifier.</w:t>
      </w:r>
      <w:proofErr w:type="gramEnd"/>
      <w:r w:rsidRPr="00D11515">
        <w:rPr>
          <w:rFonts w:ascii="Times New Roman" w:eastAsia="Times New Roman" w:hAnsi="Times New Roman" w:cs="Times New Roman"/>
        </w:rPr>
        <w:t xml:space="preserve"> Metrics include AUC from ROC analysis, key Detection Error Tradeoff (DET) findings, Brier score calibration, and zone-specific clinical interpretation. The traditional ROC aggregates performance across the entire score range, while U3Z and L3Z restrict evaluation to high-certainty and ambiguous diagnostic ranges, respectively.</w:t>
      </w:r>
    </w:p>
    <w:tbl>
      <w:tblPr>
        <w:tblW w:w="0" w:type="auto"/>
        <w:tblCellSpacing w:w="15" w:type="dxa"/>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052"/>
        <w:gridCol w:w="892"/>
        <w:gridCol w:w="1842"/>
        <w:gridCol w:w="1579"/>
        <w:gridCol w:w="3085"/>
      </w:tblGrid>
      <w:tr w:rsidR="003D1609" w:rsidRPr="003D1609" w:rsidTr="00A226E0">
        <w:trPr>
          <w:tblHeader/>
          <w:tblCellSpacing w:w="15" w:type="dxa"/>
        </w:trPr>
        <w:tc>
          <w:tcPr>
            <w:tcW w:w="0" w:type="auto"/>
            <w:vAlign w:val="center"/>
            <w:hideMark/>
          </w:tcPr>
          <w:p w:rsidR="003D1609" w:rsidRPr="003D1609" w:rsidRDefault="003D1609" w:rsidP="003D1609">
            <w:pPr>
              <w:spacing w:after="0" w:line="240" w:lineRule="auto"/>
              <w:jc w:val="center"/>
              <w:rPr>
                <w:rFonts w:ascii="Times New Roman" w:eastAsia="Times New Roman" w:hAnsi="Times New Roman" w:cs="Times New Roman"/>
                <w:b/>
                <w:bCs/>
                <w:sz w:val="24"/>
                <w:szCs w:val="24"/>
              </w:rPr>
            </w:pPr>
            <w:r w:rsidRPr="003D1609">
              <w:rPr>
                <w:rFonts w:ascii="Times New Roman" w:eastAsia="Times New Roman" w:hAnsi="Times New Roman" w:cs="Times New Roman"/>
                <w:b/>
                <w:bCs/>
                <w:sz w:val="24"/>
                <w:szCs w:val="24"/>
              </w:rPr>
              <w:t>Zone Framework</w:t>
            </w:r>
          </w:p>
        </w:tc>
        <w:tc>
          <w:tcPr>
            <w:tcW w:w="0" w:type="auto"/>
            <w:vAlign w:val="center"/>
            <w:hideMark/>
          </w:tcPr>
          <w:p w:rsidR="003D1609" w:rsidRPr="003D1609" w:rsidRDefault="003D1609" w:rsidP="003D1609">
            <w:pPr>
              <w:spacing w:after="0" w:line="240" w:lineRule="auto"/>
              <w:jc w:val="center"/>
              <w:rPr>
                <w:rFonts w:ascii="Times New Roman" w:eastAsia="Times New Roman" w:hAnsi="Times New Roman" w:cs="Times New Roman"/>
                <w:b/>
                <w:bCs/>
                <w:sz w:val="24"/>
                <w:szCs w:val="24"/>
              </w:rPr>
            </w:pPr>
            <w:r w:rsidRPr="003D1609">
              <w:rPr>
                <w:rFonts w:ascii="Times New Roman" w:eastAsia="Times New Roman" w:hAnsi="Times New Roman" w:cs="Times New Roman"/>
                <w:b/>
                <w:bCs/>
                <w:sz w:val="24"/>
                <w:szCs w:val="24"/>
              </w:rPr>
              <w:t>AUC (ROC)</w:t>
            </w:r>
          </w:p>
        </w:tc>
        <w:tc>
          <w:tcPr>
            <w:tcW w:w="0" w:type="auto"/>
            <w:vAlign w:val="center"/>
            <w:hideMark/>
          </w:tcPr>
          <w:p w:rsidR="003D1609" w:rsidRPr="003D1609" w:rsidRDefault="003D1609" w:rsidP="003D1609">
            <w:pPr>
              <w:spacing w:after="0" w:line="240" w:lineRule="auto"/>
              <w:jc w:val="center"/>
              <w:rPr>
                <w:rFonts w:ascii="Times New Roman" w:eastAsia="Times New Roman" w:hAnsi="Times New Roman" w:cs="Times New Roman"/>
                <w:b/>
                <w:bCs/>
                <w:sz w:val="24"/>
                <w:szCs w:val="24"/>
              </w:rPr>
            </w:pPr>
            <w:r w:rsidRPr="003D1609">
              <w:rPr>
                <w:rFonts w:ascii="Times New Roman" w:eastAsia="Times New Roman" w:hAnsi="Times New Roman" w:cs="Times New Roman"/>
                <w:b/>
                <w:bCs/>
                <w:sz w:val="24"/>
                <w:szCs w:val="24"/>
              </w:rPr>
              <w:t>Key DET Finding</w:t>
            </w:r>
          </w:p>
        </w:tc>
        <w:tc>
          <w:tcPr>
            <w:tcW w:w="0" w:type="auto"/>
            <w:vAlign w:val="center"/>
            <w:hideMark/>
          </w:tcPr>
          <w:p w:rsidR="003D1609" w:rsidRPr="003D1609" w:rsidRDefault="003D1609" w:rsidP="003D1609">
            <w:pPr>
              <w:spacing w:after="0" w:line="240" w:lineRule="auto"/>
              <w:jc w:val="center"/>
              <w:rPr>
                <w:rFonts w:ascii="Times New Roman" w:eastAsia="Times New Roman" w:hAnsi="Times New Roman" w:cs="Times New Roman"/>
                <w:b/>
                <w:bCs/>
                <w:sz w:val="24"/>
                <w:szCs w:val="24"/>
              </w:rPr>
            </w:pPr>
            <w:r w:rsidRPr="003D1609">
              <w:rPr>
                <w:rFonts w:ascii="Times New Roman" w:eastAsia="Times New Roman" w:hAnsi="Times New Roman" w:cs="Times New Roman"/>
                <w:b/>
                <w:bCs/>
                <w:sz w:val="24"/>
                <w:szCs w:val="24"/>
              </w:rPr>
              <w:t>Calibration (Brier Score)</w:t>
            </w:r>
          </w:p>
        </w:tc>
        <w:tc>
          <w:tcPr>
            <w:tcW w:w="0" w:type="auto"/>
            <w:vAlign w:val="center"/>
            <w:hideMark/>
          </w:tcPr>
          <w:p w:rsidR="003D1609" w:rsidRPr="003D1609" w:rsidRDefault="003D1609" w:rsidP="003D1609">
            <w:pPr>
              <w:spacing w:after="0" w:line="240" w:lineRule="auto"/>
              <w:jc w:val="center"/>
              <w:rPr>
                <w:rFonts w:ascii="Times New Roman" w:eastAsia="Times New Roman" w:hAnsi="Times New Roman" w:cs="Times New Roman"/>
                <w:b/>
                <w:bCs/>
                <w:sz w:val="24"/>
                <w:szCs w:val="24"/>
              </w:rPr>
            </w:pPr>
            <w:r w:rsidRPr="003D1609">
              <w:rPr>
                <w:rFonts w:ascii="Times New Roman" w:eastAsia="Times New Roman" w:hAnsi="Times New Roman" w:cs="Times New Roman"/>
                <w:b/>
                <w:bCs/>
                <w:sz w:val="24"/>
                <w:szCs w:val="24"/>
              </w:rPr>
              <w:t>Clinical Interpretation</w:t>
            </w:r>
          </w:p>
        </w:tc>
      </w:tr>
      <w:tr w:rsidR="003D1609" w:rsidRPr="003D1609" w:rsidTr="00A226E0">
        <w:trPr>
          <w:tblCellSpacing w:w="15" w:type="dxa"/>
        </w:trPr>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b/>
                <w:bCs/>
                <w:sz w:val="24"/>
                <w:szCs w:val="24"/>
              </w:rPr>
              <w:t>Traditional</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0.68</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 xml:space="preserve">Balanced error </w:t>
            </w:r>
            <w:r w:rsidRPr="003D1609">
              <w:rPr>
                <w:rFonts w:ascii="Times New Roman" w:eastAsia="Times New Roman" w:hAnsi="Times New Roman" w:cs="Times New Roman"/>
                <w:sz w:val="24"/>
                <w:szCs w:val="24"/>
              </w:rPr>
              <w:lastRenderedPageBreak/>
              <w:t>trade-offs across thresholds</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lastRenderedPageBreak/>
              <w:t>0.12</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 xml:space="preserve">Overestimates performance </w:t>
            </w:r>
            <w:r w:rsidRPr="003D1609">
              <w:rPr>
                <w:rFonts w:ascii="Times New Roman" w:eastAsia="Times New Roman" w:hAnsi="Times New Roman" w:cs="Times New Roman"/>
                <w:sz w:val="24"/>
                <w:szCs w:val="24"/>
              </w:rPr>
              <w:lastRenderedPageBreak/>
              <w:t>due to inclusion of trivially classifiable low-AFP cases</w:t>
            </w:r>
          </w:p>
        </w:tc>
      </w:tr>
      <w:tr w:rsidR="003D1609" w:rsidRPr="003D1609" w:rsidTr="00A226E0">
        <w:trPr>
          <w:tblCellSpacing w:w="15" w:type="dxa"/>
        </w:trPr>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b/>
                <w:bCs/>
                <w:sz w:val="24"/>
                <w:szCs w:val="24"/>
              </w:rPr>
              <w:lastRenderedPageBreak/>
              <w:t>U3Z</w:t>
            </w:r>
            <w:r w:rsidRPr="003D1609">
              <w:rPr>
                <w:rFonts w:ascii="Times New Roman" w:eastAsia="Times New Roman" w:hAnsi="Times New Roman" w:cs="Times New Roman"/>
                <w:sz w:val="24"/>
                <w:szCs w:val="24"/>
              </w:rPr>
              <w:t xml:space="preserve"> (Trusted + Upper Plausible + Inflated)</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0.57</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High FNR at &gt;0.80 &amp; &gt;0.95 thresholds</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0.19</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Fragility in high-certainty ranges; risk of missed HCC despite high AFP</w:t>
            </w:r>
          </w:p>
        </w:tc>
      </w:tr>
      <w:tr w:rsidR="003D1609" w:rsidRPr="003D1609" w:rsidTr="00A226E0">
        <w:trPr>
          <w:tblCellSpacing w:w="15" w:type="dxa"/>
        </w:trPr>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b/>
                <w:bCs/>
                <w:sz w:val="24"/>
                <w:szCs w:val="24"/>
              </w:rPr>
              <w:t>L3Z</w:t>
            </w:r>
            <w:r w:rsidRPr="003D1609">
              <w:rPr>
                <w:rFonts w:ascii="Times New Roman" w:eastAsia="Times New Roman" w:hAnsi="Times New Roman" w:cs="Times New Roman"/>
                <w:sz w:val="24"/>
                <w:szCs w:val="24"/>
              </w:rPr>
              <w:t xml:space="preserve"> (Recessive + Lower Plausible + Trusted)</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0.66</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Stable error balance in ambiguous ranges</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0.11</w:t>
            </w:r>
          </w:p>
        </w:tc>
        <w:tc>
          <w:tcPr>
            <w:tcW w:w="0" w:type="auto"/>
            <w:vAlign w:val="center"/>
            <w:hideMark/>
          </w:tcPr>
          <w:p w:rsidR="003D1609" w:rsidRPr="003D1609" w:rsidRDefault="003D1609" w:rsidP="003D1609">
            <w:pPr>
              <w:spacing w:after="0" w:line="240" w:lineRule="auto"/>
              <w:rPr>
                <w:rFonts w:ascii="Times New Roman" w:eastAsia="Times New Roman" w:hAnsi="Times New Roman" w:cs="Times New Roman"/>
                <w:sz w:val="24"/>
                <w:szCs w:val="24"/>
              </w:rPr>
            </w:pPr>
            <w:r w:rsidRPr="003D1609">
              <w:rPr>
                <w:rFonts w:ascii="Times New Roman" w:eastAsia="Times New Roman" w:hAnsi="Times New Roman" w:cs="Times New Roman"/>
                <w:sz w:val="24"/>
                <w:szCs w:val="24"/>
              </w:rPr>
              <w:t>Better performance in low–mid AFP ranges; may aid early detection</w:t>
            </w:r>
          </w:p>
        </w:tc>
      </w:tr>
    </w:tbl>
    <w:p w:rsidR="0022733F" w:rsidRPr="0022733F" w:rsidRDefault="0022733F" w:rsidP="0022733F">
      <w:pPr>
        <w:spacing w:before="100" w:beforeAutospacing="1" w:after="100" w:afterAutospacing="1" w:line="240" w:lineRule="auto"/>
        <w:rPr>
          <w:rFonts w:ascii="Times New Roman" w:eastAsia="Times New Roman" w:hAnsi="Times New Roman" w:cs="Times New Roman"/>
          <w:sz w:val="24"/>
          <w:szCs w:val="24"/>
        </w:rPr>
      </w:pPr>
      <w:r w:rsidRPr="0022733F">
        <w:rPr>
          <w:rFonts w:ascii="Times New Roman" w:eastAsia="Times New Roman" w:hAnsi="Times New Roman" w:cs="Times New Roman"/>
          <w:b/>
          <w:bCs/>
          <w:sz w:val="24"/>
          <w:szCs w:val="24"/>
        </w:rPr>
        <w:t>Appendix R. Zone-Specific Utility Metrics for AFP-Based HCC Classification</w:t>
      </w:r>
      <w:r w:rsidRPr="0022733F">
        <w:rPr>
          <w:rFonts w:ascii="Times New Roman" w:eastAsia="Times New Roman" w:hAnsi="Times New Roman" w:cs="Times New Roman"/>
          <w:sz w:val="24"/>
          <w:szCs w:val="24"/>
        </w:rPr>
        <w:br/>
      </w:r>
      <w:r w:rsidRPr="0022733F">
        <w:rPr>
          <w:rFonts w:ascii="Times New Roman" w:eastAsia="Times New Roman" w:hAnsi="Times New Roman" w:cs="Times New Roman"/>
        </w:rPr>
        <w:t xml:space="preserve">Zone-level evaluation of an AFP-based hepatocellular carcinoma (HCC) classifier, incorporating clinical utility (Net Benefit), economic implications (Expected Cost), calibration accuracy (zone-specific Brier score, </w:t>
      </w:r>
      <w:proofErr w:type="spellStart"/>
      <w:r w:rsidRPr="0022733F">
        <w:rPr>
          <w:rFonts w:ascii="Times New Roman" w:eastAsia="Times New Roman" w:hAnsi="Times New Roman" w:cs="Times New Roman"/>
        </w:rPr>
        <w:t>Brier_z</w:t>
      </w:r>
      <w:proofErr w:type="spellEnd"/>
      <w:r w:rsidRPr="0022733F">
        <w:rPr>
          <w:rFonts w:ascii="Times New Roman" w:eastAsia="Times New Roman" w:hAnsi="Times New Roman" w:cs="Times New Roman"/>
        </w:rPr>
        <w:t>), and diagnostic misclassification burden (Zone-Based Error, ZBE). Higher Net Benefit and lower Expected Cost in high-AFP zones (UPZ, IZ) contrast with poorer calibration and higher error rates in low-AFP zones (RZ, LPZ), highlighting variability in decision value across diagnostic certainty levels</w:t>
      </w:r>
      <w:r w:rsidRPr="0022733F">
        <w:rPr>
          <w:rFonts w:ascii="Times New Roman" w:eastAsia="Times New Roman" w:hAnsi="Times New Roman" w:cs="Times New Roman"/>
          <w:i/>
          <w:iCs/>
          <w:sz w:val="24"/>
          <w:szCs w:val="24"/>
        </w:rPr>
        <w:t>.</w:t>
      </w:r>
    </w:p>
    <w:tbl>
      <w:tblPr>
        <w:tblW w:w="5501" w:type="dxa"/>
        <w:tblInd w:w="93" w:type="dxa"/>
        <w:tblBorders>
          <w:insideH w:val="single" w:sz="4" w:space="0" w:color="auto"/>
        </w:tblBorders>
        <w:tblLook w:val="04A0" w:firstRow="1" w:lastRow="0" w:firstColumn="1" w:lastColumn="0" w:noHBand="0" w:noVBand="1"/>
      </w:tblPr>
      <w:tblGrid>
        <w:gridCol w:w="1661"/>
        <w:gridCol w:w="1053"/>
        <w:gridCol w:w="1053"/>
        <w:gridCol w:w="1053"/>
        <w:gridCol w:w="960"/>
      </w:tblGrid>
      <w:tr w:rsidR="00B57DA4" w:rsidRPr="00B57DA4" w:rsidTr="00B57DA4">
        <w:trPr>
          <w:trHeight w:val="288"/>
        </w:trPr>
        <w:tc>
          <w:tcPr>
            <w:tcW w:w="1661"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sidRPr="00B57DA4">
              <w:rPr>
                <w:rFonts w:ascii="Calibri" w:eastAsia="Times New Roman" w:hAnsi="Calibri" w:cs="Calibri"/>
                <w:color w:val="000000"/>
              </w:rPr>
              <w:t>Zone</w:t>
            </w:r>
          </w:p>
        </w:tc>
        <w:tc>
          <w:tcPr>
            <w:tcW w:w="960"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sidRPr="00B57DA4">
              <w:rPr>
                <w:rFonts w:ascii="Calibri" w:eastAsia="Times New Roman" w:hAnsi="Calibri" w:cs="Calibri"/>
                <w:color w:val="000000"/>
              </w:rPr>
              <w:t>Net Benefit</w:t>
            </w:r>
          </w:p>
        </w:tc>
        <w:tc>
          <w:tcPr>
            <w:tcW w:w="960"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sidRPr="00B57DA4">
              <w:rPr>
                <w:rFonts w:ascii="Calibri" w:eastAsia="Times New Roman" w:hAnsi="Calibri" w:cs="Calibri"/>
                <w:color w:val="000000"/>
              </w:rPr>
              <w:t>Expected Cost</w:t>
            </w:r>
          </w:p>
        </w:tc>
        <w:tc>
          <w:tcPr>
            <w:tcW w:w="960"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proofErr w:type="spellStart"/>
            <w:r w:rsidRPr="00B57DA4">
              <w:rPr>
                <w:rFonts w:ascii="Calibri" w:eastAsia="Times New Roman" w:hAnsi="Calibri" w:cs="Calibri"/>
                <w:color w:val="000000"/>
              </w:rPr>
              <w:t>Brier_z</w:t>
            </w:r>
            <w:proofErr w:type="spellEnd"/>
          </w:p>
        </w:tc>
        <w:tc>
          <w:tcPr>
            <w:tcW w:w="960"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sidRPr="00B57DA4">
              <w:rPr>
                <w:rFonts w:ascii="Calibri" w:eastAsia="Times New Roman" w:hAnsi="Calibri" w:cs="Calibri"/>
                <w:color w:val="000000"/>
              </w:rPr>
              <w:t>ZBE</w:t>
            </w:r>
          </w:p>
        </w:tc>
      </w:tr>
      <w:tr w:rsidR="00B57DA4" w:rsidRPr="00B57DA4" w:rsidTr="00B57DA4">
        <w:trPr>
          <w:trHeight w:val="288"/>
        </w:trPr>
        <w:tc>
          <w:tcPr>
            <w:tcW w:w="1661"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sidRPr="00B57DA4">
              <w:rPr>
                <w:rFonts w:ascii="Calibri" w:eastAsia="Times New Roman" w:hAnsi="Calibri" w:cs="Calibri"/>
                <w:color w:val="000000"/>
              </w:rPr>
              <w:t>RZ (&lt;5)</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0.114584</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433.4998</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0.265</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1</w:t>
            </w:r>
          </w:p>
        </w:tc>
      </w:tr>
      <w:tr w:rsidR="00B57DA4" w:rsidRPr="00B57DA4" w:rsidTr="00B57DA4">
        <w:trPr>
          <w:trHeight w:val="288"/>
        </w:trPr>
        <w:tc>
          <w:tcPr>
            <w:tcW w:w="1661"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Pr>
                <w:rFonts w:ascii="Calibri" w:eastAsia="Times New Roman" w:hAnsi="Calibri" w:cs="Calibri"/>
                <w:color w:val="000000"/>
              </w:rPr>
              <w:t>LPZ (5-</w:t>
            </w:r>
            <w:r w:rsidRPr="00B57DA4">
              <w:rPr>
                <w:rFonts w:ascii="Calibri" w:eastAsia="Times New Roman" w:hAnsi="Calibri" w:cs="Calibri"/>
                <w:color w:val="000000"/>
              </w:rPr>
              <w:t>20)</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0.345237</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336.6003</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0.325714</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1</w:t>
            </w:r>
          </w:p>
        </w:tc>
      </w:tr>
      <w:tr w:rsidR="00B57DA4" w:rsidRPr="00B57DA4" w:rsidTr="00B57DA4">
        <w:trPr>
          <w:trHeight w:val="288"/>
        </w:trPr>
        <w:tc>
          <w:tcPr>
            <w:tcW w:w="1661"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Pr>
                <w:rFonts w:ascii="Calibri" w:eastAsia="Times New Roman" w:hAnsi="Calibri" w:cs="Calibri"/>
                <w:color w:val="000000"/>
              </w:rPr>
              <w:t>TZ (20-</w:t>
            </w:r>
            <w:r w:rsidRPr="00B57DA4">
              <w:rPr>
                <w:rFonts w:ascii="Calibri" w:eastAsia="Times New Roman" w:hAnsi="Calibri" w:cs="Calibri"/>
                <w:color w:val="000000"/>
              </w:rPr>
              <w:t>200)</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0.634434</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158.1001</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0.218491</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0.12</w:t>
            </w:r>
          </w:p>
        </w:tc>
      </w:tr>
      <w:tr w:rsidR="00B57DA4" w:rsidRPr="00B57DA4" w:rsidTr="00B57DA4">
        <w:trPr>
          <w:trHeight w:val="288"/>
        </w:trPr>
        <w:tc>
          <w:tcPr>
            <w:tcW w:w="1661"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Pr>
                <w:rFonts w:ascii="Calibri" w:eastAsia="Times New Roman" w:hAnsi="Calibri" w:cs="Calibri"/>
                <w:color w:val="000000"/>
              </w:rPr>
              <w:t>UPZ (200-</w:t>
            </w:r>
            <w:r w:rsidRPr="00B57DA4">
              <w:rPr>
                <w:rFonts w:ascii="Calibri" w:eastAsia="Times New Roman" w:hAnsi="Calibri" w:cs="Calibri"/>
                <w:color w:val="000000"/>
              </w:rPr>
              <w:t>1000)</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0.695946</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45.89995</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0.185946</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0.42</w:t>
            </w:r>
          </w:p>
        </w:tc>
      </w:tr>
      <w:tr w:rsidR="00B57DA4" w:rsidRPr="00B57DA4" w:rsidTr="00B57DA4">
        <w:trPr>
          <w:trHeight w:val="288"/>
        </w:trPr>
        <w:tc>
          <w:tcPr>
            <w:tcW w:w="1661" w:type="dxa"/>
            <w:shd w:val="clear" w:color="auto" w:fill="auto"/>
            <w:noWrap/>
            <w:vAlign w:val="bottom"/>
            <w:hideMark/>
          </w:tcPr>
          <w:p w:rsidR="00B57DA4" w:rsidRPr="00B57DA4" w:rsidRDefault="00B57DA4" w:rsidP="00B57DA4">
            <w:pPr>
              <w:spacing w:after="0" w:line="240" w:lineRule="auto"/>
              <w:rPr>
                <w:rFonts w:ascii="Calibri" w:eastAsia="Times New Roman" w:hAnsi="Calibri" w:cs="Calibri"/>
                <w:color w:val="000000"/>
              </w:rPr>
            </w:pPr>
            <w:r w:rsidRPr="00B57DA4">
              <w:rPr>
                <w:rFonts w:ascii="Calibri" w:eastAsia="Times New Roman" w:hAnsi="Calibri" w:cs="Calibri"/>
                <w:color w:val="000000"/>
              </w:rPr>
              <w:t>IZ (&gt;1000)</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0.791666</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10.20002</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0.1525</w:t>
            </w:r>
          </w:p>
        </w:tc>
        <w:tc>
          <w:tcPr>
            <w:tcW w:w="960" w:type="dxa"/>
            <w:shd w:val="clear" w:color="auto" w:fill="auto"/>
            <w:noWrap/>
            <w:vAlign w:val="bottom"/>
            <w:hideMark/>
          </w:tcPr>
          <w:p w:rsidR="00B57DA4" w:rsidRPr="00B57DA4" w:rsidRDefault="00B57DA4" w:rsidP="00B57DA4">
            <w:pPr>
              <w:spacing w:after="0" w:line="240" w:lineRule="auto"/>
              <w:jc w:val="right"/>
              <w:rPr>
                <w:rFonts w:ascii="Calibri" w:eastAsia="Times New Roman" w:hAnsi="Calibri" w:cs="Calibri"/>
                <w:color w:val="000000"/>
              </w:rPr>
            </w:pPr>
            <w:r w:rsidRPr="00B57DA4">
              <w:rPr>
                <w:rFonts w:ascii="Calibri" w:eastAsia="Times New Roman" w:hAnsi="Calibri" w:cs="Calibri"/>
                <w:color w:val="000000"/>
              </w:rPr>
              <w:t>0.58</w:t>
            </w:r>
          </w:p>
        </w:tc>
      </w:tr>
    </w:tbl>
    <w:p w:rsidR="00B57DA4" w:rsidRPr="00E03026" w:rsidRDefault="00B57DA4" w:rsidP="00055023">
      <w:pPr>
        <w:pStyle w:val="a3"/>
        <w:spacing w:line="276" w:lineRule="auto"/>
        <w:jc w:val="both"/>
        <w:rPr>
          <w:b/>
          <w:bCs/>
        </w:rPr>
      </w:pPr>
    </w:p>
    <w:sectPr w:rsidR="00B57DA4" w:rsidRPr="00E030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D31" w:rsidRDefault="00503D31" w:rsidP="00B42B43">
      <w:pPr>
        <w:spacing w:after="0" w:line="240" w:lineRule="auto"/>
      </w:pPr>
      <w:r>
        <w:separator/>
      </w:r>
    </w:p>
  </w:endnote>
  <w:endnote w:type="continuationSeparator" w:id="0">
    <w:p w:rsidR="00503D31" w:rsidRDefault="00503D31" w:rsidP="00B42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D31" w:rsidRDefault="00503D31" w:rsidP="00B42B43">
      <w:pPr>
        <w:spacing w:after="0" w:line="240" w:lineRule="auto"/>
      </w:pPr>
      <w:r>
        <w:separator/>
      </w:r>
    </w:p>
  </w:footnote>
  <w:footnote w:type="continuationSeparator" w:id="0">
    <w:p w:rsidR="00503D31" w:rsidRDefault="00503D31" w:rsidP="00B42B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20C46"/>
    <w:multiLevelType w:val="multilevel"/>
    <w:tmpl w:val="38EC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C249BD"/>
    <w:multiLevelType w:val="multilevel"/>
    <w:tmpl w:val="3296F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4D8"/>
    <w:rsid w:val="00055023"/>
    <w:rsid w:val="00064032"/>
    <w:rsid w:val="00064632"/>
    <w:rsid w:val="000677EE"/>
    <w:rsid w:val="00074277"/>
    <w:rsid w:val="000B2B9F"/>
    <w:rsid w:val="000B2FD5"/>
    <w:rsid w:val="000E1AC1"/>
    <w:rsid w:val="001539F7"/>
    <w:rsid w:val="001A3054"/>
    <w:rsid w:val="001B32A0"/>
    <w:rsid w:val="0022733F"/>
    <w:rsid w:val="002852C0"/>
    <w:rsid w:val="002B16D4"/>
    <w:rsid w:val="002B7B67"/>
    <w:rsid w:val="002D0E99"/>
    <w:rsid w:val="003217D9"/>
    <w:rsid w:val="003B7179"/>
    <w:rsid w:val="003C7D8D"/>
    <w:rsid w:val="003D1609"/>
    <w:rsid w:val="00400ED7"/>
    <w:rsid w:val="00413500"/>
    <w:rsid w:val="004150EC"/>
    <w:rsid w:val="004622E5"/>
    <w:rsid w:val="004A6D07"/>
    <w:rsid w:val="004B0EB3"/>
    <w:rsid w:val="004D73D3"/>
    <w:rsid w:val="00500714"/>
    <w:rsid w:val="00503D31"/>
    <w:rsid w:val="005203F4"/>
    <w:rsid w:val="005B16E1"/>
    <w:rsid w:val="00624E36"/>
    <w:rsid w:val="00650F2E"/>
    <w:rsid w:val="006733C8"/>
    <w:rsid w:val="006A35B5"/>
    <w:rsid w:val="006C4769"/>
    <w:rsid w:val="006E3E95"/>
    <w:rsid w:val="00766033"/>
    <w:rsid w:val="007A2C9F"/>
    <w:rsid w:val="007C17D3"/>
    <w:rsid w:val="00813355"/>
    <w:rsid w:val="00815D2A"/>
    <w:rsid w:val="0082587E"/>
    <w:rsid w:val="00852445"/>
    <w:rsid w:val="008C6386"/>
    <w:rsid w:val="008D128D"/>
    <w:rsid w:val="008E6D3E"/>
    <w:rsid w:val="008F33C7"/>
    <w:rsid w:val="00972A27"/>
    <w:rsid w:val="009B2904"/>
    <w:rsid w:val="009D0E7B"/>
    <w:rsid w:val="00A00510"/>
    <w:rsid w:val="00A226E0"/>
    <w:rsid w:val="00A860A1"/>
    <w:rsid w:val="00AB4EA3"/>
    <w:rsid w:val="00B07E1E"/>
    <w:rsid w:val="00B3472C"/>
    <w:rsid w:val="00B42839"/>
    <w:rsid w:val="00B42B43"/>
    <w:rsid w:val="00B54BC5"/>
    <w:rsid w:val="00B57DA4"/>
    <w:rsid w:val="00B64E23"/>
    <w:rsid w:val="00B81F94"/>
    <w:rsid w:val="00B93687"/>
    <w:rsid w:val="00B95152"/>
    <w:rsid w:val="00BC05C1"/>
    <w:rsid w:val="00C20603"/>
    <w:rsid w:val="00C87B6B"/>
    <w:rsid w:val="00D11515"/>
    <w:rsid w:val="00D4000D"/>
    <w:rsid w:val="00DB0690"/>
    <w:rsid w:val="00DB5BBE"/>
    <w:rsid w:val="00DD23F8"/>
    <w:rsid w:val="00E03026"/>
    <w:rsid w:val="00E50BD7"/>
    <w:rsid w:val="00E554D8"/>
    <w:rsid w:val="00E77325"/>
    <w:rsid w:val="00E933B8"/>
    <w:rsid w:val="00EB79D9"/>
    <w:rsid w:val="00ED6986"/>
    <w:rsid w:val="00F6250D"/>
    <w:rsid w:val="00F8782E"/>
    <w:rsid w:val="00F93093"/>
    <w:rsid w:val="00FB5808"/>
    <w:rsid w:val="00FB5FA0"/>
    <w:rsid w:val="00FC7287"/>
    <w:rsid w:val="00FD2DF5"/>
    <w:rsid w:val="00FD4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ED7"/>
  </w:style>
  <w:style w:type="paragraph" w:styleId="2">
    <w:name w:val="heading 2"/>
    <w:basedOn w:val="a"/>
    <w:next w:val="a"/>
    <w:link w:val="2Char"/>
    <w:uiPriority w:val="9"/>
    <w:semiHidden/>
    <w:unhideWhenUsed/>
    <w:qFormat/>
    <w:rsid w:val="00400E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400E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semiHidden/>
    <w:unhideWhenUsed/>
    <w:qFormat/>
    <w:rsid w:val="00400ED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400ED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400ED7"/>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400ED7"/>
    <w:rPr>
      <w:rFonts w:ascii="Times New Roman" w:eastAsia="Times New Roman" w:hAnsi="Times New Roman" w:cs="Times New Roman"/>
      <w:b/>
      <w:bCs/>
      <w:sz w:val="27"/>
      <w:szCs w:val="27"/>
    </w:rPr>
  </w:style>
  <w:style w:type="character" w:customStyle="1" w:styleId="4Char">
    <w:name w:val="عنوان 4 Char"/>
    <w:basedOn w:val="a0"/>
    <w:link w:val="4"/>
    <w:uiPriority w:val="9"/>
    <w:semiHidden/>
    <w:rsid w:val="00400ED7"/>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semiHidden/>
    <w:rsid w:val="00400ED7"/>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400E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00ED7"/>
    <w:rPr>
      <w:b/>
      <w:bCs/>
    </w:rPr>
  </w:style>
  <w:style w:type="character" w:styleId="HTMLCode">
    <w:name w:val="HTML Code"/>
    <w:basedOn w:val="a0"/>
    <w:uiPriority w:val="99"/>
    <w:semiHidden/>
    <w:unhideWhenUsed/>
    <w:rsid w:val="00400ED7"/>
    <w:rPr>
      <w:rFonts w:ascii="Courier New" w:eastAsia="Times New Roman" w:hAnsi="Courier New" w:cs="Courier New"/>
      <w:sz w:val="20"/>
      <w:szCs w:val="20"/>
    </w:rPr>
  </w:style>
  <w:style w:type="paragraph" w:styleId="a5">
    <w:name w:val="Balloon Text"/>
    <w:basedOn w:val="a"/>
    <w:link w:val="Char"/>
    <w:uiPriority w:val="99"/>
    <w:semiHidden/>
    <w:unhideWhenUsed/>
    <w:rsid w:val="00400ED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00ED7"/>
    <w:rPr>
      <w:rFonts w:ascii="Tahoma" w:hAnsi="Tahoma" w:cs="Tahoma"/>
      <w:sz w:val="16"/>
      <w:szCs w:val="16"/>
    </w:rPr>
  </w:style>
  <w:style w:type="character" w:styleId="Hyperlink">
    <w:name w:val="Hyperlink"/>
    <w:basedOn w:val="a0"/>
    <w:uiPriority w:val="99"/>
    <w:semiHidden/>
    <w:unhideWhenUsed/>
    <w:rsid w:val="00400ED7"/>
    <w:rPr>
      <w:color w:val="0000FF"/>
      <w:u w:val="single"/>
    </w:rPr>
  </w:style>
  <w:style w:type="character" w:styleId="a6">
    <w:name w:val="FollowedHyperlink"/>
    <w:basedOn w:val="a0"/>
    <w:uiPriority w:val="99"/>
    <w:semiHidden/>
    <w:unhideWhenUsed/>
    <w:rsid w:val="00400ED7"/>
    <w:rPr>
      <w:color w:val="800080"/>
      <w:u w:val="single"/>
    </w:rPr>
  </w:style>
  <w:style w:type="character" w:styleId="a7">
    <w:name w:val="Emphasis"/>
    <w:basedOn w:val="a0"/>
    <w:uiPriority w:val="20"/>
    <w:qFormat/>
    <w:rsid w:val="00400ED7"/>
    <w:rPr>
      <w:i/>
      <w:iCs/>
    </w:rPr>
  </w:style>
  <w:style w:type="paragraph" w:styleId="a8">
    <w:name w:val="List Paragraph"/>
    <w:basedOn w:val="a"/>
    <w:uiPriority w:val="34"/>
    <w:qFormat/>
    <w:rsid w:val="00400ED7"/>
    <w:pPr>
      <w:ind w:left="720"/>
      <w:contextualSpacing/>
    </w:pPr>
  </w:style>
  <w:style w:type="paragraph" w:styleId="a9">
    <w:name w:val="header"/>
    <w:basedOn w:val="a"/>
    <w:link w:val="Char0"/>
    <w:uiPriority w:val="99"/>
    <w:unhideWhenUsed/>
    <w:rsid w:val="00400ED7"/>
    <w:pPr>
      <w:tabs>
        <w:tab w:val="center" w:pos="4320"/>
        <w:tab w:val="right" w:pos="8640"/>
      </w:tabs>
      <w:spacing w:after="0" w:line="240" w:lineRule="auto"/>
    </w:pPr>
  </w:style>
  <w:style w:type="character" w:customStyle="1" w:styleId="Char0">
    <w:name w:val="رأس الصفحة Char"/>
    <w:basedOn w:val="a0"/>
    <w:link w:val="a9"/>
    <w:uiPriority w:val="99"/>
    <w:rsid w:val="00400ED7"/>
  </w:style>
  <w:style w:type="paragraph" w:styleId="aa">
    <w:name w:val="footer"/>
    <w:basedOn w:val="a"/>
    <w:link w:val="Char1"/>
    <w:uiPriority w:val="99"/>
    <w:unhideWhenUsed/>
    <w:rsid w:val="00400ED7"/>
    <w:pPr>
      <w:tabs>
        <w:tab w:val="center" w:pos="4320"/>
        <w:tab w:val="right" w:pos="8640"/>
      </w:tabs>
      <w:spacing w:after="0" w:line="240" w:lineRule="auto"/>
    </w:pPr>
  </w:style>
  <w:style w:type="character" w:customStyle="1" w:styleId="Char1">
    <w:name w:val="تذييل الصفحة Char"/>
    <w:basedOn w:val="a0"/>
    <w:link w:val="aa"/>
    <w:uiPriority w:val="99"/>
    <w:rsid w:val="00400ED7"/>
  </w:style>
  <w:style w:type="paragraph" w:styleId="ab">
    <w:name w:val="endnote text"/>
    <w:basedOn w:val="a"/>
    <w:link w:val="Char2"/>
    <w:uiPriority w:val="99"/>
    <w:semiHidden/>
    <w:unhideWhenUsed/>
    <w:rsid w:val="00400ED7"/>
    <w:pPr>
      <w:spacing w:after="0" w:line="240" w:lineRule="auto"/>
    </w:pPr>
    <w:rPr>
      <w:sz w:val="20"/>
      <w:szCs w:val="20"/>
    </w:rPr>
  </w:style>
  <w:style w:type="character" w:customStyle="1" w:styleId="Char2">
    <w:name w:val="نص تعليق ختامي Char"/>
    <w:basedOn w:val="a0"/>
    <w:link w:val="ab"/>
    <w:uiPriority w:val="99"/>
    <w:semiHidden/>
    <w:rsid w:val="00400ED7"/>
    <w:rPr>
      <w:sz w:val="20"/>
      <w:szCs w:val="20"/>
    </w:rPr>
  </w:style>
  <w:style w:type="character" w:styleId="ac">
    <w:name w:val="endnote reference"/>
    <w:basedOn w:val="a0"/>
    <w:uiPriority w:val="99"/>
    <w:semiHidden/>
    <w:unhideWhenUsed/>
    <w:rsid w:val="00400ED7"/>
    <w:rPr>
      <w:vertAlign w:val="superscript"/>
    </w:rPr>
  </w:style>
  <w:style w:type="character" w:customStyle="1" w:styleId="contributors">
    <w:name w:val="contributors"/>
    <w:basedOn w:val="a0"/>
    <w:rsid w:val="00400ED7"/>
  </w:style>
  <w:style w:type="character" w:customStyle="1" w:styleId="publisher-location">
    <w:name w:val="publisher-location"/>
    <w:basedOn w:val="a0"/>
    <w:rsid w:val="00400ED7"/>
  </w:style>
  <w:style w:type="character" w:customStyle="1" w:styleId="print-publication-date">
    <w:name w:val="print-publication-date"/>
    <w:basedOn w:val="a0"/>
    <w:rsid w:val="00400ED7"/>
  </w:style>
  <w:style w:type="character" w:customStyle="1" w:styleId="online-edition">
    <w:name w:val="online-edition"/>
    <w:basedOn w:val="a0"/>
    <w:rsid w:val="00400ED7"/>
  </w:style>
  <w:style w:type="character" w:customStyle="1" w:styleId="containing-site">
    <w:name w:val="containing-site"/>
    <w:basedOn w:val="a0"/>
    <w:rsid w:val="00400ED7"/>
  </w:style>
  <w:style w:type="character" w:customStyle="1" w:styleId="online-publication-date">
    <w:name w:val="online-publication-date"/>
    <w:basedOn w:val="a0"/>
    <w:rsid w:val="00400ED7"/>
  </w:style>
  <w:style w:type="character" w:customStyle="1" w:styleId="accessed-date">
    <w:name w:val="accessed-date"/>
    <w:basedOn w:val="a0"/>
    <w:rsid w:val="00400ED7"/>
  </w:style>
  <w:style w:type="character" w:customStyle="1" w:styleId="grow">
    <w:name w:val="grow"/>
    <w:basedOn w:val="a0"/>
    <w:rsid w:val="004D73D3"/>
  </w:style>
  <w:style w:type="character" w:customStyle="1" w:styleId="whitespace-nowrap">
    <w:name w:val="whitespace-nowrap!"/>
    <w:basedOn w:val="a0"/>
    <w:rsid w:val="002B16D4"/>
  </w:style>
  <w:style w:type="paragraph" w:styleId="HTML">
    <w:name w:val="HTML Preformatted"/>
    <w:basedOn w:val="a"/>
    <w:link w:val="HTMLChar"/>
    <w:uiPriority w:val="99"/>
    <w:semiHidden/>
    <w:unhideWhenUsed/>
    <w:rsid w:val="00DD2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DD23F8"/>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ED7"/>
  </w:style>
  <w:style w:type="paragraph" w:styleId="2">
    <w:name w:val="heading 2"/>
    <w:basedOn w:val="a"/>
    <w:next w:val="a"/>
    <w:link w:val="2Char"/>
    <w:uiPriority w:val="9"/>
    <w:semiHidden/>
    <w:unhideWhenUsed/>
    <w:qFormat/>
    <w:rsid w:val="00400ED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Char"/>
    <w:uiPriority w:val="9"/>
    <w:qFormat/>
    <w:rsid w:val="00400E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Char"/>
    <w:uiPriority w:val="9"/>
    <w:semiHidden/>
    <w:unhideWhenUsed/>
    <w:qFormat/>
    <w:rsid w:val="00400ED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400ED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400ED7"/>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400ED7"/>
    <w:rPr>
      <w:rFonts w:ascii="Times New Roman" w:eastAsia="Times New Roman" w:hAnsi="Times New Roman" w:cs="Times New Roman"/>
      <w:b/>
      <w:bCs/>
      <w:sz w:val="27"/>
      <w:szCs w:val="27"/>
    </w:rPr>
  </w:style>
  <w:style w:type="character" w:customStyle="1" w:styleId="4Char">
    <w:name w:val="عنوان 4 Char"/>
    <w:basedOn w:val="a0"/>
    <w:link w:val="4"/>
    <w:uiPriority w:val="9"/>
    <w:semiHidden/>
    <w:rsid w:val="00400ED7"/>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semiHidden/>
    <w:rsid w:val="00400ED7"/>
    <w:rPr>
      <w:rFonts w:asciiTheme="majorHAnsi" w:eastAsiaTheme="majorEastAsia" w:hAnsiTheme="majorHAnsi" w:cstheme="majorBidi"/>
      <w:color w:val="243F60" w:themeColor="accent1" w:themeShade="7F"/>
    </w:rPr>
  </w:style>
  <w:style w:type="paragraph" w:styleId="a3">
    <w:name w:val="Normal (Web)"/>
    <w:basedOn w:val="a"/>
    <w:uiPriority w:val="99"/>
    <w:unhideWhenUsed/>
    <w:rsid w:val="00400ED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00ED7"/>
    <w:rPr>
      <w:b/>
      <w:bCs/>
    </w:rPr>
  </w:style>
  <w:style w:type="character" w:styleId="HTMLCode">
    <w:name w:val="HTML Code"/>
    <w:basedOn w:val="a0"/>
    <w:uiPriority w:val="99"/>
    <w:semiHidden/>
    <w:unhideWhenUsed/>
    <w:rsid w:val="00400ED7"/>
    <w:rPr>
      <w:rFonts w:ascii="Courier New" w:eastAsia="Times New Roman" w:hAnsi="Courier New" w:cs="Courier New"/>
      <w:sz w:val="20"/>
      <w:szCs w:val="20"/>
    </w:rPr>
  </w:style>
  <w:style w:type="paragraph" w:styleId="a5">
    <w:name w:val="Balloon Text"/>
    <w:basedOn w:val="a"/>
    <w:link w:val="Char"/>
    <w:uiPriority w:val="99"/>
    <w:semiHidden/>
    <w:unhideWhenUsed/>
    <w:rsid w:val="00400ED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00ED7"/>
    <w:rPr>
      <w:rFonts w:ascii="Tahoma" w:hAnsi="Tahoma" w:cs="Tahoma"/>
      <w:sz w:val="16"/>
      <w:szCs w:val="16"/>
    </w:rPr>
  </w:style>
  <w:style w:type="character" w:styleId="Hyperlink">
    <w:name w:val="Hyperlink"/>
    <w:basedOn w:val="a0"/>
    <w:uiPriority w:val="99"/>
    <w:semiHidden/>
    <w:unhideWhenUsed/>
    <w:rsid w:val="00400ED7"/>
    <w:rPr>
      <w:color w:val="0000FF"/>
      <w:u w:val="single"/>
    </w:rPr>
  </w:style>
  <w:style w:type="character" w:styleId="a6">
    <w:name w:val="FollowedHyperlink"/>
    <w:basedOn w:val="a0"/>
    <w:uiPriority w:val="99"/>
    <w:semiHidden/>
    <w:unhideWhenUsed/>
    <w:rsid w:val="00400ED7"/>
    <w:rPr>
      <w:color w:val="800080"/>
      <w:u w:val="single"/>
    </w:rPr>
  </w:style>
  <w:style w:type="character" w:styleId="a7">
    <w:name w:val="Emphasis"/>
    <w:basedOn w:val="a0"/>
    <w:uiPriority w:val="20"/>
    <w:qFormat/>
    <w:rsid w:val="00400ED7"/>
    <w:rPr>
      <w:i/>
      <w:iCs/>
    </w:rPr>
  </w:style>
  <w:style w:type="paragraph" w:styleId="a8">
    <w:name w:val="List Paragraph"/>
    <w:basedOn w:val="a"/>
    <w:uiPriority w:val="34"/>
    <w:qFormat/>
    <w:rsid w:val="00400ED7"/>
    <w:pPr>
      <w:ind w:left="720"/>
      <w:contextualSpacing/>
    </w:pPr>
  </w:style>
  <w:style w:type="paragraph" w:styleId="a9">
    <w:name w:val="header"/>
    <w:basedOn w:val="a"/>
    <w:link w:val="Char0"/>
    <w:uiPriority w:val="99"/>
    <w:unhideWhenUsed/>
    <w:rsid w:val="00400ED7"/>
    <w:pPr>
      <w:tabs>
        <w:tab w:val="center" w:pos="4320"/>
        <w:tab w:val="right" w:pos="8640"/>
      </w:tabs>
      <w:spacing w:after="0" w:line="240" w:lineRule="auto"/>
    </w:pPr>
  </w:style>
  <w:style w:type="character" w:customStyle="1" w:styleId="Char0">
    <w:name w:val="رأس الصفحة Char"/>
    <w:basedOn w:val="a0"/>
    <w:link w:val="a9"/>
    <w:uiPriority w:val="99"/>
    <w:rsid w:val="00400ED7"/>
  </w:style>
  <w:style w:type="paragraph" w:styleId="aa">
    <w:name w:val="footer"/>
    <w:basedOn w:val="a"/>
    <w:link w:val="Char1"/>
    <w:uiPriority w:val="99"/>
    <w:unhideWhenUsed/>
    <w:rsid w:val="00400ED7"/>
    <w:pPr>
      <w:tabs>
        <w:tab w:val="center" w:pos="4320"/>
        <w:tab w:val="right" w:pos="8640"/>
      </w:tabs>
      <w:spacing w:after="0" w:line="240" w:lineRule="auto"/>
    </w:pPr>
  </w:style>
  <w:style w:type="character" w:customStyle="1" w:styleId="Char1">
    <w:name w:val="تذييل الصفحة Char"/>
    <w:basedOn w:val="a0"/>
    <w:link w:val="aa"/>
    <w:uiPriority w:val="99"/>
    <w:rsid w:val="00400ED7"/>
  </w:style>
  <w:style w:type="paragraph" w:styleId="ab">
    <w:name w:val="endnote text"/>
    <w:basedOn w:val="a"/>
    <w:link w:val="Char2"/>
    <w:uiPriority w:val="99"/>
    <w:semiHidden/>
    <w:unhideWhenUsed/>
    <w:rsid w:val="00400ED7"/>
    <w:pPr>
      <w:spacing w:after="0" w:line="240" w:lineRule="auto"/>
    </w:pPr>
    <w:rPr>
      <w:sz w:val="20"/>
      <w:szCs w:val="20"/>
    </w:rPr>
  </w:style>
  <w:style w:type="character" w:customStyle="1" w:styleId="Char2">
    <w:name w:val="نص تعليق ختامي Char"/>
    <w:basedOn w:val="a0"/>
    <w:link w:val="ab"/>
    <w:uiPriority w:val="99"/>
    <w:semiHidden/>
    <w:rsid w:val="00400ED7"/>
    <w:rPr>
      <w:sz w:val="20"/>
      <w:szCs w:val="20"/>
    </w:rPr>
  </w:style>
  <w:style w:type="character" w:styleId="ac">
    <w:name w:val="endnote reference"/>
    <w:basedOn w:val="a0"/>
    <w:uiPriority w:val="99"/>
    <w:semiHidden/>
    <w:unhideWhenUsed/>
    <w:rsid w:val="00400ED7"/>
    <w:rPr>
      <w:vertAlign w:val="superscript"/>
    </w:rPr>
  </w:style>
  <w:style w:type="character" w:customStyle="1" w:styleId="contributors">
    <w:name w:val="contributors"/>
    <w:basedOn w:val="a0"/>
    <w:rsid w:val="00400ED7"/>
  </w:style>
  <w:style w:type="character" w:customStyle="1" w:styleId="publisher-location">
    <w:name w:val="publisher-location"/>
    <w:basedOn w:val="a0"/>
    <w:rsid w:val="00400ED7"/>
  </w:style>
  <w:style w:type="character" w:customStyle="1" w:styleId="print-publication-date">
    <w:name w:val="print-publication-date"/>
    <w:basedOn w:val="a0"/>
    <w:rsid w:val="00400ED7"/>
  </w:style>
  <w:style w:type="character" w:customStyle="1" w:styleId="online-edition">
    <w:name w:val="online-edition"/>
    <w:basedOn w:val="a0"/>
    <w:rsid w:val="00400ED7"/>
  </w:style>
  <w:style w:type="character" w:customStyle="1" w:styleId="containing-site">
    <w:name w:val="containing-site"/>
    <w:basedOn w:val="a0"/>
    <w:rsid w:val="00400ED7"/>
  </w:style>
  <w:style w:type="character" w:customStyle="1" w:styleId="online-publication-date">
    <w:name w:val="online-publication-date"/>
    <w:basedOn w:val="a0"/>
    <w:rsid w:val="00400ED7"/>
  </w:style>
  <w:style w:type="character" w:customStyle="1" w:styleId="accessed-date">
    <w:name w:val="accessed-date"/>
    <w:basedOn w:val="a0"/>
    <w:rsid w:val="00400ED7"/>
  </w:style>
  <w:style w:type="character" w:customStyle="1" w:styleId="grow">
    <w:name w:val="grow"/>
    <w:basedOn w:val="a0"/>
    <w:rsid w:val="004D73D3"/>
  </w:style>
  <w:style w:type="character" w:customStyle="1" w:styleId="whitespace-nowrap">
    <w:name w:val="whitespace-nowrap!"/>
    <w:basedOn w:val="a0"/>
    <w:rsid w:val="002B16D4"/>
  </w:style>
  <w:style w:type="paragraph" w:styleId="HTML">
    <w:name w:val="HTML Preformatted"/>
    <w:basedOn w:val="a"/>
    <w:link w:val="HTMLChar"/>
    <w:uiPriority w:val="99"/>
    <w:semiHidden/>
    <w:unhideWhenUsed/>
    <w:rsid w:val="00DD2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semiHidden/>
    <w:rsid w:val="00DD23F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7877">
      <w:bodyDiv w:val="1"/>
      <w:marLeft w:val="0"/>
      <w:marRight w:val="0"/>
      <w:marTop w:val="0"/>
      <w:marBottom w:val="0"/>
      <w:divBdr>
        <w:top w:val="none" w:sz="0" w:space="0" w:color="auto"/>
        <w:left w:val="none" w:sz="0" w:space="0" w:color="auto"/>
        <w:bottom w:val="none" w:sz="0" w:space="0" w:color="auto"/>
        <w:right w:val="none" w:sz="0" w:space="0" w:color="auto"/>
      </w:divBdr>
    </w:div>
    <w:div w:id="286207424">
      <w:bodyDiv w:val="1"/>
      <w:marLeft w:val="0"/>
      <w:marRight w:val="0"/>
      <w:marTop w:val="0"/>
      <w:marBottom w:val="0"/>
      <w:divBdr>
        <w:top w:val="none" w:sz="0" w:space="0" w:color="auto"/>
        <w:left w:val="none" w:sz="0" w:space="0" w:color="auto"/>
        <w:bottom w:val="none" w:sz="0" w:space="0" w:color="auto"/>
        <w:right w:val="none" w:sz="0" w:space="0" w:color="auto"/>
      </w:divBdr>
      <w:divsChild>
        <w:div w:id="1459177044">
          <w:marLeft w:val="0"/>
          <w:marRight w:val="0"/>
          <w:marTop w:val="0"/>
          <w:marBottom w:val="0"/>
          <w:divBdr>
            <w:top w:val="none" w:sz="0" w:space="0" w:color="auto"/>
            <w:left w:val="none" w:sz="0" w:space="0" w:color="auto"/>
            <w:bottom w:val="none" w:sz="0" w:space="0" w:color="auto"/>
            <w:right w:val="none" w:sz="0" w:space="0" w:color="auto"/>
          </w:divBdr>
          <w:divsChild>
            <w:div w:id="1993367571">
              <w:marLeft w:val="0"/>
              <w:marRight w:val="0"/>
              <w:marTop w:val="0"/>
              <w:marBottom w:val="0"/>
              <w:divBdr>
                <w:top w:val="none" w:sz="0" w:space="0" w:color="auto"/>
                <w:left w:val="none" w:sz="0" w:space="0" w:color="auto"/>
                <w:bottom w:val="none" w:sz="0" w:space="0" w:color="auto"/>
                <w:right w:val="none" w:sz="0" w:space="0" w:color="auto"/>
              </w:divBdr>
              <w:divsChild>
                <w:div w:id="144903263">
                  <w:marLeft w:val="0"/>
                  <w:marRight w:val="0"/>
                  <w:marTop w:val="0"/>
                  <w:marBottom w:val="0"/>
                  <w:divBdr>
                    <w:top w:val="none" w:sz="0" w:space="0" w:color="auto"/>
                    <w:left w:val="none" w:sz="0" w:space="0" w:color="auto"/>
                    <w:bottom w:val="none" w:sz="0" w:space="0" w:color="auto"/>
                    <w:right w:val="none" w:sz="0" w:space="0" w:color="auto"/>
                  </w:divBdr>
                </w:div>
                <w:div w:id="889809080">
                  <w:marLeft w:val="0"/>
                  <w:marRight w:val="0"/>
                  <w:marTop w:val="0"/>
                  <w:marBottom w:val="0"/>
                  <w:divBdr>
                    <w:top w:val="none" w:sz="0" w:space="0" w:color="auto"/>
                    <w:left w:val="none" w:sz="0" w:space="0" w:color="auto"/>
                    <w:bottom w:val="none" w:sz="0" w:space="0" w:color="auto"/>
                    <w:right w:val="none" w:sz="0" w:space="0" w:color="auto"/>
                  </w:divBdr>
                  <w:divsChild>
                    <w:div w:id="199825551">
                      <w:marLeft w:val="0"/>
                      <w:marRight w:val="0"/>
                      <w:marTop w:val="0"/>
                      <w:marBottom w:val="0"/>
                      <w:divBdr>
                        <w:top w:val="none" w:sz="0" w:space="0" w:color="auto"/>
                        <w:left w:val="none" w:sz="0" w:space="0" w:color="auto"/>
                        <w:bottom w:val="none" w:sz="0" w:space="0" w:color="auto"/>
                        <w:right w:val="none" w:sz="0" w:space="0" w:color="auto"/>
                      </w:divBdr>
                      <w:divsChild>
                        <w:div w:id="1557088491">
                          <w:marLeft w:val="0"/>
                          <w:marRight w:val="0"/>
                          <w:marTop w:val="0"/>
                          <w:marBottom w:val="0"/>
                          <w:divBdr>
                            <w:top w:val="none" w:sz="0" w:space="0" w:color="auto"/>
                            <w:left w:val="none" w:sz="0" w:space="0" w:color="auto"/>
                            <w:bottom w:val="none" w:sz="0" w:space="0" w:color="auto"/>
                            <w:right w:val="none" w:sz="0" w:space="0" w:color="auto"/>
                          </w:divBdr>
                          <w:divsChild>
                            <w:div w:id="417025222">
                              <w:marLeft w:val="0"/>
                              <w:marRight w:val="0"/>
                              <w:marTop w:val="0"/>
                              <w:marBottom w:val="0"/>
                              <w:divBdr>
                                <w:top w:val="none" w:sz="0" w:space="0" w:color="auto"/>
                                <w:left w:val="none" w:sz="0" w:space="0" w:color="auto"/>
                                <w:bottom w:val="none" w:sz="0" w:space="0" w:color="auto"/>
                                <w:right w:val="none" w:sz="0" w:space="0" w:color="auto"/>
                              </w:divBdr>
                              <w:divsChild>
                                <w:div w:id="1626623632">
                                  <w:marLeft w:val="0"/>
                                  <w:marRight w:val="0"/>
                                  <w:marTop w:val="0"/>
                                  <w:marBottom w:val="0"/>
                                  <w:divBdr>
                                    <w:top w:val="none" w:sz="0" w:space="0" w:color="auto"/>
                                    <w:left w:val="none" w:sz="0" w:space="0" w:color="auto"/>
                                    <w:bottom w:val="none" w:sz="0" w:space="0" w:color="auto"/>
                                    <w:right w:val="none" w:sz="0" w:space="0" w:color="auto"/>
                                  </w:divBdr>
                                  <w:divsChild>
                                    <w:div w:id="116427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8163005">
      <w:bodyDiv w:val="1"/>
      <w:marLeft w:val="0"/>
      <w:marRight w:val="0"/>
      <w:marTop w:val="0"/>
      <w:marBottom w:val="0"/>
      <w:divBdr>
        <w:top w:val="none" w:sz="0" w:space="0" w:color="auto"/>
        <w:left w:val="none" w:sz="0" w:space="0" w:color="auto"/>
        <w:bottom w:val="none" w:sz="0" w:space="0" w:color="auto"/>
        <w:right w:val="none" w:sz="0" w:space="0" w:color="auto"/>
      </w:divBdr>
    </w:div>
    <w:div w:id="417872910">
      <w:bodyDiv w:val="1"/>
      <w:marLeft w:val="0"/>
      <w:marRight w:val="0"/>
      <w:marTop w:val="0"/>
      <w:marBottom w:val="0"/>
      <w:divBdr>
        <w:top w:val="none" w:sz="0" w:space="0" w:color="auto"/>
        <w:left w:val="none" w:sz="0" w:space="0" w:color="auto"/>
        <w:bottom w:val="none" w:sz="0" w:space="0" w:color="auto"/>
        <w:right w:val="none" w:sz="0" w:space="0" w:color="auto"/>
      </w:divBdr>
    </w:div>
    <w:div w:id="481040371">
      <w:bodyDiv w:val="1"/>
      <w:marLeft w:val="0"/>
      <w:marRight w:val="0"/>
      <w:marTop w:val="0"/>
      <w:marBottom w:val="0"/>
      <w:divBdr>
        <w:top w:val="none" w:sz="0" w:space="0" w:color="auto"/>
        <w:left w:val="none" w:sz="0" w:space="0" w:color="auto"/>
        <w:bottom w:val="none" w:sz="0" w:space="0" w:color="auto"/>
        <w:right w:val="none" w:sz="0" w:space="0" w:color="auto"/>
      </w:divBdr>
    </w:div>
    <w:div w:id="497692317">
      <w:bodyDiv w:val="1"/>
      <w:marLeft w:val="0"/>
      <w:marRight w:val="0"/>
      <w:marTop w:val="0"/>
      <w:marBottom w:val="0"/>
      <w:divBdr>
        <w:top w:val="none" w:sz="0" w:space="0" w:color="auto"/>
        <w:left w:val="none" w:sz="0" w:space="0" w:color="auto"/>
        <w:bottom w:val="none" w:sz="0" w:space="0" w:color="auto"/>
        <w:right w:val="none" w:sz="0" w:space="0" w:color="auto"/>
      </w:divBdr>
    </w:div>
    <w:div w:id="516775691">
      <w:bodyDiv w:val="1"/>
      <w:marLeft w:val="0"/>
      <w:marRight w:val="0"/>
      <w:marTop w:val="0"/>
      <w:marBottom w:val="0"/>
      <w:divBdr>
        <w:top w:val="none" w:sz="0" w:space="0" w:color="auto"/>
        <w:left w:val="none" w:sz="0" w:space="0" w:color="auto"/>
        <w:bottom w:val="none" w:sz="0" w:space="0" w:color="auto"/>
        <w:right w:val="none" w:sz="0" w:space="0" w:color="auto"/>
      </w:divBdr>
    </w:div>
    <w:div w:id="523248523">
      <w:bodyDiv w:val="1"/>
      <w:marLeft w:val="0"/>
      <w:marRight w:val="0"/>
      <w:marTop w:val="0"/>
      <w:marBottom w:val="0"/>
      <w:divBdr>
        <w:top w:val="none" w:sz="0" w:space="0" w:color="auto"/>
        <w:left w:val="none" w:sz="0" w:space="0" w:color="auto"/>
        <w:bottom w:val="none" w:sz="0" w:space="0" w:color="auto"/>
        <w:right w:val="none" w:sz="0" w:space="0" w:color="auto"/>
      </w:divBdr>
    </w:div>
    <w:div w:id="604575108">
      <w:bodyDiv w:val="1"/>
      <w:marLeft w:val="0"/>
      <w:marRight w:val="0"/>
      <w:marTop w:val="0"/>
      <w:marBottom w:val="0"/>
      <w:divBdr>
        <w:top w:val="none" w:sz="0" w:space="0" w:color="auto"/>
        <w:left w:val="none" w:sz="0" w:space="0" w:color="auto"/>
        <w:bottom w:val="none" w:sz="0" w:space="0" w:color="auto"/>
        <w:right w:val="none" w:sz="0" w:space="0" w:color="auto"/>
      </w:divBdr>
    </w:div>
    <w:div w:id="640115086">
      <w:bodyDiv w:val="1"/>
      <w:marLeft w:val="0"/>
      <w:marRight w:val="0"/>
      <w:marTop w:val="0"/>
      <w:marBottom w:val="0"/>
      <w:divBdr>
        <w:top w:val="none" w:sz="0" w:space="0" w:color="auto"/>
        <w:left w:val="none" w:sz="0" w:space="0" w:color="auto"/>
        <w:bottom w:val="none" w:sz="0" w:space="0" w:color="auto"/>
        <w:right w:val="none" w:sz="0" w:space="0" w:color="auto"/>
      </w:divBdr>
    </w:div>
    <w:div w:id="667557050">
      <w:bodyDiv w:val="1"/>
      <w:marLeft w:val="0"/>
      <w:marRight w:val="0"/>
      <w:marTop w:val="0"/>
      <w:marBottom w:val="0"/>
      <w:divBdr>
        <w:top w:val="none" w:sz="0" w:space="0" w:color="auto"/>
        <w:left w:val="none" w:sz="0" w:space="0" w:color="auto"/>
        <w:bottom w:val="none" w:sz="0" w:space="0" w:color="auto"/>
        <w:right w:val="none" w:sz="0" w:space="0" w:color="auto"/>
      </w:divBdr>
    </w:div>
    <w:div w:id="705104852">
      <w:bodyDiv w:val="1"/>
      <w:marLeft w:val="0"/>
      <w:marRight w:val="0"/>
      <w:marTop w:val="0"/>
      <w:marBottom w:val="0"/>
      <w:divBdr>
        <w:top w:val="none" w:sz="0" w:space="0" w:color="auto"/>
        <w:left w:val="none" w:sz="0" w:space="0" w:color="auto"/>
        <w:bottom w:val="none" w:sz="0" w:space="0" w:color="auto"/>
        <w:right w:val="none" w:sz="0" w:space="0" w:color="auto"/>
      </w:divBdr>
      <w:divsChild>
        <w:div w:id="405418830">
          <w:marLeft w:val="0"/>
          <w:marRight w:val="0"/>
          <w:marTop w:val="0"/>
          <w:marBottom w:val="0"/>
          <w:divBdr>
            <w:top w:val="none" w:sz="0" w:space="0" w:color="auto"/>
            <w:left w:val="none" w:sz="0" w:space="0" w:color="auto"/>
            <w:bottom w:val="none" w:sz="0" w:space="0" w:color="auto"/>
            <w:right w:val="none" w:sz="0" w:space="0" w:color="auto"/>
          </w:divBdr>
          <w:divsChild>
            <w:div w:id="1935700790">
              <w:marLeft w:val="0"/>
              <w:marRight w:val="0"/>
              <w:marTop w:val="0"/>
              <w:marBottom w:val="0"/>
              <w:divBdr>
                <w:top w:val="none" w:sz="0" w:space="0" w:color="auto"/>
                <w:left w:val="none" w:sz="0" w:space="0" w:color="auto"/>
                <w:bottom w:val="none" w:sz="0" w:space="0" w:color="auto"/>
                <w:right w:val="none" w:sz="0" w:space="0" w:color="auto"/>
              </w:divBdr>
              <w:divsChild>
                <w:div w:id="6338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727052">
      <w:bodyDiv w:val="1"/>
      <w:marLeft w:val="0"/>
      <w:marRight w:val="0"/>
      <w:marTop w:val="0"/>
      <w:marBottom w:val="0"/>
      <w:divBdr>
        <w:top w:val="none" w:sz="0" w:space="0" w:color="auto"/>
        <w:left w:val="none" w:sz="0" w:space="0" w:color="auto"/>
        <w:bottom w:val="none" w:sz="0" w:space="0" w:color="auto"/>
        <w:right w:val="none" w:sz="0" w:space="0" w:color="auto"/>
      </w:divBdr>
      <w:divsChild>
        <w:div w:id="1177646616">
          <w:marLeft w:val="0"/>
          <w:marRight w:val="0"/>
          <w:marTop w:val="0"/>
          <w:marBottom w:val="0"/>
          <w:divBdr>
            <w:top w:val="none" w:sz="0" w:space="0" w:color="auto"/>
            <w:left w:val="none" w:sz="0" w:space="0" w:color="auto"/>
            <w:bottom w:val="none" w:sz="0" w:space="0" w:color="auto"/>
            <w:right w:val="none" w:sz="0" w:space="0" w:color="auto"/>
          </w:divBdr>
          <w:divsChild>
            <w:div w:id="1446077142">
              <w:marLeft w:val="0"/>
              <w:marRight w:val="0"/>
              <w:marTop w:val="0"/>
              <w:marBottom w:val="0"/>
              <w:divBdr>
                <w:top w:val="none" w:sz="0" w:space="0" w:color="auto"/>
                <w:left w:val="none" w:sz="0" w:space="0" w:color="auto"/>
                <w:bottom w:val="none" w:sz="0" w:space="0" w:color="auto"/>
                <w:right w:val="none" w:sz="0" w:space="0" w:color="auto"/>
              </w:divBdr>
              <w:divsChild>
                <w:div w:id="185139508">
                  <w:marLeft w:val="0"/>
                  <w:marRight w:val="0"/>
                  <w:marTop w:val="0"/>
                  <w:marBottom w:val="0"/>
                  <w:divBdr>
                    <w:top w:val="none" w:sz="0" w:space="0" w:color="auto"/>
                    <w:left w:val="none" w:sz="0" w:space="0" w:color="auto"/>
                    <w:bottom w:val="none" w:sz="0" w:space="0" w:color="auto"/>
                    <w:right w:val="none" w:sz="0" w:space="0" w:color="auto"/>
                  </w:divBdr>
                  <w:divsChild>
                    <w:div w:id="890386346">
                      <w:marLeft w:val="0"/>
                      <w:marRight w:val="0"/>
                      <w:marTop w:val="0"/>
                      <w:marBottom w:val="0"/>
                      <w:divBdr>
                        <w:top w:val="none" w:sz="0" w:space="0" w:color="auto"/>
                        <w:left w:val="none" w:sz="0" w:space="0" w:color="auto"/>
                        <w:bottom w:val="none" w:sz="0" w:space="0" w:color="auto"/>
                        <w:right w:val="none" w:sz="0" w:space="0" w:color="auto"/>
                      </w:divBdr>
                      <w:divsChild>
                        <w:div w:id="1609577577">
                          <w:marLeft w:val="0"/>
                          <w:marRight w:val="0"/>
                          <w:marTop w:val="0"/>
                          <w:marBottom w:val="0"/>
                          <w:divBdr>
                            <w:top w:val="none" w:sz="0" w:space="0" w:color="auto"/>
                            <w:left w:val="none" w:sz="0" w:space="0" w:color="auto"/>
                            <w:bottom w:val="none" w:sz="0" w:space="0" w:color="auto"/>
                            <w:right w:val="none" w:sz="0" w:space="0" w:color="auto"/>
                          </w:divBdr>
                          <w:divsChild>
                            <w:div w:id="117553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20363">
                  <w:marLeft w:val="0"/>
                  <w:marRight w:val="0"/>
                  <w:marTop w:val="0"/>
                  <w:marBottom w:val="0"/>
                  <w:divBdr>
                    <w:top w:val="none" w:sz="0" w:space="0" w:color="auto"/>
                    <w:left w:val="none" w:sz="0" w:space="0" w:color="auto"/>
                    <w:bottom w:val="none" w:sz="0" w:space="0" w:color="auto"/>
                    <w:right w:val="none" w:sz="0" w:space="0" w:color="auto"/>
                  </w:divBdr>
                  <w:divsChild>
                    <w:div w:id="90075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9397655">
      <w:bodyDiv w:val="1"/>
      <w:marLeft w:val="0"/>
      <w:marRight w:val="0"/>
      <w:marTop w:val="0"/>
      <w:marBottom w:val="0"/>
      <w:divBdr>
        <w:top w:val="none" w:sz="0" w:space="0" w:color="auto"/>
        <w:left w:val="none" w:sz="0" w:space="0" w:color="auto"/>
        <w:bottom w:val="none" w:sz="0" w:space="0" w:color="auto"/>
        <w:right w:val="none" w:sz="0" w:space="0" w:color="auto"/>
      </w:divBdr>
    </w:div>
    <w:div w:id="859514719">
      <w:bodyDiv w:val="1"/>
      <w:marLeft w:val="0"/>
      <w:marRight w:val="0"/>
      <w:marTop w:val="0"/>
      <w:marBottom w:val="0"/>
      <w:divBdr>
        <w:top w:val="none" w:sz="0" w:space="0" w:color="auto"/>
        <w:left w:val="none" w:sz="0" w:space="0" w:color="auto"/>
        <w:bottom w:val="none" w:sz="0" w:space="0" w:color="auto"/>
        <w:right w:val="none" w:sz="0" w:space="0" w:color="auto"/>
      </w:divBdr>
    </w:div>
    <w:div w:id="900553412">
      <w:bodyDiv w:val="1"/>
      <w:marLeft w:val="0"/>
      <w:marRight w:val="0"/>
      <w:marTop w:val="0"/>
      <w:marBottom w:val="0"/>
      <w:divBdr>
        <w:top w:val="none" w:sz="0" w:space="0" w:color="auto"/>
        <w:left w:val="none" w:sz="0" w:space="0" w:color="auto"/>
        <w:bottom w:val="none" w:sz="0" w:space="0" w:color="auto"/>
        <w:right w:val="none" w:sz="0" w:space="0" w:color="auto"/>
      </w:divBdr>
    </w:div>
    <w:div w:id="901907912">
      <w:bodyDiv w:val="1"/>
      <w:marLeft w:val="0"/>
      <w:marRight w:val="0"/>
      <w:marTop w:val="0"/>
      <w:marBottom w:val="0"/>
      <w:divBdr>
        <w:top w:val="none" w:sz="0" w:space="0" w:color="auto"/>
        <w:left w:val="none" w:sz="0" w:space="0" w:color="auto"/>
        <w:bottom w:val="none" w:sz="0" w:space="0" w:color="auto"/>
        <w:right w:val="none" w:sz="0" w:space="0" w:color="auto"/>
      </w:divBdr>
    </w:div>
    <w:div w:id="1032800002">
      <w:bodyDiv w:val="1"/>
      <w:marLeft w:val="0"/>
      <w:marRight w:val="0"/>
      <w:marTop w:val="0"/>
      <w:marBottom w:val="0"/>
      <w:divBdr>
        <w:top w:val="none" w:sz="0" w:space="0" w:color="auto"/>
        <w:left w:val="none" w:sz="0" w:space="0" w:color="auto"/>
        <w:bottom w:val="none" w:sz="0" w:space="0" w:color="auto"/>
        <w:right w:val="none" w:sz="0" w:space="0" w:color="auto"/>
      </w:divBdr>
    </w:div>
    <w:div w:id="1034885039">
      <w:bodyDiv w:val="1"/>
      <w:marLeft w:val="0"/>
      <w:marRight w:val="0"/>
      <w:marTop w:val="0"/>
      <w:marBottom w:val="0"/>
      <w:divBdr>
        <w:top w:val="none" w:sz="0" w:space="0" w:color="auto"/>
        <w:left w:val="none" w:sz="0" w:space="0" w:color="auto"/>
        <w:bottom w:val="none" w:sz="0" w:space="0" w:color="auto"/>
        <w:right w:val="none" w:sz="0" w:space="0" w:color="auto"/>
      </w:divBdr>
    </w:div>
    <w:div w:id="1148132782">
      <w:bodyDiv w:val="1"/>
      <w:marLeft w:val="0"/>
      <w:marRight w:val="0"/>
      <w:marTop w:val="0"/>
      <w:marBottom w:val="0"/>
      <w:divBdr>
        <w:top w:val="none" w:sz="0" w:space="0" w:color="auto"/>
        <w:left w:val="none" w:sz="0" w:space="0" w:color="auto"/>
        <w:bottom w:val="none" w:sz="0" w:space="0" w:color="auto"/>
        <w:right w:val="none" w:sz="0" w:space="0" w:color="auto"/>
      </w:divBdr>
    </w:div>
    <w:div w:id="1154679506">
      <w:bodyDiv w:val="1"/>
      <w:marLeft w:val="0"/>
      <w:marRight w:val="0"/>
      <w:marTop w:val="0"/>
      <w:marBottom w:val="0"/>
      <w:divBdr>
        <w:top w:val="none" w:sz="0" w:space="0" w:color="auto"/>
        <w:left w:val="none" w:sz="0" w:space="0" w:color="auto"/>
        <w:bottom w:val="none" w:sz="0" w:space="0" w:color="auto"/>
        <w:right w:val="none" w:sz="0" w:space="0" w:color="auto"/>
      </w:divBdr>
    </w:div>
    <w:div w:id="1302035524">
      <w:bodyDiv w:val="1"/>
      <w:marLeft w:val="0"/>
      <w:marRight w:val="0"/>
      <w:marTop w:val="0"/>
      <w:marBottom w:val="0"/>
      <w:divBdr>
        <w:top w:val="none" w:sz="0" w:space="0" w:color="auto"/>
        <w:left w:val="none" w:sz="0" w:space="0" w:color="auto"/>
        <w:bottom w:val="none" w:sz="0" w:space="0" w:color="auto"/>
        <w:right w:val="none" w:sz="0" w:space="0" w:color="auto"/>
      </w:divBdr>
    </w:div>
    <w:div w:id="1381829452">
      <w:bodyDiv w:val="1"/>
      <w:marLeft w:val="0"/>
      <w:marRight w:val="0"/>
      <w:marTop w:val="0"/>
      <w:marBottom w:val="0"/>
      <w:divBdr>
        <w:top w:val="none" w:sz="0" w:space="0" w:color="auto"/>
        <w:left w:val="none" w:sz="0" w:space="0" w:color="auto"/>
        <w:bottom w:val="none" w:sz="0" w:space="0" w:color="auto"/>
        <w:right w:val="none" w:sz="0" w:space="0" w:color="auto"/>
      </w:divBdr>
      <w:divsChild>
        <w:div w:id="1642344253">
          <w:marLeft w:val="0"/>
          <w:marRight w:val="0"/>
          <w:marTop w:val="0"/>
          <w:marBottom w:val="0"/>
          <w:divBdr>
            <w:top w:val="none" w:sz="0" w:space="0" w:color="auto"/>
            <w:left w:val="none" w:sz="0" w:space="0" w:color="auto"/>
            <w:bottom w:val="none" w:sz="0" w:space="0" w:color="auto"/>
            <w:right w:val="none" w:sz="0" w:space="0" w:color="auto"/>
          </w:divBdr>
        </w:div>
        <w:div w:id="1809086144">
          <w:marLeft w:val="0"/>
          <w:marRight w:val="0"/>
          <w:marTop w:val="0"/>
          <w:marBottom w:val="0"/>
          <w:divBdr>
            <w:top w:val="none" w:sz="0" w:space="0" w:color="auto"/>
            <w:left w:val="none" w:sz="0" w:space="0" w:color="auto"/>
            <w:bottom w:val="none" w:sz="0" w:space="0" w:color="auto"/>
            <w:right w:val="none" w:sz="0" w:space="0" w:color="auto"/>
          </w:divBdr>
          <w:divsChild>
            <w:div w:id="801000242">
              <w:marLeft w:val="0"/>
              <w:marRight w:val="0"/>
              <w:marTop w:val="0"/>
              <w:marBottom w:val="0"/>
              <w:divBdr>
                <w:top w:val="none" w:sz="0" w:space="0" w:color="auto"/>
                <w:left w:val="none" w:sz="0" w:space="0" w:color="auto"/>
                <w:bottom w:val="none" w:sz="0" w:space="0" w:color="auto"/>
                <w:right w:val="none" w:sz="0" w:space="0" w:color="auto"/>
              </w:divBdr>
              <w:divsChild>
                <w:div w:id="1708947943">
                  <w:marLeft w:val="0"/>
                  <w:marRight w:val="0"/>
                  <w:marTop w:val="0"/>
                  <w:marBottom w:val="0"/>
                  <w:divBdr>
                    <w:top w:val="none" w:sz="0" w:space="0" w:color="auto"/>
                    <w:left w:val="none" w:sz="0" w:space="0" w:color="auto"/>
                    <w:bottom w:val="none" w:sz="0" w:space="0" w:color="auto"/>
                    <w:right w:val="none" w:sz="0" w:space="0" w:color="auto"/>
                  </w:divBdr>
                  <w:divsChild>
                    <w:div w:id="1174565108">
                      <w:marLeft w:val="0"/>
                      <w:marRight w:val="0"/>
                      <w:marTop w:val="0"/>
                      <w:marBottom w:val="0"/>
                      <w:divBdr>
                        <w:top w:val="none" w:sz="0" w:space="0" w:color="auto"/>
                        <w:left w:val="none" w:sz="0" w:space="0" w:color="auto"/>
                        <w:bottom w:val="none" w:sz="0" w:space="0" w:color="auto"/>
                        <w:right w:val="none" w:sz="0" w:space="0" w:color="auto"/>
                      </w:divBdr>
                      <w:divsChild>
                        <w:div w:id="805506247">
                          <w:marLeft w:val="0"/>
                          <w:marRight w:val="0"/>
                          <w:marTop w:val="0"/>
                          <w:marBottom w:val="0"/>
                          <w:divBdr>
                            <w:top w:val="none" w:sz="0" w:space="0" w:color="auto"/>
                            <w:left w:val="none" w:sz="0" w:space="0" w:color="auto"/>
                            <w:bottom w:val="none" w:sz="0" w:space="0" w:color="auto"/>
                            <w:right w:val="none" w:sz="0" w:space="0" w:color="auto"/>
                          </w:divBdr>
                          <w:divsChild>
                            <w:div w:id="29950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548082">
      <w:bodyDiv w:val="1"/>
      <w:marLeft w:val="0"/>
      <w:marRight w:val="0"/>
      <w:marTop w:val="0"/>
      <w:marBottom w:val="0"/>
      <w:divBdr>
        <w:top w:val="none" w:sz="0" w:space="0" w:color="auto"/>
        <w:left w:val="none" w:sz="0" w:space="0" w:color="auto"/>
        <w:bottom w:val="none" w:sz="0" w:space="0" w:color="auto"/>
        <w:right w:val="none" w:sz="0" w:space="0" w:color="auto"/>
      </w:divBdr>
      <w:divsChild>
        <w:div w:id="1527135582">
          <w:marLeft w:val="0"/>
          <w:marRight w:val="0"/>
          <w:marTop w:val="0"/>
          <w:marBottom w:val="0"/>
          <w:divBdr>
            <w:top w:val="none" w:sz="0" w:space="0" w:color="auto"/>
            <w:left w:val="none" w:sz="0" w:space="0" w:color="auto"/>
            <w:bottom w:val="none" w:sz="0" w:space="0" w:color="auto"/>
            <w:right w:val="none" w:sz="0" w:space="0" w:color="auto"/>
          </w:divBdr>
          <w:divsChild>
            <w:div w:id="2036225713">
              <w:marLeft w:val="0"/>
              <w:marRight w:val="0"/>
              <w:marTop w:val="0"/>
              <w:marBottom w:val="0"/>
              <w:divBdr>
                <w:top w:val="none" w:sz="0" w:space="0" w:color="auto"/>
                <w:left w:val="none" w:sz="0" w:space="0" w:color="auto"/>
                <w:bottom w:val="none" w:sz="0" w:space="0" w:color="auto"/>
                <w:right w:val="none" w:sz="0" w:space="0" w:color="auto"/>
              </w:divBdr>
              <w:divsChild>
                <w:div w:id="1055666632">
                  <w:marLeft w:val="0"/>
                  <w:marRight w:val="0"/>
                  <w:marTop w:val="0"/>
                  <w:marBottom w:val="0"/>
                  <w:divBdr>
                    <w:top w:val="none" w:sz="0" w:space="0" w:color="auto"/>
                    <w:left w:val="none" w:sz="0" w:space="0" w:color="auto"/>
                    <w:bottom w:val="none" w:sz="0" w:space="0" w:color="auto"/>
                    <w:right w:val="none" w:sz="0" w:space="0" w:color="auto"/>
                  </w:divBdr>
                  <w:divsChild>
                    <w:div w:id="2084907966">
                      <w:marLeft w:val="0"/>
                      <w:marRight w:val="0"/>
                      <w:marTop w:val="0"/>
                      <w:marBottom w:val="0"/>
                      <w:divBdr>
                        <w:top w:val="none" w:sz="0" w:space="0" w:color="auto"/>
                        <w:left w:val="none" w:sz="0" w:space="0" w:color="auto"/>
                        <w:bottom w:val="none" w:sz="0" w:space="0" w:color="auto"/>
                        <w:right w:val="none" w:sz="0" w:space="0" w:color="auto"/>
                      </w:divBdr>
                      <w:divsChild>
                        <w:div w:id="50620380">
                          <w:marLeft w:val="0"/>
                          <w:marRight w:val="0"/>
                          <w:marTop w:val="0"/>
                          <w:marBottom w:val="0"/>
                          <w:divBdr>
                            <w:top w:val="none" w:sz="0" w:space="0" w:color="auto"/>
                            <w:left w:val="none" w:sz="0" w:space="0" w:color="auto"/>
                            <w:bottom w:val="none" w:sz="0" w:space="0" w:color="auto"/>
                            <w:right w:val="none" w:sz="0" w:space="0" w:color="auto"/>
                          </w:divBdr>
                          <w:divsChild>
                            <w:div w:id="5966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249778">
                  <w:marLeft w:val="0"/>
                  <w:marRight w:val="0"/>
                  <w:marTop w:val="0"/>
                  <w:marBottom w:val="0"/>
                  <w:divBdr>
                    <w:top w:val="none" w:sz="0" w:space="0" w:color="auto"/>
                    <w:left w:val="none" w:sz="0" w:space="0" w:color="auto"/>
                    <w:bottom w:val="none" w:sz="0" w:space="0" w:color="auto"/>
                    <w:right w:val="none" w:sz="0" w:space="0" w:color="auto"/>
                  </w:divBdr>
                  <w:divsChild>
                    <w:div w:id="186351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322222">
      <w:bodyDiv w:val="1"/>
      <w:marLeft w:val="0"/>
      <w:marRight w:val="0"/>
      <w:marTop w:val="0"/>
      <w:marBottom w:val="0"/>
      <w:divBdr>
        <w:top w:val="none" w:sz="0" w:space="0" w:color="auto"/>
        <w:left w:val="none" w:sz="0" w:space="0" w:color="auto"/>
        <w:bottom w:val="none" w:sz="0" w:space="0" w:color="auto"/>
        <w:right w:val="none" w:sz="0" w:space="0" w:color="auto"/>
      </w:divBdr>
    </w:div>
    <w:div w:id="1680111399">
      <w:bodyDiv w:val="1"/>
      <w:marLeft w:val="0"/>
      <w:marRight w:val="0"/>
      <w:marTop w:val="0"/>
      <w:marBottom w:val="0"/>
      <w:divBdr>
        <w:top w:val="none" w:sz="0" w:space="0" w:color="auto"/>
        <w:left w:val="none" w:sz="0" w:space="0" w:color="auto"/>
        <w:bottom w:val="none" w:sz="0" w:space="0" w:color="auto"/>
        <w:right w:val="none" w:sz="0" w:space="0" w:color="auto"/>
      </w:divBdr>
    </w:div>
    <w:div w:id="1700668913">
      <w:bodyDiv w:val="1"/>
      <w:marLeft w:val="0"/>
      <w:marRight w:val="0"/>
      <w:marTop w:val="0"/>
      <w:marBottom w:val="0"/>
      <w:divBdr>
        <w:top w:val="none" w:sz="0" w:space="0" w:color="auto"/>
        <w:left w:val="none" w:sz="0" w:space="0" w:color="auto"/>
        <w:bottom w:val="none" w:sz="0" w:space="0" w:color="auto"/>
        <w:right w:val="none" w:sz="0" w:space="0" w:color="auto"/>
      </w:divBdr>
    </w:div>
    <w:div w:id="1724677330">
      <w:bodyDiv w:val="1"/>
      <w:marLeft w:val="0"/>
      <w:marRight w:val="0"/>
      <w:marTop w:val="0"/>
      <w:marBottom w:val="0"/>
      <w:divBdr>
        <w:top w:val="none" w:sz="0" w:space="0" w:color="auto"/>
        <w:left w:val="none" w:sz="0" w:space="0" w:color="auto"/>
        <w:bottom w:val="none" w:sz="0" w:space="0" w:color="auto"/>
        <w:right w:val="none" w:sz="0" w:space="0" w:color="auto"/>
      </w:divBdr>
    </w:div>
    <w:div w:id="1777796178">
      <w:bodyDiv w:val="1"/>
      <w:marLeft w:val="0"/>
      <w:marRight w:val="0"/>
      <w:marTop w:val="0"/>
      <w:marBottom w:val="0"/>
      <w:divBdr>
        <w:top w:val="none" w:sz="0" w:space="0" w:color="auto"/>
        <w:left w:val="none" w:sz="0" w:space="0" w:color="auto"/>
        <w:bottom w:val="none" w:sz="0" w:space="0" w:color="auto"/>
        <w:right w:val="none" w:sz="0" w:space="0" w:color="auto"/>
      </w:divBdr>
    </w:div>
    <w:div w:id="1828860181">
      <w:bodyDiv w:val="1"/>
      <w:marLeft w:val="0"/>
      <w:marRight w:val="0"/>
      <w:marTop w:val="0"/>
      <w:marBottom w:val="0"/>
      <w:divBdr>
        <w:top w:val="none" w:sz="0" w:space="0" w:color="auto"/>
        <w:left w:val="none" w:sz="0" w:space="0" w:color="auto"/>
        <w:bottom w:val="none" w:sz="0" w:space="0" w:color="auto"/>
        <w:right w:val="none" w:sz="0" w:space="0" w:color="auto"/>
      </w:divBdr>
    </w:div>
    <w:div w:id="1883667584">
      <w:bodyDiv w:val="1"/>
      <w:marLeft w:val="0"/>
      <w:marRight w:val="0"/>
      <w:marTop w:val="0"/>
      <w:marBottom w:val="0"/>
      <w:divBdr>
        <w:top w:val="none" w:sz="0" w:space="0" w:color="auto"/>
        <w:left w:val="none" w:sz="0" w:space="0" w:color="auto"/>
        <w:bottom w:val="none" w:sz="0" w:space="0" w:color="auto"/>
        <w:right w:val="none" w:sz="0" w:space="0" w:color="auto"/>
      </w:divBdr>
    </w:div>
    <w:div w:id="1941252304">
      <w:bodyDiv w:val="1"/>
      <w:marLeft w:val="0"/>
      <w:marRight w:val="0"/>
      <w:marTop w:val="0"/>
      <w:marBottom w:val="0"/>
      <w:divBdr>
        <w:top w:val="none" w:sz="0" w:space="0" w:color="auto"/>
        <w:left w:val="none" w:sz="0" w:space="0" w:color="auto"/>
        <w:bottom w:val="none" w:sz="0" w:space="0" w:color="auto"/>
        <w:right w:val="none" w:sz="0" w:space="0" w:color="auto"/>
      </w:divBdr>
    </w:div>
    <w:div w:id="1941376259">
      <w:bodyDiv w:val="1"/>
      <w:marLeft w:val="0"/>
      <w:marRight w:val="0"/>
      <w:marTop w:val="0"/>
      <w:marBottom w:val="0"/>
      <w:divBdr>
        <w:top w:val="none" w:sz="0" w:space="0" w:color="auto"/>
        <w:left w:val="none" w:sz="0" w:space="0" w:color="auto"/>
        <w:bottom w:val="none" w:sz="0" w:space="0" w:color="auto"/>
        <w:right w:val="none" w:sz="0" w:space="0" w:color="auto"/>
      </w:divBdr>
    </w:div>
    <w:div w:id="2061397015">
      <w:bodyDiv w:val="1"/>
      <w:marLeft w:val="0"/>
      <w:marRight w:val="0"/>
      <w:marTop w:val="0"/>
      <w:marBottom w:val="0"/>
      <w:divBdr>
        <w:top w:val="none" w:sz="0" w:space="0" w:color="auto"/>
        <w:left w:val="none" w:sz="0" w:space="0" w:color="auto"/>
        <w:bottom w:val="none" w:sz="0" w:space="0" w:color="auto"/>
        <w:right w:val="none" w:sz="0" w:space="0" w:color="auto"/>
      </w:divBdr>
      <w:divsChild>
        <w:div w:id="35854608">
          <w:marLeft w:val="0"/>
          <w:marRight w:val="0"/>
          <w:marTop w:val="0"/>
          <w:marBottom w:val="0"/>
          <w:divBdr>
            <w:top w:val="none" w:sz="0" w:space="0" w:color="auto"/>
            <w:left w:val="none" w:sz="0" w:space="0" w:color="auto"/>
            <w:bottom w:val="none" w:sz="0" w:space="0" w:color="auto"/>
            <w:right w:val="none" w:sz="0" w:space="0" w:color="auto"/>
          </w:divBdr>
        </w:div>
        <w:div w:id="79446631">
          <w:marLeft w:val="0"/>
          <w:marRight w:val="0"/>
          <w:marTop w:val="0"/>
          <w:marBottom w:val="0"/>
          <w:divBdr>
            <w:top w:val="none" w:sz="0" w:space="0" w:color="auto"/>
            <w:left w:val="none" w:sz="0" w:space="0" w:color="auto"/>
            <w:bottom w:val="none" w:sz="0" w:space="0" w:color="auto"/>
            <w:right w:val="none" w:sz="0" w:space="0" w:color="auto"/>
          </w:divBdr>
        </w:div>
      </w:divsChild>
    </w:div>
    <w:div w:id="208852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11F5E-8D69-459C-A67E-895B3ED86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26</Pages>
  <Words>4717</Words>
  <Characters>26887</Characters>
  <Application>Microsoft Office Word</Application>
  <DocSecurity>0</DocSecurity>
  <Lines>224</Lines>
  <Paragraphs>63</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31541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ZBOOK</dc:creator>
  <cp:lastModifiedBy>ZBOOK</cp:lastModifiedBy>
  <cp:revision>36</cp:revision>
  <dcterms:created xsi:type="dcterms:W3CDTF">2025-07-18T11:56:00Z</dcterms:created>
  <dcterms:modified xsi:type="dcterms:W3CDTF">2025-08-14T08:35:00Z</dcterms:modified>
</cp:coreProperties>
</file>