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6DB051" w14:textId="77777777" w:rsidR="007045F3" w:rsidRPr="00FA4EBD" w:rsidRDefault="007045F3" w:rsidP="007045F3">
      <w:pPr>
        <w:spacing w:line="360" w:lineRule="auto"/>
        <w:jc w:val="left"/>
        <w:rPr>
          <w:rFonts w:ascii="Times New Roman" w:hAnsi="Times New Roman" w:cs="Times New Roman"/>
          <w:b/>
          <w:color w:val="0D0D0D" w:themeColor="text1" w:themeTint="F2"/>
          <w:kern w:val="0"/>
          <w:sz w:val="21"/>
          <w:szCs w:val="21"/>
          <w14:ligatures w14:val="none"/>
        </w:rPr>
      </w:pPr>
      <w:r w:rsidRPr="00FA4EBD">
        <w:rPr>
          <w:rFonts w:ascii="Times New Roman" w:hAnsi="Times New Roman" w:cs="Times New Roman"/>
          <w:b/>
          <w:color w:val="0D0D0D" w:themeColor="text1" w:themeTint="F2"/>
          <w:kern w:val="0"/>
          <w:sz w:val="21"/>
          <w:szCs w:val="21"/>
          <w14:ligatures w14:val="none"/>
        </w:rPr>
        <w:t>Urbanity in the countryside: interaction of livelihood, lifestyle, connectivity and rural greening</w:t>
      </w:r>
    </w:p>
    <w:p w14:paraId="0E7EA782" w14:textId="06D48591" w:rsidR="004F349C" w:rsidRPr="00BB65B8" w:rsidRDefault="004F349C" w:rsidP="00D05018">
      <w:pPr>
        <w:pStyle w:val="1"/>
        <w:numPr>
          <w:ilvl w:val="0"/>
          <w:numId w:val="2"/>
        </w:numPr>
        <w:spacing w:line="360" w:lineRule="auto"/>
        <w:jc w:val="left"/>
        <w:rPr>
          <w:rFonts w:asciiTheme="majorBidi" w:hAnsiTheme="majorBidi" w:cstheme="majorBidi"/>
          <w:sz w:val="21"/>
          <w:szCs w:val="21"/>
        </w:rPr>
      </w:pPr>
      <w:r w:rsidRPr="00BB65B8">
        <w:rPr>
          <w:rFonts w:asciiTheme="majorBidi" w:hAnsiTheme="majorBidi" w:cstheme="majorBidi"/>
          <w:sz w:val="21"/>
          <w:szCs w:val="21"/>
        </w:rPr>
        <w:t>Results sections</w:t>
      </w:r>
    </w:p>
    <w:p w14:paraId="778A2C55" w14:textId="77777777" w:rsidR="00007033" w:rsidRPr="00BB65B8" w:rsidRDefault="00007033" w:rsidP="00D05018">
      <w:pPr>
        <w:pStyle w:val="2"/>
        <w:numPr>
          <w:ilvl w:val="1"/>
          <w:numId w:val="1"/>
        </w:numPr>
        <w:spacing w:line="360" w:lineRule="auto"/>
        <w:jc w:val="left"/>
        <w:rPr>
          <w:rFonts w:asciiTheme="majorBidi" w:eastAsia="黑体" w:hAnsiTheme="majorBidi"/>
          <w:sz w:val="21"/>
          <w:szCs w:val="21"/>
        </w:rPr>
      </w:pPr>
      <w:r w:rsidRPr="00BB65B8">
        <w:rPr>
          <w:rFonts w:asciiTheme="majorBidi" w:eastAsia="黑体" w:hAnsiTheme="majorBidi"/>
          <w:sz w:val="21"/>
          <w:szCs w:val="21"/>
        </w:rPr>
        <w:t>Interaction of urbanity, population dynamics, household shifts, and ecological outcomes</w:t>
      </w:r>
    </w:p>
    <w:p w14:paraId="10C7CD65" w14:textId="3570CD7B" w:rsidR="00007033" w:rsidRPr="00BB65B8" w:rsidRDefault="00007033" w:rsidP="00D05018">
      <w:pPr>
        <w:pStyle w:val="3"/>
        <w:numPr>
          <w:ilvl w:val="2"/>
          <w:numId w:val="2"/>
        </w:numPr>
        <w:spacing w:line="360" w:lineRule="auto"/>
        <w:jc w:val="left"/>
        <w:rPr>
          <w:rFonts w:asciiTheme="majorBidi" w:eastAsiaTheme="majorEastAsia" w:hAnsiTheme="majorBidi" w:cstheme="majorBidi"/>
          <w:sz w:val="21"/>
          <w:szCs w:val="21"/>
        </w:rPr>
      </w:pPr>
      <w:r w:rsidRPr="00BB65B8">
        <w:rPr>
          <w:rFonts w:asciiTheme="majorBidi" w:hAnsiTheme="majorBidi" w:cstheme="majorBidi"/>
          <w:sz w:val="21"/>
          <w:szCs w:val="21"/>
        </w:rPr>
        <w:t>Distribution of urbanity index in urban-rural typology</w:t>
      </w:r>
    </w:p>
    <w:p w14:paraId="477E2C04" w14:textId="634C6362" w:rsidR="00072020" w:rsidRPr="00E200FC" w:rsidRDefault="00072020" w:rsidP="00246AA3">
      <w:pPr>
        <w:tabs>
          <w:tab w:val="left" w:pos="1470"/>
        </w:tabs>
        <w:spacing w:line="360" w:lineRule="auto"/>
        <w:jc w:val="left"/>
        <w:rPr>
          <w:rFonts w:asciiTheme="majorBidi" w:eastAsia="黑体" w:hAnsiTheme="majorBidi" w:cstheme="majorBidi"/>
          <w:b/>
          <w:bCs/>
          <w:sz w:val="21"/>
          <w:szCs w:val="21"/>
        </w:rPr>
      </w:pPr>
      <w:r w:rsidRPr="00BB65B8">
        <w:rPr>
          <w:rFonts w:asciiTheme="majorBidi" w:hAnsiTheme="majorBidi" w:cstheme="majorBidi"/>
          <w:sz w:val="21"/>
          <w:szCs w:val="21"/>
        </w:rPr>
        <w:t xml:space="preserve">Although the median urbanity </w:t>
      </w:r>
      <w:r w:rsidR="00F34003" w:rsidRPr="00BB65B8">
        <w:rPr>
          <w:rFonts w:asciiTheme="majorBidi" w:hAnsiTheme="majorBidi" w:cstheme="majorBidi"/>
          <w:sz w:val="21"/>
          <w:szCs w:val="21"/>
        </w:rPr>
        <w:t xml:space="preserve">index </w:t>
      </w:r>
      <w:r w:rsidRPr="00BB65B8">
        <w:rPr>
          <w:rFonts w:asciiTheme="majorBidi" w:hAnsiTheme="majorBidi" w:cstheme="majorBidi"/>
          <w:sz w:val="21"/>
          <w:szCs w:val="21"/>
        </w:rPr>
        <w:t>remained lower in rural areas than in urban zones, some villages and rural centers exhibited urbanity levels that surpassed the medians of urban and town areas, suggesting that urbanization had significantly penetrated traditional rural regions (</w:t>
      </w:r>
      <w:r w:rsidRPr="003D5353">
        <w:rPr>
          <w:rFonts w:asciiTheme="majorBidi" w:hAnsiTheme="majorBidi" w:cstheme="majorBidi"/>
          <w:b/>
          <w:bCs/>
          <w:sz w:val="21"/>
          <w:szCs w:val="21"/>
        </w:rPr>
        <w:t>Appendix Fig.</w:t>
      </w:r>
      <w:r w:rsidR="00E94021" w:rsidRPr="003D5353">
        <w:rPr>
          <w:rFonts w:asciiTheme="majorBidi" w:hAnsiTheme="majorBidi" w:cstheme="majorBidi"/>
          <w:b/>
          <w:bCs/>
          <w:sz w:val="21"/>
          <w:szCs w:val="21"/>
        </w:rPr>
        <w:t xml:space="preserve"> 1</w:t>
      </w:r>
      <w:r w:rsidRPr="00BB65B8">
        <w:rPr>
          <w:rFonts w:asciiTheme="majorBidi" w:hAnsiTheme="majorBidi" w:cstheme="majorBidi"/>
          <w:sz w:val="21"/>
          <w:szCs w:val="21"/>
        </w:rPr>
        <w:t>).</w:t>
      </w:r>
      <w:r w:rsidR="00246AA3">
        <w:rPr>
          <w:rFonts w:asciiTheme="majorBidi" w:hAnsiTheme="majorBidi" w:cstheme="majorBidi" w:hint="eastAsia"/>
          <w:sz w:val="21"/>
          <w:szCs w:val="21"/>
        </w:rPr>
        <w:t xml:space="preserve"> </w:t>
      </w:r>
      <w:r w:rsidR="00246AA3" w:rsidRPr="00246AA3">
        <w:rPr>
          <w:rFonts w:asciiTheme="majorBidi" w:hAnsiTheme="majorBidi" w:cstheme="majorBidi"/>
          <w:sz w:val="21"/>
          <w:szCs w:val="21"/>
        </w:rPr>
        <w:t xml:space="preserve">The mapping process of the urbanity index is described in </w:t>
      </w:r>
      <w:r w:rsidR="00246AA3" w:rsidRPr="00E200FC">
        <w:rPr>
          <w:rFonts w:asciiTheme="majorBidi" w:hAnsiTheme="majorBidi" w:cstheme="majorBidi"/>
          <w:b/>
          <w:bCs/>
          <w:sz w:val="21"/>
          <w:szCs w:val="21"/>
        </w:rPr>
        <w:t>Section 2.1: Mapping urbanity index.</w:t>
      </w:r>
    </w:p>
    <w:p w14:paraId="4E6B7AFB" w14:textId="77777777" w:rsidR="00072020" w:rsidRPr="00BB65B8" w:rsidRDefault="00072020" w:rsidP="00817575">
      <w:pPr>
        <w:tabs>
          <w:tab w:val="left" w:pos="1470"/>
        </w:tabs>
        <w:spacing w:line="360" w:lineRule="auto"/>
        <w:jc w:val="center"/>
        <w:rPr>
          <w:rFonts w:asciiTheme="majorBidi" w:hAnsiTheme="majorBidi" w:cstheme="majorBidi"/>
          <w:noProof/>
          <w:sz w:val="21"/>
          <w:szCs w:val="21"/>
          <w14:ligatures w14:val="none"/>
        </w:rPr>
      </w:pPr>
      <w:r w:rsidRPr="00BB65B8">
        <w:rPr>
          <w:rFonts w:asciiTheme="majorBidi" w:eastAsia="黑体" w:hAnsiTheme="majorBidi" w:cstheme="majorBidi"/>
          <w:noProof/>
          <w:sz w:val="21"/>
          <w:szCs w:val="21"/>
        </w:rPr>
        <w:drawing>
          <wp:inline distT="0" distB="0" distL="0" distR="0" wp14:anchorId="6C36D4B4" wp14:editId="0E8ADFB3">
            <wp:extent cx="3216275" cy="2075180"/>
            <wp:effectExtent l="0" t="0" r="317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3229274" cy="2083517"/>
                    </a:xfrm>
                    <a:prstGeom prst="rect">
                      <a:avLst/>
                    </a:prstGeom>
                  </pic:spPr>
                </pic:pic>
              </a:graphicData>
            </a:graphic>
          </wp:inline>
        </w:drawing>
      </w:r>
    </w:p>
    <w:p w14:paraId="4EB106B8" w14:textId="63B572FC" w:rsidR="00AC0622" w:rsidRPr="00BB65B8" w:rsidRDefault="007D1BC1" w:rsidP="00D05018">
      <w:pPr>
        <w:tabs>
          <w:tab w:val="left" w:pos="1470"/>
        </w:tabs>
        <w:spacing w:line="360" w:lineRule="auto"/>
        <w:jc w:val="left"/>
        <w:rPr>
          <w:rFonts w:asciiTheme="majorBidi" w:hAnsiTheme="majorBidi" w:cstheme="majorBidi"/>
          <w:b/>
          <w:bCs/>
          <w:sz w:val="21"/>
          <w:szCs w:val="21"/>
        </w:rPr>
      </w:pPr>
      <w:r w:rsidRPr="00334D96">
        <w:rPr>
          <w:rFonts w:asciiTheme="majorBidi" w:hAnsiTheme="majorBidi" w:cstheme="majorBidi"/>
          <w:b/>
          <w:bCs/>
          <w:sz w:val="21"/>
          <w:szCs w:val="21"/>
        </w:rPr>
        <w:t xml:space="preserve">Appendix Fig. </w:t>
      </w:r>
      <w:r w:rsidR="00E94021" w:rsidRPr="00334D96">
        <w:rPr>
          <w:rFonts w:asciiTheme="majorBidi" w:hAnsiTheme="majorBidi" w:cstheme="majorBidi"/>
          <w:b/>
          <w:bCs/>
          <w:sz w:val="21"/>
          <w:szCs w:val="21"/>
        </w:rPr>
        <w:t>1</w:t>
      </w:r>
      <w:r w:rsidR="00631598">
        <w:rPr>
          <w:rFonts w:asciiTheme="majorBidi" w:hAnsiTheme="majorBidi" w:cstheme="majorBidi" w:hint="eastAsia"/>
          <w:b/>
          <w:bCs/>
          <w:sz w:val="21"/>
          <w:szCs w:val="21"/>
        </w:rPr>
        <w:t>:</w:t>
      </w:r>
      <w:r w:rsidR="00AB4E1D" w:rsidRPr="00BB65B8">
        <w:rPr>
          <w:rFonts w:asciiTheme="majorBidi" w:hAnsiTheme="majorBidi" w:cstheme="majorBidi"/>
          <w:b/>
          <w:bCs/>
          <w:sz w:val="21"/>
          <w:szCs w:val="21"/>
        </w:rPr>
        <w:t xml:space="preserve"> </w:t>
      </w:r>
      <w:r w:rsidR="00AB4E1D" w:rsidRPr="00BB65B8">
        <w:rPr>
          <w:rFonts w:asciiTheme="majorBidi" w:eastAsiaTheme="majorEastAsia" w:hAnsiTheme="majorBidi" w:cstheme="majorBidi"/>
          <w:b/>
          <w:bCs/>
          <w:sz w:val="21"/>
          <w:szCs w:val="21"/>
        </w:rPr>
        <w:t>Distribution of urbanity index in urban-rural typology.</w:t>
      </w:r>
      <w:r w:rsidR="00474F5D" w:rsidRPr="00BB65B8">
        <w:rPr>
          <w:rFonts w:asciiTheme="majorBidi" w:hAnsiTheme="majorBidi" w:cstheme="majorBidi"/>
        </w:rPr>
        <w:t xml:space="preserve"> </w:t>
      </w:r>
      <w:r w:rsidR="00474F5D" w:rsidRPr="00BB65B8">
        <w:rPr>
          <w:rFonts w:asciiTheme="majorBidi" w:eastAsiaTheme="majorEastAsia" w:hAnsiTheme="majorBidi" w:cstheme="majorBidi"/>
          <w:b/>
          <w:bCs/>
          <w:sz w:val="21"/>
          <w:szCs w:val="21"/>
        </w:rPr>
        <w:t>Red circles indicate the median values in 2010, and red triangles represent the median values in 2020.</w:t>
      </w:r>
    </w:p>
    <w:p w14:paraId="5CF1935D" w14:textId="501A761A" w:rsidR="00BE087B" w:rsidRPr="00BB65B8" w:rsidRDefault="00BE087B" w:rsidP="00D05018">
      <w:pPr>
        <w:pStyle w:val="3"/>
        <w:numPr>
          <w:ilvl w:val="2"/>
          <w:numId w:val="2"/>
        </w:numPr>
        <w:spacing w:line="360" w:lineRule="auto"/>
        <w:jc w:val="left"/>
        <w:rPr>
          <w:rFonts w:asciiTheme="majorBidi" w:hAnsiTheme="majorBidi" w:cstheme="majorBidi"/>
          <w:sz w:val="21"/>
          <w:szCs w:val="21"/>
        </w:rPr>
      </w:pPr>
      <w:r w:rsidRPr="00BB65B8">
        <w:rPr>
          <w:rFonts w:asciiTheme="majorBidi" w:hAnsiTheme="majorBidi" w:cstheme="majorBidi"/>
          <w:sz w:val="21"/>
          <w:szCs w:val="21"/>
        </w:rPr>
        <w:lastRenderedPageBreak/>
        <w:t>Distribution of tree cover, food production and cropland ratio in urban-rural typology</w:t>
      </w:r>
    </w:p>
    <w:p w14:paraId="678DCDA2" w14:textId="4BE47B0F" w:rsidR="00072020" w:rsidRPr="00BB65B8" w:rsidRDefault="007D1BC1" w:rsidP="00817575">
      <w:pPr>
        <w:tabs>
          <w:tab w:val="left" w:pos="1470"/>
        </w:tabs>
        <w:spacing w:line="360" w:lineRule="auto"/>
        <w:jc w:val="center"/>
        <w:rPr>
          <w:rFonts w:asciiTheme="majorBidi" w:hAnsiTheme="majorBidi" w:cstheme="majorBidi"/>
          <w:sz w:val="21"/>
          <w:szCs w:val="21"/>
          <w:highlight w:val="yellow"/>
        </w:rPr>
      </w:pPr>
      <w:r w:rsidRPr="00BB65B8">
        <w:rPr>
          <w:rFonts w:asciiTheme="majorBidi" w:hAnsiTheme="majorBidi" w:cstheme="majorBidi"/>
          <w:noProof/>
          <w:sz w:val="21"/>
          <w:szCs w:val="21"/>
        </w:rPr>
        <w:drawing>
          <wp:inline distT="0" distB="0" distL="0" distR="0" wp14:anchorId="7CB3B5C9" wp14:editId="5D60B9E8">
            <wp:extent cx="3990975" cy="2376757"/>
            <wp:effectExtent l="0" t="0" r="0" b="0"/>
            <wp:docPr id="8582477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1721" cy="2383157"/>
                    </a:xfrm>
                    <a:prstGeom prst="rect">
                      <a:avLst/>
                    </a:prstGeom>
                    <a:noFill/>
                  </pic:spPr>
                </pic:pic>
              </a:graphicData>
            </a:graphic>
          </wp:inline>
        </w:drawing>
      </w:r>
    </w:p>
    <w:p w14:paraId="7031F483" w14:textId="4E335E34" w:rsidR="00072020" w:rsidRPr="00BB65B8" w:rsidRDefault="007D1BC1" w:rsidP="00D05018">
      <w:pPr>
        <w:tabs>
          <w:tab w:val="left" w:pos="1470"/>
        </w:tabs>
        <w:spacing w:line="360" w:lineRule="auto"/>
        <w:jc w:val="left"/>
        <w:rPr>
          <w:rFonts w:asciiTheme="majorBidi" w:eastAsiaTheme="majorEastAsia" w:hAnsiTheme="majorBidi" w:cstheme="majorBidi"/>
          <w:b/>
          <w:bCs/>
          <w:sz w:val="21"/>
          <w:szCs w:val="21"/>
        </w:rPr>
      </w:pPr>
      <w:r w:rsidRPr="00334D96">
        <w:rPr>
          <w:rFonts w:asciiTheme="majorBidi" w:hAnsiTheme="majorBidi" w:cstheme="majorBidi"/>
          <w:b/>
          <w:bCs/>
          <w:sz w:val="21"/>
          <w:szCs w:val="21"/>
        </w:rPr>
        <w:t xml:space="preserve">Appendix Fig. </w:t>
      </w:r>
      <w:r w:rsidR="00E94021" w:rsidRPr="00334D96">
        <w:rPr>
          <w:rFonts w:asciiTheme="majorBidi" w:hAnsiTheme="majorBidi" w:cstheme="majorBidi"/>
          <w:b/>
          <w:bCs/>
          <w:sz w:val="21"/>
          <w:szCs w:val="21"/>
        </w:rPr>
        <w:t>2</w:t>
      </w:r>
      <w:r w:rsidR="00631598">
        <w:rPr>
          <w:rFonts w:asciiTheme="majorBidi" w:hAnsiTheme="majorBidi" w:cstheme="majorBidi" w:hint="eastAsia"/>
          <w:b/>
          <w:bCs/>
          <w:sz w:val="21"/>
          <w:szCs w:val="21"/>
        </w:rPr>
        <w:t>:</w:t>
      </w:r>
      <w:r w:rsidR="00DF7FA4" w:rsidRPr="00334D96">
        <w:rPr>
          <w:rFonts w:asciiTheme="majorBidi" w:hAnsiTheme="majorBidi" w:cstheme="majorBidi"/>
          <w:b/>
          <w:bCs/>
          <w:sz w:val="21"/>
          <w:szCs w:val="21"/>
        </w:rPr>
        <w:t xml:space="preserve"> </w:t>
      </w:r>
      <w:r w:rsidR="00DF7FA4" w:rsidRPr="00334D96">
        <w:rPr>
          <w:rFonts w:asciiTheme="majorBidi" w:eastAsiaTheme="majorEastAsia" w:hAnsiTheme="majorBidi" w:cstheme="majorBidi"/>
          <w:b/>
          <w:bCs/>
          <w:sz w:val="21"/>
          <w:szCs w:val="21"/>
        </w:rPr>
        <w:t>D</w:t>
      </w:r>
      <w:r w:rsidR="00DF7FA4" w:rsidRPr="00BB65B8">
        <w:rPr>
          <w:rFonts w:asciiTheme="majorBidi" w:eastAsiaTheme="majorEastAsia" w:hAnsiTheme="majorBidi" w:cstheme="majorBidi"/>
          <w:b/>
          <w:bCs/>
          <w:sz w:val="21"/>
          <w:szCs w:val="21"/>
        </w:rPr>
        <w:t>istribution of tree cover, cropland ratio, and food production in urban-rural typology.</w:t>
      </w:r>
    </w:p>
    <w:p w14:paraId="1E217335" w14:textId="77777777" w:rsidR="00CC0D35" w:rsidRPr="00BB65B8" w:rsidRDefault="00CC0D35" w:rsidP="00D05018">
      <w:pPr>
        <w:tabs>
          <w:tab w:val="left" w:pos="1470"/>
        </w:tabs>
        <w:spacing w:line="360" w:lineRule="auto"/>
        <w:jc w:val="left"/>
        <w:rPr>
          <w:rFonts w:asciiTheme="majorBidi" w:hAnsiTheme="majorBidi" w:cstheme="majorBidi"/>
          <w:sz w:val="21"/>
          <w:szCs w:val="21"/>
          <w:highlight w:val="green"/>
        </w:rPr>
      </w:pPr>
    </w:p>
    <w:p w14:paraId="171BD1D2" w14:textId="609585DC" w:rsidR="00270CBC" w:rsidRPr="00BB65B8" w:rsidRDefault="00986A75" w:rsidP="00D05018">
      <w:pPr>
        <w:pStyle w:val="3"/>
        <w:numPr>
          <w:ilvl w:val="2"/>
          <w:numId w:val="2"/>
        </w:numPr>
        <w:spacing w:line="360" w:lineRule="auto"/>
        <w:jc w:val="left"/>
        <w:rPr>
          <w:rFonts w:asciiTheme="majorBidi" w:hAnsiTheme="majorBidi" w:cstheme="majorBidi"/>
          <w:sz w:val="21"/>
          <w:szCs w:val="21"/>
        </w:rPr>
      </w:pPr>
      <w:r w:rsidRPr="00BB65B8">
        <w:rPr>
          <w:rFonts w:asciiTheme="majorBidi" w:hAnsiTheme="majorBidi" w:cstheme="majorBidi"/>
          <w:sz w:val="21"/>
          <w:szCs w:val="21"/>
        </w:rPr>
        <w:t>Result of p</w:t>
      </w:r>
      <w:r w:rsidR="00270CBC" w:rsidRPr="00BB65B8">
        <w:rPr>
          <w:rFonts w:asciiTheme="majorBidi" w:hAnsiTheme="majorBidi" w:cstheme="majorBidi"/>
          <w:sz w:val="21"/>
          <w:szCs w:val="21"/>
        </w:rPr>
        <w:t>artial correlation</w:t>
      </w:r>
    </w:p>
    <w:p w14:paraId="26D47AEB" w14:textId="140EC654" w:rsidR="007D1BC1" w:rsidRPr="00895F71" w:rsidRDefault="00270CBC" w:rsidP="00D05018">
      <w:pPr>
        <w:tabs>
          <w:tab w:val="left" w:pos="1470"/>
        </w:tabs>
        <w:spacing w:line="360" w:lineRule="auto"/>
        <w:jc w:val="left"/>
        <w:rPr>
          <w:rFonts w:asciiTheme="majorBidi" w:hAnsiTheme="majorBidi" w:cstheme="majorBidi"/>
          <w:b/>
          <w:bCs/>
          <w:sz w:val="21"/>
          <w:szCs w:val="21"/>
        </w:rPr>
      </w:pPr>
      <w:r w:rsidRPr="00BB65B8">
        <w:rPr>
          <w:rFonts w:asciiTheme="majorBidi" w:hAnsiTheme="majorBidi" w:cstheme="majorBidi"/>
          <w:sz w:val="21"/>
          <w:szCs w:val="21"/>
        </w:rPr>
        <w:t xml:space="preserve">See detail in the </w:t>
      </w:r>
      <w:r w:rsidRPr="00895F71">
        <w:rPr>
          <w:rFonts w:asciiTheme="majorBidi" w:hAnsiTheme="majorBidi" w:cstheme="majorBidi"/>
          <w:b/>
          <w:bCs/>
          <w:sz w:val="21"/>
          <w:szCs w:val="21"/>
        </w:rPr>
        <w:t>Appendix Table 1-Partial correlation results.xlsx</w:t>
      </w:r>
    </w:p>
    <w:p w14:paraId="2B77FC18" w14:textId="77777777" w:rsidR="00CC0D35" w:rsidRPr="00BB65B8" w:rsidRDefault="00CC0D35" w:rsidP="00D05018">
      <w:pPr>
        <w:tabs>
          <w:tab w:val="left" w:pos="1470"/>
        </w:tabs>
        <w:spacing w:line="360" w:lineRule="auto"/>
        <w:jc w:val="left"/>
        <w:rPr>
          <w:rFonts w:asciiTheme="majorBidi" w:hAnsiTheme="majorBidi" w:cstheme="majorBidi"/>
          <w:sz w:val="21"/>
          <w:szCs w:val="21"/>
        </w:rPr>
      </w:pPr>
    </w:p>
    <w:p w14:paraId="10E5D367" w14:textId="14E5E643" w:rsidR="00D07B84" w:rsidRPr="00BB65B8" w:rsidRDefault="00840142" w:rsidP="00D05018">
      <w:pPr>
        <w:pStyle w:val="3"/>
        <w:numPr>
          <w:ilvl w:val="2"/>
          <w:numId w:val="2"/>
        </w:numPr>
        <w:spacing w:line="360" w:lineRule="auto"/>
        <w:jc w:val="left"/>
        <w:rPr>
          <w:rFonts w:asciiTheme="majorBidi" w:hAnsiTheme="majorBidi" w:cstheme="majorBidi"/>
          <w:sz w:val="21"/>
          <w:szCs w:val="21"/>
        </w:rPr>
      </w:pPr>
      <w:r w:rsidRPr="00BB65B8">
        <w:rPr>
          <w:rFonts w:asciiTheme="majorBidi" w:hAnsiTheme="majorBidi" w:cstheme="majorBidi"/>
          <w:sz w:val="21"/>
          <w:szCs w:val="21"/>
        </w:rPr>
        <w:t>Results of LMMs</w:t>
      </w:r>
    </w:p>
    <w:p w14:paraId="3ECC92BA" w14:textId="77777777" w:rsidR="00AE643E" w:rsidRDefault="000D3B69" w:rsidP="00D05018">
      <w:pPr>
        <w:tabs>
          <w:tab w:val="left" w:pos="1470"/>
        </w:tabs>
        <w:spacing w:line="360" w:lineRule="auto"/>
        <w:jc w:val="left"/>
        <w:rPr>
          <w:rFonts w:asciiTheme="majorBidi" w:hAnsiTheme="majorBidi" w:cstheme="majorBidi"/>
          <w:sz w:val="21"/>
          <w:szCs w:val="21"/>
        </w:rPr>
      </w:pPr>
      <w:r w:rsidRPr="00BB65B8">
        <w:rPr>
          <w:rFonts w:asciiTheme="majorBidi" w:hAnsiTheme="majorBidi" w:cstheme="majorBidi"/>
          <w:sz w:val="21"/>
          <w:szCs w:val="21"/>
        </w:rPr>
        <w:t xml:space="preserve">See detail in the Appendix Table 2-Fixed effects based on LMMs.xlsx </w:t>
      </w:r>
    </w:p>
    <w:p w14:paraId="581B6512" w14:textId="7BD1E860" w:rsidR="00E94021" w:rsidRPr="00BB65B8" w:rsidRDefault="00E94021" w:rsidP="00817575">
      <w:pPr>
        <w:tabs>
          <w:tab w:val="left" w:pos="1470"/>
        </w:tabs>
        <w:spacing w:line="360" w:lineRule="auto"/>
        <w:jc w:val="center"/>
        <w:rPr>
          <w:rFonts w:asciiTheme="majorBidi" w:hAnsiTheme="majorBidi" w:cstheme="majorBidi"/>
          <w:sz w:val="21"/>
          <w:szCs w:val="21"/>
        </w:rPr>
      </w:pPr>
      <w:r w:rsidRPr="00BB65B8">
        <w:rPr>
          <w:rFonts w:asciiTheme="majorBidi" w:hAnsiTheme="majorBidi" w:cstheme="majorBidi"/>
          <w:noProof/>
          <w:sz w:val="21"/>
          <w:szCs w:val="21"/>
        </w:rPr>
        <w:drawing>
          <wp:inline distT="0" distB="0" distL="0" distR="0" wp14:anchorId="0345C544" wp14:editId="26AD631F">
            <wp:extent cx="4363113" cy="1957839"/>
            <wp:effectExtent l="0" t="0" r="0" b="4445"/>
            <wp:docPr id="9220558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174" cy="1961456"/>
                    </a:xfrm>
                    <a:prstGeom prst="rect">
                      <a:avLst/>
                    </a:prstGeom>
                    <a:noFill/>
                  </pic:spPr>
                </pic:pic>
              </a:graphicData>
            </a:graphic>
          </wp:inline>
        </w:drawing>
      </w:r>
    </w:p>
    <w:p w14:paraId="34C29150" w14:textId="295F2E66" w:rsidR="000A637D" w:rsidRPr="0001756C" w:rsidRDefault="00E94021" w:rsidP="00D05018">
      <w:pPr>
        <w:tabs>
          <w:tab w:val="left" w:pos="1470"/>
        </w:tabs>
        <w:spacing w:line="360" w:lineRule="auto"/>
        <w:jc w:val="left"/>
        <w:rPr>
          <w:rFonts w:asciiTheme="majorBidi" w:hAnsiTheme="majorBidi" w:cstheme="majorBidi"/>
          <w:b/>
          <w:bCs/>
          <w:sz w:val="21"/>
          <w:szCs w:val="21"/>
        </w:rPr>
      </w:pPr>
      <w:r w:rsidRPr="0001756C">
        <w:rPr>
          <w:rFonts w:asciiTheme="majorBidi" w:hAnsiTheme="majorBidi" w:cstheme="majorBidi"/>
          <w:b/>
          <w:bCs/>
          <w:sz w:val="21"/>
          <w:szCs w:val="21"/>
        </w:rPr>
        <w:t>Appendix Fig. 3</w:t>
      </w:r>
      <w:r w:rsidR="00631598">
        <w:rPr>
          <w:rFonts w:asciiTheme="majorBidi" w:hAnsiTheme="majorBidi" w:cstheme="majorBidi" w:hint="eastAsia"/>
          <w:b/>
          <w:bCs/>
          <w:sz w:val="21"/>
          <w:szCs w:val="21"/>
        </w:rPr>
        <w:t>:</w:t>
      </w:r>
      <w:r w:rsidR="000A637D" w:rsidRPr="0001756C">
        <w:rPr>
          <w:rFonts w:asciiTheme="majorBidi" w:hAnsiTheme="majorBidi" w:cstheme="majorBidi"/>
          <w:b/>
          <w:bCs/>
          <w:sz w:val="21"/>
          <w:szCs w:val="21"/>
        </w:rPr>
        <w:t xml:space="preserve"> Residual distribution of LMMs.</w:t>
      </w:r>
    </w:p>
    <w:p w14:paraId="2E014F23" w14:textId="274D7AE9" w:rsidR="00E94021" w:rsidRPr="00BB65B8" w:rsidRDefault="00E94021" w:rsidP="00D05018">
      <w:pPr>
        <w:tabs>
          <w:tab w:val="left" w:pos="1470"/>
        </w:tabs>
        <w:spacing w:line="360" w:lineRule="auto"/>
        <w:jc w:val="left"/>
        <w:rPr>
          <w:rFonts w:asciiTheme="majorBidi" w:hAnsiTheme="majorBidi" w:cstheme="majorBidi"/>
          <w:sz w:val="21"/>
          <w:szCs w:val="21"/>
          <w:highlight w:val="green"/>
        </w:rPr>
      </w:pPr>
    </w:p>
    <w:p w14:paraId="671E0C9C" w14:textId="44B1D581" w:rsidR="00914432" w:rsidRPr="00BB65B8" w:rsidRDefault="00914432" w:rsidP="00D05018">
      <w:pPr>
        <w:pStyle w:val="3"/>
        <w:numPr>
          <w:ilvl w:val="2"/>
          <w:numId w:val="2"/>
        </w:numPr>
        <w:spacing w:line="360" w:lineRule="auto"/>
        <w:jc w:val="left"/>
        <w:rPr>
          <w:rFonts w:asciiTheme="majorBidi" w:hAnsiTheme="majorBidi" w:cstheme="majorBidi"/>
          <w:sz w:val="21"/>
          <w:szCs w:val="21"/>
        </w:rPr>
      </w:pPr>
      <w:r w:rsidRPr="00BB65B8">
        <w:rPr>
          <w:rFonts w:asciiTheme="majorBidi" w:hAnsiTheme="majorBidi" w:cstheme="majorBidi"/>
          <w:sz w:val="21"/>
          <w:szCs w:val="21"/>
        </w:rPr>
        <w:lastRenderedPageBreak/>
        <w:t>Comparison of socio-ecological factors in areas with co-varying population and EVI</w:t>
      </w:r>
    </w:p>
    <w:p w14:paraId="0B501CD1" w14:textId="6D31ED20" w:rsidR="00EA3468" w:rsidRPr="00BB65B8" w:rsidRDefault="00EA3468" w:rsidP="00D05018">
      <w:pPr>
        <w:tabs>
          <w:tab w:val="left" w:pos="1470"/>
        </w:tabs>
        <w:spacing w:line="360" w:lineRule="auto"/>
        <w:jc w:val="left"/>
        <w:rPr>
          <w:rFonts w:asciiTheme="majorBidi" w:hAnsiTheme="majorBidi" w:cstheme="majorBidi"/>
          <w:sz w:val="21"/>
          <w:szCs w:val="21"/>
        </w:rPr>
      </w:pPr>
      <w:r w:rsidRPr="00BB65B8">
        <w:rPr>
          <w:rFonts w:asciiTheme="majorBidi" w:hAnsiTheme="majorBidi" w:cstheme="majorBidi"/>
          <w:sz w:val="21"/>
          <w:szCs w:val="21"/>
        </w:rPr>
        <w:t xml:space="preserve">The results reveal opposite spatial patterns of population and EVI changes along the </w:t>
      </w:r>
      <w:r w:rsidR="008C14AB" w:rsidRPr="00BB65B8">
        <w:rPr>
          <w:rFonts w:asciiTheme="majorBidi" w:hAnsiTheme="majorBidi" w:cstheme="majorBidi"/>
          <w:sz w:val="21"/>
          <w:szCs w:val="21"/>
        </w:rPr>
        <w:t xml:space="preserve">urban–rural typology </w:t>
      </w:r>
      <w:r w:rsidRPr="00BB65B8">
        <w:rPr>
          <w:rFonts w:asciiTheme="majorBidi" w:hAnsiTheme="majorBidi" w:cstheme="majorBidi"/>
          <w:sz w:val="21"/>
          <w:szCs w:val="21"/>
        </w:rPr>
        <w:t>(</w:t>
      </w:r>
      <w:r w:rsidR="00151BE9" w:rsidRPr="003D5353">
        <w:rPr>
          <w:rFonts w:asciiTheme="majorBidi" w:hAnsiTheme="majorBidi" w:cstheme="majorBidi"/>
          <w:b/>
          <w:bCs/>
          <w:sz w:val="21"/>
          <w:szCs w:val="21"/>
        </w:rPr>
        <w:t>Appendix Fig. 4a, b</w:t>
      </w:r>
      <w:r w:rsidRPr="00BB65B8">
        <w:rPr>
          <w:rFonts w:asciiTheme="majorBidi" w:hAnsiTheme="majorBidi" w:cstheme="majorBidi"/>
          <w:sz w:val="21"/>
          <w:szCs w:val="21"/>
        </w:rPr>
        <w:t>). Approximately 35.0% of the study area exhibited significantly increasing EVI trends (0.0038/year), with 50.0% of these greening zones classified as PopDe-G, mostly located in rural centers and villages. Additionally, 29.4% of rural areas fell under the PopIn-G category, whereas 34.7% of urban areas were dominated by the PopIn-G type. These findings indicate that rural regions are the primary zones of vegetation recovery, particularly in areas experiencing population decline. This underscores the need to compare socio-ecological conditions across rural interaction types.</w:t>
      </w:r>
    </w:p>
    <w:p w14:paraId="3DF34814" w14:textId="77777777" w:rsidR="00151BE9" w:rsidRPr="00BB65B8" w:rsidRDefault="00151BE9" w:rsidP="00D05018">
      <w:pPr>
        <w:tabs>
          <w:tab w:val="left" w:pos="1470"/>
        </w:tabs>
        <w:spacing w:line="360" w:lineRule="auto"/>
        <w:jc w:val="left"/>
        <w:rPr>
          <w:rFonts w:asciiTheme="majorBidi" w:hAnsiTheme="majorBidi" w:cstheme="majorBidi"/>
          <w:sz w:val="21"/>
          <w:szCs w:val="21"/>
        </w:rPr>
      </w:pPr>
    </w:p>
    <w:p w14:paraId="2ADE5065" w14:textId="526D0D11" w:rsidR="0001756C" w:rsidRDefault="00D25D5D" w:rsidP="00D05018">
      <w:pPr>
        <w:tabs>
          <w:tab w:val="left" w:pos="1470"/>
        </w:tabs>
        <w:spacing w:line="360" w:lineRule="auto"/>
        <w:jc w:val="left"/>
        <w:rPr>
          <w:rFonts w:asciiTheme="majorBidi" w:hAnsiTheme="majorBidi" w:cstheme="majorBidi"/>
          <w:sz w:val="21"/>
          <w:szCs w:val="21"/>
        </w:rPr>
      </w:pPr>
      <w:r w:rsidRPr="00BB65B8">
        <w:rPr>
          <w:rFonts w:asciiTheme="majorBidi" w:hAnsiTheme="majorBidi" w:cstheme="majorBidi"/>
          <w:sz w:val="21"/>
          <w:szCs w:val="21"/>
        </w:rPr>
        <w:t>Based on the dynamics of population density and EVI change, we classified the rural area that including rural center and village into four interaction types: (1) Rural population decreases with EVI greening (RPopDe-G), (2) Rural population increases with EVI greening (RPopIn-G), (3) Rural population decreases with EVI browning (RPopDe-B), and (4) Rural population increases with EVI browning (RPopIn-B). Significant differences in socio-ecological variables were found among the four interaction types in rural areas (</w:t>
      </w:r>
      <w:r w:rsidR="00C623FC" w:rsidRPr="00994B72">
        <w:rPr>
          <w:rFonts w:asciiTheme="majorBidi" w:hAnsiTheme="majorBidi" w:cstheme="majorBidi"/>
          <w:b/>
          <w:bCs/>
          <w:sz w:val="21"/>
          <w:szCs w:val="21"/>
        </w:rPr>
        <w:t>Appendix Fig. 4</w:t>
      </w:r>
      <w:r w:rsidRPr="00994B72">
        <w:rPr>
          <w:rFonts w:asciiTheme="majorBidi" w:hAnsiTheme="majorBidi" w:cstheme="majorBidi"/>
          <w:b/>
          <w:bCs/>
          <w:sz w:val="21"/>
          <w:szCs w:val="21"/>
        </w:rPr>
        <w:t>c–</w:t>
      </w:r>
      <w:r w:rsidR="00C623FC" w:rsidRPr="00994B72">
        <w:rPr>
          <w:rFonts w:asciiTheme="majorBidi" w:hAnsiTheme="majorBidi" w:cstheme="majorBidi"/>
          <w:b/>
          <w:bCs/>
          <w:sz w:val="21"/>
          <w:szCs w:val="21"/>
        </w:rPr>
        <w:t>j</w:t>
      </w:r>
      <w:r w:rsidR="00913464">
        <w:rPr>
          <w:rFonts w:asciiTheme="majorBidi" w:hAnsiTheme="majorBidi" w:cstheme="majorBidi" w:hint="eastAsia"/>
          <w:b/>
          <w:bCs/>
          <w:sz w:val="21"/>
          <w:szCs w:val="21"/>
        </w:rPr>
        <w:t xml:space="preserve"> an</w:t>
      </w:r>
      <w:r w:rsidR="00913464" w:rsidRPr="00913464">
        <w:rPr>
          <w:rFonts w:asciiTheme="majorBidi" w:hAnsiTheme="majorBidi" w:cstheme="majorBidi" w:hint="eastAsia"/>
          <w:b/>
          <w:bCs/>
          <w:sz w:val="21"/>
          <w:szCs w:val="21"/>
        </w:rPr>
        <w:t>d</w:t>
      </w:r>
      <w:r w:rsidR="00913464" w:rsidRPr="00913464">
        <w:rPr>
          <w:rFonts w:asciiTheme="majorBidi" w:hAnsiTheme="majorBidi" w:cstheme="majorBidi"/>
          <w:b/>
          <w:bCs/>
          <w:sz w:val="21"/>
          <w:szCs w:val="21"/>
        </w:rPr>
        <w:t xml:space="preserve"> Appendix Fig. 5</w:t>
      </w:r>
      <w:r w:rsidRPr="00BB65B8">
        <w:rPr>
          <w:rFonts w:asciiTheme="majorBidi" w:hAnsiTheme="majorBidi" w:cstheme="majorBidi"/>
          <w:sz w:val="21"/>
          <w:szCs w:val="21"/>
        </w:rPr>
        <w:t>).</w:t>
      </w:r>
    </w:p>
    <w:p w14:paraId="101DAAF6" w14:textId="77777777" w:rsidR="0001756C" w:rsidRDefault="0001756C" w:rsidP="00D05018">
      <w:pPr>
        <w:tabs>
          <w:tab w:val="left" w:pos="1470"/>
        </w:tabs>
        <w:spacing w:line="360" w:lineRule="auto"/>
        <w:jc w:val="left"/>
        <w:rPr>
          <w:rFonts w:asciiTheme="majorBidi" w:hAnsiTheme="majorBidi" w:cstheme="majorBidi"/>
          <w:sz w:val="21"/>
          <w:szCs w:val="21"/>
        </w:rPr>
      </w:pPr>
    </w:p>
    <w:p w14:paraId="28EFB683" w14:textId="77777777" w:rsidR="00913464" w:rsidRPr="00913464" w:rsidRDefault="00913464" w:rsidP="00D05018">
      <w:pPr>
        <w:tabs>
          <w:tab w:val="left" w:pos="1470"/>
        </w:tabs>
        <w:spacing w:line="360" w:lineRule="auto"/>
        <w:jc w:val="left"/>
        <w:rPr>
          <w:rFonts w:asciiTheme="majorBidi" w:hAnsiTheme="majorBidi" w:cstheme="majorBidi"/>
          <w:sz w:val="21"/>
          <w:szCs w:val="21"/>
        </w:rPr>
      </w:pPr>
      <w:r w:rsidRPr="00913464">
        <w:rPr>
          <w:rFonts w:asciiTheme="majorBidi" w:hAnsiTheme="majorBidi" w:cstheme="majorBidi" w:hint="eastAsia"/>
          <w:sz w:val="21"/>
          <w:szCs w:val="21"/>
        </w:rPr>
        <w:t>In rural areas, the four combined categories of population and vegetation change exhibit significant differences in socio-ecological factors (</w:t>
      </w:r>
      <w:r w:rsidRPr="00913464">
        <w:rPr>
          <w:rFonts w:asciiTheme="majorBidi" w:hAnsiTheme="majorBidi" w:cstheme="majorBidi" w:hint="eastAsia"/>
          <w:b/>
          <w:bCs/>
          <w:sz w:val="21"/>
          <w:szCs w:val="21"/>
        </w:rPr>
        <w:t>Appendix Fig. 4c</w:t>
      </w:r>
      <w:r w:rsidRPr="00913464">
        <w:rPr>
          <w:rFonts w:asciiTheme="majorBidi" w:hAnsiTheme="majorBidi" w:cstheme="majorBidi" w:hint="eastAsia"/>
          <w:b/>
          <w:bCs/>
          <w:sz w:val="21"/>
          <w:szCs w:val="21"/>
        </w:rPr>
        <w:t>–</w:t>
      </w:r>
      <w:r w:rsidRPr="00913464">
        <w:rPr>
          <w:rFonts w:asciiTheme="majorBidi" w:hAnsiTheme="majorBidi" w:cstheme="majorBidi" w:hint="eastAsia"/>
          <w:b/>
          <w:bCs/>
          <w:sz w:val="21"/>
          <w:szCs w:val="21"/>
        </w:rPr>
        <w:t>j</w:t>
      </w:r>
      <w:r w:rsidRPr="00913464">
        <w:rPr>
          <w:rFonts w:asciiTheme="majorBidi" w:hAnsiTheme="majorBidi" w:cstheme="majorBidi" w:hint="eastAsia"/>
          <w:sz w:val="21"/>
          <w:szCs w:val="21"/>
        </w:rPr>
        <w:t>). Results from the Kruskal</w:t>
      </w:r>
      <w:r w:rsidRPr="00913464">
        <w:rPr>
          <w:rFonts w:asciiTheme="majorBidi" w:hAnsiTheme="majorBidi" w:cstheme="majorBidi" w:hint="eastAsia"/>
          <w:sz w:val="21"/>
          <w:szCs w:val="21"/>
        </w:rPr>
        <w:t>–</w:t>
      </w:r>
      <w:r w:rsidRPr="00913464">
        <w:rPr>
          <w:rFonts w:asciiTheme="majorBidi" w:hAnsiTheme="majorBidi" w:cstheme="majorBidi" w:hint="eastAsia"/>
          <w:sz w:val="21"/>
          <w:szCs w:val="21"/>
        </w:rPr>
        <w:t>Wallis and Dunn's post-hoc tests (</w:t>
      </w:r>
      <w:r w:rsidRPr="00DC680E">
        <w:rPr>
          <w:rFonts w:asciiTheme="majorBidi" w:hAnsiTheme="majorBidi" w:cstheme="majorBidi" w:hint="eastAsia"/>
          <w:b/>
          <w:bCs/>
          <w:sz w:val="21"/>
          <w:szCs w:val="21"/>
        </w:rPr>
        <w:t>Appendix Table 3: Kruskal</w:t>
      </w:r>
      <w:r w:rsidRPr="00DC680E">
        <w:rPr>
          <w:rFonts w:asciiTheme="majorBidi" w:hAnsiTheme="majorBidi" w:cstheme="majorBidi" w:hint="eastAsia"/>
          <w:b/>
          <w:bCs/>
          <w:sz w:val="21"/>
          <w:szCs w:val="21"/>
        </w:rPr>
        <w:t>–</w:t>
      </w:r>
      <w:r w:rsidRPr="00DC680E">
        <w:rPr>
          <w:rFonts w:asciiTheme="majorBidi" w:hAnsiTheme="majorBidi" w:cstheme="majorBidi" w:hint="eastAsia"/>
          <w:b/>
          <w:bCs/>
          <w:sz w:val="21"/>
          <w:szCs w:val="21"/>
        </w:rPr>
        <w:t>Wallis and Dunn test.xlsx</w:t>
      </w:r>
      <w:r w:rsidRPr="00913464">
        <w:rPr>
          <w:rFonts w:asciiTheme="majorBidi" w:hAnsiTheme="majorBidi" w:cstheme="majorBidi" w:hint="eastAsia"/>
          <w:sz w:val="21"/>
          <w:szCs w:val="21"/>
        </w:rPr>
        <w:t>) show that the urbanity index increased more significantly in areas with population growth, with the highest median value observed in the RPopIn-B type (0.42) and the lowest in the RPopDe-G type (0.35) (Fig. 2c). This suggests that low levels of urbanization and lagging socioeconomic development are important background conditions for population outmigration.</w:t>
      </w:r>
    </w:p>
    <w:p w14:paraId="0F39874D" w14:textId="77777777" w:rsidR="00913464" w:rsidRPr="00913464" w:rsidRDefault="00913464" w:rsidP="00D05018">
      <w:pPr>
        <w:tabs>
          <w:tab w:val="left" w:pos="1470"/>
        </w:tabs>
        <w:spacing w:line="360" w:lineRule="auto"/>
        <w:jc w:val="left"/>
        <w:rPr>
          <w:rFonts w:asciiTheme="majorBidi" w:hAnsiTheme="majorBidi" w:cstheme="majorBidi"/>
          <w:sz w:val="21"/>
          <w:szCs w:val="21"/>
        </w:rPr>
      </w:pPr>
    </w:p>
    <w:p w14:paraId="2D0841EE" w14:textId="0874887C" w:rsidR="00913464" w:rsidRPr="00913464" w:rsidRDefault="00913464" w:rsidP="00D05018">
      <w:pPr>
        <w:tabs>
          <w:tab w:val="left" w:pos="1470"/>
        </w:tabs>
        <w:spacing w:line="360" w:lineRule="auto"/>
        <w:jc w:val="left"/>
        <w:rPr>
          <w:rFonts w:asciiTheme="majorBidi" w:hAnsiTheme="majorBidi" w:cstheme="majorBidi"/>
          <w:sz w:val="21"/>
          <w:szCs w:val="21"/>
        </w:rPr>
      </w:pPr>
      <w:r w:rsidRPr="00913464">
        <w:rPr>
          <w:rFonts w:asciiTheme="majorBidi" w:hAnsiTheme="majorBidi" w:cstheme="majorBidi" w:hint="eastAsia"/>
          <w:sz w:val="21"/>
          <w:szCs w:val="21"/>
        </w:rPr>
        <w:t xml:space="preserve">In terms of land management, the RPopDe-G regions showed increasing trends in tree cover, cropland ratio, and food production, reaching the highest median values of 2.58%, </w:t>
      </w:r>
      <w:r w:rsidRPr="00913464">
        <w:rPr>
          <w:rFonts w:asciiTheme="majorBidi" w:hAnsiTheme="majorBidi" w:cstheme="majorBidi" w:hint="eastAsia"/>
          <w:sz w:val="21"/>
          <w:szCs w:val="21"/>
        </w:rPr>
        <w:t>–</w:t>
      </w:r>
      <w:r w:rsidRPr="00913464">
        <w:rPr>
          <w:rFonts w:asciiTheme="majorBidi" w:hAnsiTheme="majorBidi" w:cstheme="majorBidi" w:hint="eastAsia"/>
          <w:sz w:val="21"/>
          <w:szCs w:val="21"/>
        </w:rPr>
        <w:t>0.0002, and 1.72 t, respectively. In contrast, the RPopIn-B areas experienced a decline in cropland ratio (</w:t>
      </w:r>
      <w:r w:rsidRPr="00913464">
        <w:rPr>
          <w:rFonts w:asciiTheme="majorBidi" w:hAnsiTheme="majorBidi" w:cstheme="majorBidi" w:hint="eastAsia"/>
          <w:sz w:val="21"/>
          <w:szCs w:val="21"/>
        </w:rPr>
        <w:t>–</w:t>
      </w:r>
      <w:r w:rsidRPr="00913464">
        <w:rPr>
          <w:rFonts w:asciiTheme="majorBidi" w:hAnsiTheme="majorBidi" w:cstheme="majorBidi" w:hint="eastAsia"/>
          <w:sz w:val="21"/>
          <w:szCs w:val="21"/>
        </w:rPr>
        <w:t>0.02) and a sharp reduction in food production (</w:t>
      </w:r>
      <w:r w:rsidRPr="00913464">
        <w:rPr>
          <w:rFonts w:asciiTheme="majorBidi" w:hAnsiTheme="majorBidi" w:cstheme="majorBidi" w:hint="eastAsia"/>
          <w:sz w:val="21"/>
          <w:szCs w:val="21"/>
        </w:rPr>
        <w:t>–</w:t>
      </w:r>
      <w:r w:rsidRPr="00913464">
        <w:rPr>
          <w:rFonts w:asciiTheme="majorBidi" w:hAnsiTheme="majorBidi" w:cstheme="majorBidi" w:hint="eastAsia"/>
          <w:sz w:val="21"/>
          <w:szCs w:val="21"/>
        </w:rPr>
        <w:t xml:space="preserve">16.91 t). These differences indicate that </w:t>
      </w:r>
      <w:r w:rsidRPr="00913464">
        <w:rPr>
          <w:rFonts w:asciiTheme="majorBidi" w:hAnsiTheme="majorBidi" w:cstheme="majorBidi" w:hint="eastAsia"/>
          <w:sz w:val="21"/>
          <w:szCs w:val="21"/>
        </w:rPr>
        <w:lastRenderedPageBreak/>
        <w:t>population decline areas have achieved ecological restoration through land-use improvements, such as maintaining cropland and enhancing vegetation and productivity, whereas population increase areas face dual pressures of land scarcity and reduced agricultural output.</w:t>
      </w:r>
    </w:p>
    <w:p w14:paraId="30D620B4" w14:textId="77777777" w:rsidR="00913464" w:rsidRPr="00913464" w:rsidRDefault="00913464" w:rsidP="00D05018">
      <w:pPr>
        <w:tabs>
          <w:tab w:val="left" w:pos="1470"/>
        </w:tabs>
        <w:spacing w:line="360" w:lineRule="auto"/>
        <w:jc w:val="left"/>
        <w:rPr>
          <w:rFonts w:asciiTheme="majorBidi" w:hAnsiTheme="majorBidi" w:cstheme="majorBidi"/>
          <w:sz w:val="21"/>
          <w:szCs w:val="21"/>
        </w:rPr>
      </w:pPr>
    </w:p>
    <w:p w14:paraId="54542C84" w14:textId="213134F5" w:rsidR="00913464" w:rsidRDefault="00913464" w:rsidP="00D05018">
      <w:pPr>
        <w:tabs>
          <w:tab w:val="left" w:pos="1470"/>
        </w:tabs>
        <w:spacing w:line="360" w:lineRule="auto"/>
        <w:jc w:val="left"/>
        <w:rPr>
          <w:rFonts w:asciiTheme="majorBidi" w:hAnsiTheme="majorBidi" w:cstheme="majorBidi"/>
          <w:sz w:val="21"/>
          <w:szCs w:val="21"/>
        </w:rPr>
      </w:pPr>
      <w:r w:rsidRPr="00913464">
        <w:rPr>
          <w:rFonts w:asciiTheme="majorBidi" w:hAnsiTheme="majorBidi" w:cstheme="majorBidi" w:hint="eastAsia"/>
          <w:sz w:val="21"/>
          <w:szCs w:val="21"/>
        </w:rPr>
        <w:t>Regarding natural conditions, RPopDe-G regions are often located in areas with steeper terrain (median slope = 1.14</w:t>
      </w:r>
      <w:r w:rsidRPr="00913464">
        <w:rPr>
          <w:rFonts w:asciiTheme="majorBidi" w:hAnsiTheme="majorBidi" w:cstheme="majorBidi" w:hint="eastAsia"/>
          <w:sz w:val="21"/>
          <w:szCs w:val="21"/>
        </w:rPr>
        <w:t>°</w:t>
      </w:r>
      <w:r w:rsidRPr="00913464">
        <w:rPr>
          <w:rFonts w:asciiTheme="majorBidi" w:hAnsiTheme="majorBidi" w:cstheme="majorBidi" w:hint="eastAsia"/>
          <w:sz w:val="21"/>
          <w:szCs w:val="21"/>
        </w:rPr>
        <w:t>), while RPopIn-B regions are the flattest (0.29</w:t>
      </w:r>
      <w:r w:rsidRPr="00913464">
        <w:rPr>
          <w:rFonts w:asciiTheme="majorBidi" w:hAnsiTheme="majorBidi" w:cstheme="majorBidi" w:hint="eastAsia"/>
          <w:sz w:val="21"/>
          <w:szCs w:val="21"/>
        </w:rPr>
        <w:t>°</w:t>
      </w:r>
      <w:r w:rsidRPr="00913464">
        <w:rPr>
          <w:rFonts w:asciiTheme="majorBidi" w:hAnsiTheme="majorBidi" w:cstheme="majorBidi" w:hint="eastAsia"/>
          <w:sz w:val="21"/>
          <w:szCs w:val="21"/>
        </w:rPr>
        <w:t>). In terms of climate, vegetation browning areas experienced more pronounced war</w:t>
      </w:r>
      <w:r w:rsidRPr="00913464">
        <w:rPr>
          <w:rFonts w:asciiTheme="majorBidi" w:hAnsiTheme="majorBidi" w:cstheme="majorBidi"/>
          <w:sz w:val="21"/>
          <w:szCs w:val="21"/>
        </w:rPr>
        <w:t>ming, with RPopIn-B showing the greatest increase in annual temperature (0.68 °C) and the highest rise in precipitation (39.79 mm). Additionally, increases in CO₂ emissions were aligned with population growth, with RPopIn-B again showing the la</w:t>
      </w:r>
      <w:r w:rsidRPr="00913464">
        <w:rPr>
          <w:rFonts w:asciiTheme="majorBidi" w:hAnsiTheme="majorBidi" w:cstheme="majorBidi" w:hint="eastAsia"/>
          <w:sz w:val="21"/>
          <w:szCs w:val="21"/>
        </w:rPr>
        <w:t>rgest rise (0.00024). These results suggest that population growth combined with climate stress and anthropogenic emissions may be key drivers of vegetation degradation.</w:t>
      </w:r>
    </w:p>
    <w:p w14:paraId="0D55D741" w14:textId="281D7BFC" w:rsidR="00EA3468" w:rsidRPr="00BB65B8" w:rsidRDefault="00F25655" w:rsidP="00817575">
      <w:pPr>
        <w:tabs>
          <w:tab w:val="left" w:pos="1470"/>
        </w:tabs>
        <w:spacing w:line="360" w:lineRule="auto"/>
        <w:jc w:val="center"/>
        <w:rPr>
          <w:rFonts w:asciiTheme="majorBidi" w:hAnsiTheme="majorBidi" w:cstheme="majorBidi"/>
          <w:sz w:val="21"/>
          <w:szCs w:val="21"/>
        </w:rPr>
      </w:pPr>
      <w:r w:rsidRPr="00BB65B8">
        <w:rPr>
          <w:rFonts w:asciiTheme="majorBidi" w:hAnsiTheme="majorBidi" w:cstheme="majorBidi"/>
          <w:noProof/>
          <w:sz w:val="21"/>
          <w:szCs w:val="21"/>
        </w:rPr>
        <w:drawing>
          <wp:inline distT="0" distB="0" distL="0" distR="0" wp14:anchorId="4FD1B574" wp14:editId="39C95165">
            <wp:extent cx="4720464" cy="4045198"/>
            <wp:effectExtent l="0" t="0" r="4445" b="0"/>
            <wp:docPr id="6571206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7086" cy="4050872"/>
                    </a:xfrm>
                    <a:prstGeom prst="rect">
                      <a:avLst/>
                    </a:prstGeom>
                    <a:noFill/>
                  </pic:spPr>
                </pic:pic>
              </a:graphicData>
            </a:graphic>
          </wp:inline>
        </w:drawing>
      </w:r>
    </w:p>
    <w:p w14:paraId="16490E69" w14:textId="431E3E9E" w:rsidR="00423C37" w:rsidRPr="00BB65B8" w:rsidRDefault="0048551A" w:rsidP="00D05018">
      <w:pPr>
        <w:tabs>
          <w:tab w:val="left" w:pos="1470"/>
        </w:tabs>
        <w:spacing w:line="360" w:lineRule="auto"/>
        <w:jc w:val="left"/>
        <w:rPr>
          <w:rFonts w:asciiTheme="majorBidi" w:eastAsia="黑体" w:hAnsiTheme="majorBidi" w:cstheme="majorBidi"/>
          <w:sz w:val="21"/>
          <w:szCs w:val="21"/>
        </w:rPr>
      </w:pPr>
      <w:r w:rsidRPr="000E1994">
        <w:rPr>
          <w:rFonts w:asciiTheme="majorBidi" w:hAnsiTheme="majorBidi" w:cstheme="majorBidi"/>
          <w:b/>
          <w:bCs/>
          <w:sz w:val="21"/>
          <w:szCs w:val="21"/>
        </w:rPr>
        <w:t xml:space="preserve">Appendix Fig. </w:t>
      </w:r>
      <w:r w:rsidR="00E94021" w:rsidRPr="000E1994">
        <w:rPr>
          <w:rFonts w:asciiTheme="majorBidi" w:hAnsiTheme="majorBidi" w:cstheme="majorBidi"/>
          <w:b/>
          <w:bCs/>
          <w:sz w:val="21"/>
          <w:szCs w:val="21"/>
        </w:rPr>
        <w:t>4</w:t>
      </w:r>
      <w:r w:rsidR="00631598">
        <w:rPr>
          <w:rFonts w:asciiTheme="majorBidi" w:hAnsiTheme="majorBidi" w:cstheme="majorBidi" w:hint="eastAsia"/>
          <w:b/>
          <w:bCs/>
          <w:sz w:val="21"/>
          <w:szCs w:val="21"/>
        </w:rPr>
        <w:t>:</w:t>
      </w:r>
      <w:r w:rsidR="00373AF1" w:rsidRPr="000E1994">
        <w:rPr>
          <w:rFonts w:asciiTheme="majorBidi" w:hAnsiTheme="majorBidi" w:cstheme="majorBidi"/>
          <w:b/>
          <w:bCs/>
          <w:sz w:val="21"/>
          <w:szCs w:val="21"/>
        </w:rPr>
        <w:t xml:space="preserve"> </w:t>
      </w:r>
      <w:r w:rsidR="00894A8E" w:rsidRPr="000E1994">
        <w:rPr>
          <w:rFonts w:asciiTheme="majorBidi" w:eastAsia="黑体" w:hAnsiTheme="majorBidi" w:cstheme="majorBidi"/>
          <w:b/>
          <w:bCs/>
          <w:sz w:val="21"/>
          <w:szCs w:val="21"/>
        </w:rPr>
        <w:t>Co</w:t>
      </w:r>
      <w:r w:rsidR="00894A8E" w:rsidRPr="00BB65B8">
        <w:rPr>
          <w:rFonts w:asciiTheme="majorBidi" w:eastAsia="黑体" w:hAnsiTheme="majorBidi" w:cstheme="majorBidi"/>
          <w:b/>
          <w:bCs/>
          <w:sz w:val="21"/>
          <w:szCs w:val="21"/>
        </w:rPr>
        <w:t>mparison among drivers in areas of rural population change and EVI change. a,</w:t>
      </w:r>
      <w:r w:rsidR="00894A8E" w:rsidRPr="00BB65B8">
        <w:rPr>
          <w:rFonts w:asciiTheme="majorBidi" w:eastAsia="黑体" w:hAnsiTheme="majorBidi" w:cstheme="majorBidi"/>
          <w:sz w:val="21"/>
          <w:szCs w:val="21"/>
        </w:rPr>
        <w:t xml:space="preserve"> Percentage and </w:t>
      </w:r>
      <w:r w:rsidR="00894A8E" w:rsidRPr="00BB65B8">
        <w:rPr>
          <w:rFonts w:asciiTheme="majorBidi" w:eastAsia="黑体" w:hAnsiTheme="majorBidi" w:cstheme="majorBidi"/>
          <w:b/>
          <w:bCs/>
          <w:sz w:val="21"/>
          <w:szCs w:val="21"/>
        </w:rPr>
        <w:t>b,</w:t>
      </w:r>
      <w:r w:rsidR="00894A8E" w:rsidRPr="00BB65B8">
        <w:rPr>
          <w:rFonts w:asciiTheme="majorBidi" w:eastAsia="黑体" w:hAnsiTheme="majorBidi" w:cstheme="majorBidi"/>
          <w:sz w:val="21"/>
          <w:szCs w:val="21"/>
        </w:rPr>
        <w:t xml:space="preserve"> spatial distribution of population change and EVI change areas across </w:t>
      </w:r>
      <w:r w:rsidR="0063602E" w:rsidRPr="00BB65B8">
        <w:rPr>
          <w:rFonts w:asciiTheme="majorBidi" w:eastAsia="黑体" w:hAnsiTheme="majorBidi" w:cstheme="majorBidi"/>
          <w:sz w:val="21"/>
          <w:szCs w:val="21"/>
        </w:rPr>
        <w:t>urban-rural typology</w:t>
      </w:r>
      <w:r w:rsidR="00894A8E" w:rsidRPr="00BB65B8">
        <w:rPr>
          <w:rFonts w:asciiTheme="majorBidi" w:eastAsia="黑体" w:hAnsiTheme="majorBidi" w:cstheme="majorBidi"/>
          <w:sz w:val="21"/>
          <w:szCs w:val="21"/>
        </w:rPr>
        <w:t xml:space="preserve">. </w:t>
      </w:r>
      <w:r w:rsidR="00894A8E" w:rsidRPr="00BB65B8">
        <w:rPr>
          <w:rFonts w:asciiTheme="majorBidi" w:eastAsia="黑体" w:hAnsiTheme="majorBidi" w:cstheme="majorBidi"/>
          <w:b/>
          <w:bCs/>
          <w:sz w:val="21"/>
          <w:szCs w:val="21"/>
        </w:rPr>
        <w:t xml:space="preserve">c-j, </w:t>
      </w:r>
      <w:r w:rsidR="00894A8E" w:rsidRPr="00BB65B8">
        <w:rPr>
          <w:rFonts w:asciiTheme="majorBidi" w:eastAsia="黑体" w:hAnsiTheme="majorBidi" w:cstheme="majorBidi"/>
          <w:sz w:val="21"/>
          <w:szCs w:val="21"/>
        </w:rPr>
        <w:t>Comparison among changes in urbanity, tree cover ratio, cropland ratio, food production, slope, annual average precipitation and temperature, and CO</w:t>
      </w:r>
      <w:r w:rsidR="00894A8E" w:rsidRPr="00BB65B8">
        <w:rPr>
          <w:rFonts w:asciiTheme="majorBidi" w:eastAsia="黑体" w:hAnsiTheme="majorBidi" w:cstheme="majorBidi"/>
          <w:sz w:val="21"/>
          <w:szCs w:val="21"/>
          <w:vertAlign w:val="subscript"/>
        </w:rPr>
        <w:t>2</w:t>
      </w:r>
      <w:r w:rsidR="00894A8E" w:rsidRPr="00BB65B8">
        <w:rPr>
          <w:rFonts w:asciiTheme="majorBidi" w:eastAsia="黑体" w:hAnsiTheme="majorBidi" w:cstheme="majorBidi"/>
          <w:sz w:val="21"/>
          <w:szCs w:val="21"/>
          <w:vertAlign w:val="superscript"/>
        </w:rPr>
        <w:t xml:space="preserve"> </w:t>
      </w:r>
      <w:r w:rsidR="00894A8E" w:rsidRPr="00BB65B8">
        <w:rPr>
          <w:rFonts w:asciiTheme="majorBidi" w:eastAsia="黑体" w:hAnsiTheme="majorBidi" w:cstheme="majorBidi"/>
          <w:sz w:val="21"/>
          <w:szCs w:val="21"/>
          <w:u w:val="single"/>
        </w:rPr>
        <w:t xml:space="preserve">in rural area </w:t>
      </w:r>
      <w:r w:rsidR="00894A8E" w:rsidRPr="00BB65B8">
        <w:rPr>
          <w:rFonts w:asciiTheme="majorBidi" w:eastAsia="黑体" w:hAnsiTheme="majorBidi" w:cstheme="majorBidi"/>
          <w:sz w:val="21"/>
          <w:szCs w:val="21"/>
        </w:rPr>
        <w:t>(include the rural center and village).</w:t>
      </w:r>
    </w:p>
    <w:p w14:paraId="10BB72DF" w14:textId="2B79282D" w:rsidR="00423C37" w:rsidRPr="00BB65B8" w:rsidRDefault="00C347A7" w:rsidP="00817575">
      <w:pPr>
        <w:tabs>
          <w:tab w:val="left" w:pos="1470"/>
        </w:tabs>
        <w:spacing w:line="360" w:lineRule="auto"/>
        <w:jc w:val="center"/>
        <w:rPr>
          <w:rFonts w:asciiTheme="majorBidi" w:hAnsiTheme="majorBidi" w:cstheme="majorBidi"/>
          <w:sz w:val="21"/>
          <w:szCs w:val="21"/>
        </w:rPr>
      </w:pPr>
      <w:r w:rsidRPr="00BB65B8">
        <w:rPr>
          <w:rFonts w:asciiTheme="majorBidi" w:hAnsiTheme="majorBidi" w:cstheme="majorBidi"/>
          <w:noProof/>
          <w:sz w:val="21"/>
          <w:szCs w:val="21"/>
        </w:rPr>
        <w:lastRenderedPageBreak/>
        <w:drawing>
          <wp:inline distT="0" distB="0" distL="0" distR="0" wp14:anchorId="0AD84EA5" wp14:editId="4212AE6C">
            <wp:extent cx="4546716" cy="5767968"/>
            <wp:effectExtent l="0" t="0" r="6350" b="4445"/>
            <wp:docPr id="18485196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9295" cy="5771239"/>
                    </a:xfrm>
                    <a:prstGeom prst="rect">
                      <a:avLst/>
                    </a:prstGeom>
                    <a:noFill/>
                    <a:ln>
                      <a:noFill/>
                    </a:ln>
                  </pic:spPr>
                </pic:pic>
              </a:graphicData>
            </a:graphic>
          </wp:inline>
        </w:drawing>
      </w:r>
    </w:p>
    <w:p w14:paraId="6A3D3777" w14:textId="36C44758" w:rsidR="00423C37" w:rsidRPr="00BB65B8" w:rsidRDefault="0092056C" w:rsidP="00D05018">
      <w:pPr>
        <w:tabs>
          <w:tab w:val="left" w:pos="1470"/>
        </w:tabs>
        <w:spacing w:line="360" w:lineRule="auto"/>
        <w:jc w:val="left"/>
        <w:rPr>
          <w:rFonts w:asciiTheme="majorBidi" w:hAnsiTheme="majorBidi" w:cstheme="majorBidi"/>
          <w:sz w:val="21"/>
          <w:szCs w:val="21"/>
        </w:rPr>
      </w:pPr>
      <w:r w:rsidRPr="00AF52C8">
        <w:rPr>
          <w:rFonts w:asciiTheme="majorBidi" w:hAnsiTheme="majorBidi" w:cstheme="majorBidi"/>
          <w:b/>
          <w:bCs/>
          <w:sz w:val="21"/>
          <w:szCs w:val="21"/>
        </w:rPr>
        <w:t>Appendix Fig. 5</w:t>
      </w:r>
      <w:r w:rsidR="00631598">
        <w:rPr>
          <w:rFonts w:asciiTheme="majorBidi" w:hAnsiTheme="majorBidi" w:cstheme="majorBidi" w:hint="eastAsia"/>
          <w:b/>
          <w:bCs/>
          <w:sz w:val="21"/>
          <w:szCs w:val="21"/>
        </w:rPr>
        <w:t>:</w:t>
      </w:r>
      <w:r w:rsidRPr="00AF52C8">
        <w:rPr>
          <w:rFonts w:asciiTheme="majorBidi" w:hAnsiTheme="majorBidi" w:cstheme="majorBidi"/>
          <w:sz w:val="21"/>
          <w:szCs w:val="21"/>
        </w:rPr>
        <w:t xml:space="preserve"> </w:t>
      </w:r>
      <w:r w:rsidRPr="00AF52C8">
        <w:rPr>
          <w:rFonts w:asciiTheme="majorBidi" w:eastAsia="黑体" w:hAnsiTheme="majorBidi" w:cstheme="majorBidi"/>
          <w:b/>
          <w:bCs/>
          <w:sz w:val="21"/>
          <w:szCs w:val="21"/>
        </w:rPr>
        <w:t>Spa</w:t>
      </w:r>
      <w:r w:rsidRPr="00BB65B8">
        <w:rPr>
          <w:rFonts w:asciiTheme="majorBidi" w:eastAsia="黑体" w:hAnsiTheme="majorBidi" w:cstheme="majorBidi"/>
          <w:b/>
          <w:bCs/>
          <w:sz w:val="21"/>
          <w:szCs w:val="21"/>
        </w:rPr>
        <w:t>tial distribution of changes in various factors</w:t>
      </w:r>
      <w:r w:rsidR="00540977" w:rsidRPr="00BB65B8">
        <w:rPr>
          <w:rFonts w:asciiTheme="majorBidi" w:eastAsia="黑体" w:hAnsiTheme="majorBidi" w:cstheme="majorBidi"/>
          <w:b/>
          <w:bCs/>
          <w:sz w:val="21"/>
          <w:szCs w:val="21"/>
        </w:rPr>
        <w:t>.</w:t>
      </w:r>
    </w:p>
    <w:p w14:paraId="7B9BE854" w14:textId="77777777" w:rsidR="00423C37" w:rsidRPr="00BB65B8" w:rsidRDefault="00423C37" w:rsidP="00D05018">
      <w:pPr>
        <w:tabs>
          <w:tab w:val="left" w:pos="1470"/>
        </w:tabs>
        <w:spacing w:line="360" w:lineRule="auto"/>
        <w:jc w:val="left"/>
        <w:rPr>
          <w:rFonts w:asciiTheme="majorBidi" w:hAnsiTheme="majorBidi" w:cstheme="majorBidi"/>
          <w:sz w:val="21"/>
          <w:szCs w:val="21"/>
        </w:rPr>
      </w:pPr>
    </w:p>
    <w:p w14:paraId="1C40CACD" w14:textId="77777777" w:rsidR="00A64CCB" w:rsidRPr="00BB65B8" w:rsidRDefault="00A64CCB" w:rsidP="00D05018">
      <w:pPr>
        <w:pStyle w:val="2"/>
        <w:numPr>
          <w:ilvl w:val="1"/>
          <w:numId w:val="1"/>
        </w:numPr>
        <w:spacing w:line="360" w:lineRule="auto"/>
        <w:jc w:val="left"/>
        <w:rPr>
          <w:rFonts w:asciiTheme="majorBidi" w:eastAsia="黑体" w:hAnsiTheme="majorBidi"/>
          <w:sz w:val="21"/>
          <w:szCs w:val="21"/>
        </w:rPr>
      </w:pPr>
      <w:r w:rsidRPr="00BB65B8">
        <w:rPr>
          <w:rFonts w:asciiTheme="majorBidi" w:eastAsia="黑体" w:hAnsiTheme="majorBidi"/>
          <w:sz w:val="21"/>
          <w:szCs w:val="21"/>
        </w:rPr>
        <w:t>Path analysis of the exogenous-endogenous hypothesis</w:t>
      </w:r>
    </w:p>
    <w:p w14:paraId="7CB0D2AA" w14:textId="77777777" w:rsidR="00A64CCB" w:rsidRPr="00BB65B8" w:rsidRDefault="00A64CCB" w:rsidP="00D05018">
      <w:pPr>
        <w:tabs>
          <w:tab w:val="left" w:pos="1470"/>
        </w:tabs>
        <w:spacing w:line="360" w:lineRule="auto"/>
        <w:jc w:val="left"/>
        <w:rPr>
          <w:rFonts w:asciiTheme="majorBidi" w:hAnsiTheme="majorBidi" w:cstheme="majorBidi"/>
          <w:sz w:val="21"/>
          <w:szCs w:val="21"/>
        </w:rPr>
      </w:pPr>
      <w:r w:rsidRPr="00BB65B8">
        <w:rPr>
          <w:rFonts w:asciiTheme="majorBidi" w:hAnsiTheme="majorBidi" w:cstheme="majorBidi"/>
          <w:sz w:val="21"/>
          <w:szCs w:val="21"/>
        </w:rPr>
        <w:t>See detail in the Appendix Table 4-Exogenous_pathways.xlsx</w:t>
      </w:r>
    </w:p>
    <w:p w14:paraId="2521ECAE" w14:textId="657311D2" w:rsidR="00423C37" w:rsidRPr="00BB65B8" w:rsidRDefault="00A64CCB" w:rsidP="00D05018">
      <w:pPr>
        <w:tabs>
          <w:tab w:val="left" w:pos="1470"/>
        </w:tabs>
        <w:spacing w:line="360" w:lineRule="auto"/>
        <w:jc w:val="left"/>
        <w:rPr>
          <w:rFonts w:asciiTheme="majorBidi" w:hAnsiTheme="majorBidi" w:cstheme="majorBidi"/>
          <w:sz w:val="21"/>
          <w:szCs w:val="21"/>
        </w:rPr>
      </w:pPr>
      <w:r w:rsidRPr="00BB65B8">
        <w:rPr>
          <w:rFonts w:asciiTheme="majorBidi" w:hAnsiTheme="majorBidi" w:cstheme="majorBidi"/>
          <w:sz w:val="21"/>
          <w:szCs w:val="21"/>
        </w:rPr>
        <w:t>See detail in the Appendix Table 5-Endogenous_pathways.xlsx</w:t>
      </w:r>
    </w:p>
    <w:p w14:paraId="188EA11B" w14:textId="0E339B1F" w:rsidR="00B6756A" w:rsidRPr="00BB65B8" w:rsidRDefault="00B6756A" w:rsidP="00D05018">
      <w:pPr>
        <w:pStyle w:val="1"/>
        <w:numPr>
          <w:ilvl w:val="0"/>
          <w:numId w:val="2"/>
        </w:numPr>
        <w:spacing w:line="360" w:lineRule="auto"/>
        <w:jc w:val="left"/>
        <w:rPr>
          <w:rFonts w:asciiTheme="majorBidi" w:hAnsiTheme="majorBidi" w:cstheme="majorBidi"/>
          <w:sz w:val="21"/>
          <w:szCs w:val="21"/>
        </w:rPr>
      </w:pPr>
      <w:r w:rsidRPr="00BB65B8">
        <w:rPr>
          <w:rFonts w:asciiTheme="majorBidi" w:hAnsiTheme="majorBidi" w:cstheme="majorBidi"/>
          <w:sz w:val="21"/>
          <w:szCs w:val="21"/>
        </w:rPr>
        <w:lastRenderedPageBreak/>
        <w:t>Data sections</w:t>
      </w:r>
    </w:p>
    <w:p w14:paraId="5C58CCCA" w14:textId="467C6BAC" w:rsidR="003F5D80" w:rsidRPr="00BB65B8" w:rsidRDefault="003F5D80" w:rsidP="00D05018">
      <w:pPr>
        <w:pStyle w:val="2"/>
        <w:numPr>
          <w:ilvl w:val="1"/>
          <w:numId w:val="2"/>
        </w:numPr>
        <w:tabs>
          <w:tab w:val="left" w:pos="1470"/>
        </w:tabs>
        <w:spacing w:line="360" w:lineRule="auto"/>
        <w:jc w:val="left"/>
        <w:rPr>
          <w:rFonts w:asciiTheme="majorBidi" w:hAnsiTheme="majorBidi"/>
          <w:sz w:val="21"/>
          <w:szCs w:val="21"/>
        </w:rPr>
      </w:pPr>
      <w:r w:rsidRPr="00BB65B8">
        <w:rPr>
          <w:rFonts w:asciiTheme="majorBidi" w:hAnsiTheme="majorBidi"/>
          <w:sz w:val="21"/>
          <w:szCs w:val="21"/>
        </w:rPr>
        <w:t>Mapping urbanity</w:t>
      </w:r>
      <w:r w:rsidR="007D1BC1" w:rsidRPr="00BB65B8">
        <w:rPr>
          <w:rFonts w:asciiTheme="majorBidi" w:hAnsiTheme="majorBidi"/>
          <w:sz w:val="21"/>
          <w:szCs w:val="21"/>
        </w:rPr>
        <w:t xml:space="preserve"> index</w:t>
      </w:r>
    </w:p>
    <w:p w14:paraId="7E0AE885" w14:textId="4EF9573A" w:rsidR="00855593" w:rsidRPr="00BB65B8" w:rsidRDefault="00855593" w:rsidP="00D05018">
      <w:pPr>
        <w:pStyle w:val="3"/>
        <w:numPr>
          <w:ilvl w:val="2"/>
          <w:numId w:val="2"/>
        </w:numPr>
        <w:spacing w:line="360" w:lineRule="auto"/>
        <w:jc w:val="left"/>
        <w:rPr>
          <w:rFonts w:asciiTheme="majorBidi" w:eastAsiaTheme="majorEastAsia" w:hAnsiTheme="majorBidi" w:cstheme="majorBidi"/>
          <w:sz w:val="21"/>
          <w:szCs w:val="21"/>
        </w:rPr>
      </w:pPr>
      <w:r w:rsidRPr="00BB65B8">
        <w:rPr>
          <w:rFonts w:asciiTheme="majorBidi" w:hAnsiTheme="majorBidi" w:cstheme="majorBidi"/>
          <w:sz w:val="21"/>
          <w:szCs w:val="21"/>
        </w:rPr>
        <w:t>Mapping process</w:t>
      </w:r>
    </w:p>
    <w:p w14:paraId="1A4C5175" w14:textId="7FA71499" w:rsidR="00855593" w:rsidRPr="00BB65B8" w:rsidRDefault="00855593" w:rsidP="00D05018">
      <w:pPr>
        <w:tabs>
          <w:tab w:val="left" w:pos="1470"/>
        </w:tabs>
        <w:spacing w:line="360" w:lineRule="auto"/>
        <w:jc w:val="left"/>
        <w:rPr>
          <w:rFonts w:asciiTheme="majorBidi" w:eastAsia="黑体" w:hAnsiTheme="majorBidi" w:cstheme="majorBidi"/>
          <w:sz w:val="21"/>
          <w:szCs w:val="21"/>
        </w:rPr>
      </w:pPr>
      <w:r w:rsidRPr="00BB65B8">
        <w:rPr>
          <w:rFonts w:asciiTheme="majorBidi" w:eastAsia="黑体" w:hAnsiTheme="majorBidi" w:cstheme="majorBidi"/>
          <w:sz w:val="21"/>
          <w:szCs w:val="21"/>
        </w:rPr>
        <w:t>First, the proportion of built-up land in the 1000m grid of the study area was calculated and then stored in the personal database assets of GEE uniformly with the population density, nightlight, elevation, and slope</w:t>
      </w:r>
      <w:r w:rsidR="00200808" w:rsidRPr="00BB65B8">
        <w:rPr>
          <w:rFonts w:asciiTheme="majorBidi" w:eastAsia="黑体" w:hAnsiTheme="majorBidi" w:cstheme="majorBidi"/>
          <w:sz w:val="21"/>
          <w:szCs w:val="21"/>
        </w:rPr>
        <w:t xml:space="preserve"> </w:t>
      </w:r>
      <w:r w:rsidRPr="00DC3013">
        <w:rPr>
          <w:rFonts w:asciiTheme="majorBidi" w:eastAsia="黑体" w:hAnsiTheme="majorBidi" w:cstheme="majorBidi"/>
          <w:sz w:val="21"/>
          <w:szCs w:val="21"/>
        </w:rPr>
        <w:t>(</w:t>
      </w:r>
      <w:r w:rsidRPr="00DC3013">
        <w:rPr>
          <w:rFonts w:asciiTheme="majorBidi" w:eastAsia="黑体" w:hAnsiTheme="majorBidi" w:cstheme="majorBidi"/>
          <w:b/>
          <w:bCs/>
          <w:sz w:val="21"/>
          <w:szCs w:val="21"/>
        </w:rPr>
        <w:t>Appendix Fig. 6a</w:t>
      </w:r>
      <w:r w:rsidRPr="00BB65B8">
        <w:rPr>
          <w:rFonts w:asciiTheme="majorBidi" w:eastAsia="黑体" w:hAnsiTheme="majorBidi" w:cstheme="majorBidi"/>
          <w:sz w:val="21"/>
          <w:szCs w:val="21"/>
        </w:rPr>
        <w:t xml:space="preserve">). 1000m POIs kernel density subset </w:t>
      </w:r>
      <w:r w:rsidR="00D628AF" w:rsidRPr="00BB65B8">
        <w:rPr>
          <w:rFonts w:asciiTheme="majorBidi" w:eastAsia="黑体" w:hAnsiTheme="majorBidi" w:cstheme="majorBidi"/>
          <w:sz w:val="21"/>
          <w:szCs w:val="21"/>
        </w:rPr>
        <w:t>raster</w:t>
      </w:r>
      <w:r w:rsidRPr="00BB65B8">
        <w:rPr>
          <w:rFonts w:asciiTheme="majorBidi" w:eastAsia="黑体" w:hAnsiTheme="majorBidi" w:cstheme="majorBidi"/>
          <w:sz w:val="21"/>
          <w:szCs w:val="21"/>
        </w:rPr>
        <w:t xml:space="preserve"> were generated for the corresponding POIs categories in ArcGIS 10.4, respectively, and then summed up to get the kernel density </w:t>
      </w:r>
      <w:r w:rsidR="00200808" w:rsidRPr="00BB65B8">
        <w:rPr>
          <w:rFonts w:asciiTheme="majorBidi" w:eastAsia="黑体" w:hAnsiTheme="majorBidi" w:cstheme="majorBidi"/>
          <w:sz w:val="21"/>
          <w:szCs w:val="21"/>
        </w:rPr>
        <w:t>raster</w:t>
      </w:r>
      <w:r w:rsidRPr="00BB65B8">
        <w:rPr>
          <w:rFonts w:asciiTheme="majorBidi" w:eastAsia="黑体" w:hAnsiTheme="majorBidi" w:cstheme="majorBidi"/>
          <w:sz w:val="21"/>
          <w:szCs w:val="21"/>
        </w:rPr>
        <w:t xml:space="preserve"> for livelihood infrastructure (healthcare, financial institutions, businesses, factories, and scientific education), lifestyle infrastructure (leisure and entertainment, shopping, and dining.), and connectivity infrastructure (highways, primary, secondary, and tertiary roads, railways, train stations, airports, telecommunications outlets, and courier stations), respectively, and finally uploaded to the personal database of GEE (</w:t>
      </w:r>
      <w:r w:rsidRPr="00D628AF">
        <w:rPr>
          <w:rFonts w:asciiTheme="majorBidi" w:eastAsia="黑体" w:hAnsiTheme="majorBidi" w:cstheme="majorBidi"/>
          <w:b/>
          <w:bCs/>
          <w:sz w:val="21"/>
          <w:szCs w:val="21"/>
        </w:rPr>
        <w:t>Appendix Fig. 6b, c</w:t>
      </w:r>
      <w:r w:rsidRPr="00BB65B8">
        <w:rPr>
          <w:rFonts w:asciiTheme="majorBidi" w:eastAsia="黑体" w:hAnsiTheme="majorBidi" w:cstheme="majorBidi"/>
          <w:sz w:val="21"/>
          <w:szCs w:val="21"/>
        </w:rPr>
        <w:t>).</w:t>
      </w:r>
    </w:p>
    <w:p w14:paraId="7CDDBA96" w14:textId="77777777" w:rsidR="00855593" w:rsidRPr="00BB65B8" w:rsidRDefault="00855593" w:rsidP="00D05018">
      <w:pPr>
        <w:tabs>
          <w:tab w:val="left" w:pos="1470"/>
        </w:tabs>
        <w:spacing w:line="360" w:lineRule="auto"/>
        <w:jc w:val="left"/>
        <w:rPr>
          <w:rFonts w:asciiTheme="majorBidi" w:eastAsia="黑体" w:hAnsiTheme="majorBidi" w:cstheme="majorBidi"/>
          <w:sz w:val="21"/>
          <w:szCs w:val="21"/>
        </w:rPr>
      </w:pPr>
    </w:p>
    <w:p w14:paraId="74219E50" w14:textId="614BF876" w:rsidR="00855593" w:rsidRPr="00BB65B8" w:rsidRDefault="00855593" w:rsidP="00D05018">
      <w:pPr>
        <w:tabs>
          <w:tab w:val="left" w:pos="1470"/>
        </w:tabs>
        <w:spacing w:line="360" w:lineRule="auto"/>
        <w:jc w:val="left"/>
        <w:rPr>
          <w:rFonts w:asciiTheme="majorBidi" w:eastAsia="黑体" w:hAnsiTheme="majorBidi" w:cstheme="majorBidi"/>
          <w:sz w:val="21"/>
          <w:szCs w:val="21"/>
        </w:rPr>
      </w:pPr>
      <w:r w:rsidRPr="00BB65B8">
        <w:rPr>
          <w:rFonts w:asciiTheme="majorBidi" w:eastAsia="黑体" w:hAnsiTheme="majorBidi" w:cstheme="majorBidi"/>
          <w:sz w:val="21"/>
          <w:szCs w:val="21"/>
        </w:rPr>
        <w:t>Taking the livelihood infrastructure raster as an example, since it is continuous data, the random forest adopts the parameter setting of "regression". Considering the computing memory and data volume of GEE, we set up 100 regression trees, and separated the feature variables and target variables into 70% as training samples and 30% as validation samples to test the accuracy of the regression results of random forest (</w:t>
      </w:r>
      <w:r w:rsidRPr="00D628AF">
        <w:rPr>
          <w:rFonts w:asciiTheme="majorBidi" w:eastAsia="黑体" w:hAnsiTheme="majorBidi" w:cstheme="majorBidi"/>
          <w:b/>
          <w:bCs/>
          <w:sz w:val="21"/>
          <w:szCs w:val="21"/>
        </w:rPr>
        <w:t>Appendix Fig. 6d</w:t>
      </w:r>
      <w:r w:rsidRPr="00BB65B8">
        <w:rPr>
          <w:rFonts w:asciiTheme="majorBidi" w:eastAsia="黑体" w:hAnsiTheme="majorBidi" w:cstheme="majorBidi"/>
          <w:sz w:val="21"/>
          <w:szCs w:val="21"/>
        </w:rPr>
        <w:t>). The metrics for outcome assessment were used as RMSE, R-squared for linear fit between observed and predicted variables (</w:t>
      </w:r>
      <w:r w:rsidRPr="00D628AF">
        <w:rPr>
          <w:rFonts w:asciiTheme="majorBidi" w:eastAsia="黑体" w:hAnsiTheme="majorBidi" w:cstheme="majorBidi"/>
          <w:b/>
          <w:bCs/>
          <w:sz w:val="21"/>
          <w:szCs w:val="21"/>
        </w:rPr>
        <w:t>Appendix Fig. 6e</w:t>
      </w:r>
      <w:r w:rsidRPr="00BB65B8">
        <w:rPr>
          <w:rFonts w:asciiTheme="majorBidi" w:eastAsia="黑体" w:hAnsiTheme="majorBidi" w:cstheme="majorBidi"/>
          <w:sz w:val="21"/>
          <w:szCs w:val="21"/>
        </w:rPr>
        <w:t>). Finally, the predicted layers, urbanity index raster was obtained by using the summation of livelihood infrastructure index, lifestyle infrastructure index, and connectivity infrastructure index (</w:t>
      </w:r>
      <w:r w:rsidRPr="00D628AF">
        <w:rPr>
          <w:rFonts w:asciiTheme="majorBidi" w:eastAsia="黑体" w:hAnsiTheme="majorBidi" w:cstheme="majorBidi"/>
          <w:b/>
          <w:bCs/>
          <w:sz w:val="21"/>
          <w:szCs w:val="21"/>
        </w:rPr>
        <w:t>Appendix Fig. 6f</w:t>
      </w:r>
      <w:r w:rsidRPr="00BB65B8">
        <w:rPr>
          <w:rFonts w:asciiTheme="majorBidi" w:eastAsia="黑体" w:hAnsiTheme="majorBidi" w:cstheme="majorBidi"/>
          <w:sz w:val="21"/>
          <w:szCs w:val="21"/>
        </w:rPr>
        <w:t>).</w:t>
      </w:r>
    </w:p>
    <w:p w14:paraId="3C6622CD" w14:textId="56AE362C" w:rsidR="003F5D80" w:rsidRPr="00BB65B8" w:rsidRDefault="00707951" w:rsidP="00817575">
      <w:pPr>
        <w:tabs>
          <w:tab w:val="left" w:pos="1470"/>
        </w:tabs>
        <w:spacing w:line="360" w:lineRule="auto"/>
        <w:jc w:val="center"/>
        <w:rPr>
          <w:rFonts w:asciiTheme="majorBidi" w:eastAsia="黑体" w:hAnsiTheme="majorBidi" w:cstheme="majorBidi"/>
          <w:sz w:val="21"/>
          <w:szCs w:val="21"/>
        </w:rPr>
      </w:pPr>
      <w:r w:rsidRPr="00BB65B8">
        <w:rPr>
          <w:rFonts w:asciiTheme="majorBidi" w:eastAsia="黑体" w:hAnsiTheme="majorBidi" w:cstheme="majorBidi"/>
          <w:noProof/>
          <w:sz w:val="21"/>
          <w:szCs w:val="21"/>
        </w:rPr>
        <w:lastRenderedPageBreak/>
        <w:drawing>
          <wp:inline distT="0" distB="0" distL="0" distR="0" wp14:anchorId="51FE1C9B" wp14:editId="1C3167A3">
            <wp:extent cx="4537495" cy="3795673"/>
            <wp:effectExtent l="0" t="0" r="0" b="0"/>
            <wp:docPr id="18816890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7331" cy="3820631"/>
                    </a:xfrm>
                    <a:prstGeom prst="rect">
                      <a:avLst/>
                    </a:prstGeom>
                    <a:noFill/>
                  </pic:spPr>
                </pic:pic>
              </a:graphicData>
            </a:graphic>
          </wp:inline>
        </w:drawing>
      </w:r>
    </w:p>
    <w:p w14:paraId="3551D5D6" w14:textId="74A5EEF2" w:rsidR="003F5D80" w:rsidRPr="00BB65B8" w:rsidRDefault="00867340" w:rsidP="00D05018">
      <w:pPr>
        <w:tabs>
          <w:tab w:val="left" w:pos="1470"/>
        </w:tabs>
        <w:spacing w:line="360" w:lineRule="auto"/>
        <w:jc w:val="left"/>
        <w:rPr>
          <w:rFonts w:asciiTheme="majorBidi" w:eastAsia="黑体" w:hAnsiTheme="majorBidi" w:cstheme="majorBidi"/>
          <w:sz w:val="21"/>
          <w:szCs w:val="21"/>
        </w:rPr>
      </w:pPr>
      <w:r w:rsidRPr="00D628AF">
        <w:rPr>
          <w:rFonts w:asciiTheme="majorBidi" w:hAnsiTheme="majorBidi" w:cstheme="majorBidi"/>
          <w:b/>
          <w:bCs/>
          <w:sz w:val="21"/>
          <w:szCs w:val="21"/>
        </w:rPr>
        <w:t>Appendix Fig. 6</w:t>
      </w:r>
      <w:r w:rsidR="00631598">
        <w:rPr>
          <w:rFonts w:asciiTheme="majorBidi" w:hAnsiTheme="majorBidi" w:cstheme="majorBidi" w:hint="eastAsia"/>
          <w:b/>
          <w:bCs/>
          <w:sz w:val="21"/>
          <w:szCs w:val="21"/>
        </w:rPr>
        <w:t>:</w:t>
      </w:r>
      <w:r w:rsidRPr="00D628AF">
        <w:rPr>
          <w:rFonts w:asciiTheme="majorBidi" w:hAnsiTheme="majorBidi" w:cstheme="majorBidi"/>
          <w:sz w:val="21"/>
          <w:szCs w:val="21"/>
        </w:rPr>
        <w:t xml:space="preserve"> </w:t>
      </w:r>
      <w:r w:rsidRPr="00BB65B8">
        <w:rPr>
          <w:rFonts w:asciiTheme="majorBidi" w:eastAsia="黑体" w:hAnsiTheme="majorBidi" w:cstheme="majorBidi"/>
          <w:b/>
          <w:bCs/>
          <w:sz w:val="21"/>
          <w:szCs w:val="21"/>
        </w:rPr>
        <w:t>Workflow for mapping the urbanity index.</w:t>
      </w:r>
    </w:p>
    <w:p w14:paraId="4BDC0D56" w14:textId="11B78735" w:rsidR="00707951" w:rsidRPr="00BB65B8" w:rsidRDefault="00707951" w:rsidP="00D05018">
      <w:pPr>
        <w:pStyle w:val="3"/>
        <w:numPr>
          <w:ilvl w:val="2"/>
          <w:numId w:val="2"/>
        </w:numPr>
        <w:spacing w:line="360" w:lineRule="auto"/>
        <w:jc w:val="left"/>
        <w:rPr>
          <w:rFonts w:asciiTheme="majorBidi" w:hAnsiTheme="majorBidi" w:cstheme="majorBidi"/>
          <w:sz w:val="21"/>
          <w:szCs w:val="21"/>
        </w:rPr>
      </w:pPr>
      <w:r w:rsidRPr="00BB65B8">
        <w:rPr>
          <w:rFonts w:asciiTheme="majorBidi" w:hAnsiTheme="majorBidi" w:cstheme="majorBidi"/>
          <w:sz w:val="21"/>
          <w:szCs w:val="21"/>
        </w:rPr>
        <w:t>Model evaluation</w:t>
      </w:r>
    </w:p>
    <w:p w14:paraId="124C4136" w14:textId="77777777" w:rsidR="002404AE" w:rsidRPr="00BB65B8" w:rsidRDefault="002404AE" w:rsidP="00D05018">
      <w:pPr>
        <w:spacing w:line="360" w:lineRule="auto"/>
        <w:jc w:val="left"/>
        <w:rPr>
          <w:rFonts w:asciiTheme="majorBidi" w:hAnsiTheme="majorBidi" w:cstheme="majorBidi"/>
          <w:noProof/>
          <w:sz w:val="21"/>
          <w:szCs w:val="21"/>
        </w:rPr>
      </w:pPr>
      <w:r w:rsidRPr="00BB65B8">
        <w:rPr>
          <w:rFonts w:asciiTheme="majorBidi" w:hAnsiTheme="majorBidi" w:cstheme="majorBidi"/>
          <w:noProof/>
          <w:sz w:val="21"/>
          <w:szCs w:val="21"/>
        </w:rPr>
        <w:t>To evaluate the robustness of the spatial random forest regression models, we divided the dataset into 70% training samples and 30% validation samples, and calculated both R² and RMSE between the feature variables and the target variables for each subset. The results showed that all six models (across three dimensions for 2010 and 2020) achieved R² values above 0.85, and the RMSE for training samples was lower than that for validation samples, indicating strong model robustness (</w:t>
      </w:r>
      <w:r w:rsidRPr="00D628AF">
        <w:rPr>
          <w:rFonts w:asciiTheme="majorBidi" w:hAnsiTheme="majorBidi" w:cstheme="majorBidi"/>
          <w:b/>
          <w:bCs/>
          <w:noProof/>
          <w:sz w:val="21"/>
          <w:szCs w:val="21"/>
        </w:rPr>
        <w:t>Appendix Fig. 7a, b</w:t>
      </w:r>
      <w:r w:rsidRPr="00BB65B8">
        <w:rPr>
          <w:rFonts w:asciiTheme="majorBidi" w:hAnsiTheme="majorBidi" w:cstheme="majorBidi"/>
          <w:noProof/>
          <w:sz w:val="21"/>
          <w:szCs w:val="21"/>
        </w:rPr>
        <w:t>).</w:t>
      </w:r>
    </w:p>
    <w:p w14:paraId="126E7476" w14:textId="77777777" w:rsidR="002404AE" w:rsidRPr="00BB65B8" w:rsidRDefault="002404AE" w:rsidP="00D05018">
      <w:pPr>
        <w:spacing w:line="360" w:lineRule="auto"/>
        <w:jc w:val="left"/>
        <w:rPr>
          <w:rFonts w:asciiTheme="majorBidi" w:hAnsiTheme="majorBidi" w:cstheme="majorBidi"/>
          <w:noProof/>
          <w:sz w:val="21"/>
          <w:szCs w:val="21"/>
        </w:rPr>
      </w:pPr>
    </w:p>
    <w:p w14:paraId="0B710B70" w14:textId="32767D0E" w:rsidR="002404AE" w:rsidRPr="00BB65B8" w:rsidRDefault="002404AE" w:rsidP="00D05018">
      <w:pPr>
        <w:spacing w:line="360" w:lineRule="auto"/>
        <w:jc w:val="left"/>
        <w:rPr>
          <w:rFonts w:asciiTheme="majorBidi" w:hAnsiTheme="majorBidi" w:cstheme="majorBidi"/>
          <w:noProof/>
          <w:sz w:val="21"/>
          <w:szCs w:val="21"/>
        </w:rPr>
      </w:pPr>
      <w:r w:rsidRPr="00BB65B8">
        <w:rPr>
          <w:rFonts w:asciiTheme="majorBidi" w:hAnsiTheme="majorBidi" w:cstheme="majorBidi"/>
          <w:noProof/>
          <w:sz w:val="21"/>
          <w:szCs w:val="21"/>
        </w:rPr>
        <w:t>In addition, the relative importance of feature variables revealed that elevation was the most influential factor, followed by population density, night-time light intensity, urban construction land ratio, and slope. This suggests that among topographic factors, elevation differences, rather than slope variability, exert the greatest influence on livelihoods, lifestyles, and connectivity. Furthermore, population aggregation and economic development played key roles in shaping both the levels and spatial distribution of these urban-rural interaction dimensions (</w:t>
      </w:r>
      <w:r w:rsidRPr="00D628AF">
        <w:rPr>
          <w:rFonts w:asciiTheme="majorBidi" w:hAnsiTheme="majorBidi" w:cstheme="majorBidi"/>
          <w:b/>
          <w:bCs/>
          <w:noProof/>
          <w:sz w:val="21"/>
          <w:szCs w:val="21"/>
        </w:rPr>
        <w:t>Appendix Fig. 7c</w:t>
      </w:r>
      <w:r w:rsidRPr="00BB65B8">
        <w:rPr>
          <w:rFonts w:asciiTheme="majorBidi" w:hAnsiTheme="majorBidi" w:cstheme="majorBidi"/>
          <w:noProof/>
          <w:sz w:val="21"/>
          <w:szCs w:val="21"/>
        </w:rPr>
        <w:t>).</w:t>
      </w:r>
    </w:p>
    <w:p w14:paraId="26B6D6BD" w14:textId="280C59C0" w:rsidR="00000B8D" w:rsidRPr="00BB65B8" w:rsidRDefault="00A3087C" w:rsidP="00817575">
      <w:pPr>
        <w:spacing w:line="360" w:lineRule="auto"/>
        <w:jc w:val="center"/>
        <w:rPr>
          <w:rFonts w:asciiTheme="majorBidi" w:hAnsiTheme="majorBidi" w:cstheme="majorBidi"/>
          <w:sz w:val="21"/>
          <w:szCs w:val="21"/>
        </w:rPr>
      </w:pPr>
      <w:r w:rsidRPr="00BB65B8">
        <w:rPr>
          <w:rFonts w:asciiTheme="majorBidi" w:hAnsiTheme="majorBidi" w:cstheme="majorBidi"/>
          <w:noProof/>
          <w:sz w:val="21"/>
          <w:szCs w:val="21"/>
        </w:rPr>
        <w:lastRenderedPageBreak/>
        <w:drawing>
          <wp:inline distT="0" distB="0" distL="0" distR="0" wp14:anchorId="4C7DE61B" wp14:editId="1338A83C">
            <wp:extent cx="4193288" cy="3886200"/>
            <wp:effectExtent l="0" t="0" r="0" b="0"/>
            <wp:docPr id="5837524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7779" cy="3890362"/>
                    </a:xfrm>
                    <a:prstGeom prst="rect">
                      <a:avLst/>
                    </a:prstGeom>
                    <a:noFill/>
                  </pic:spPr>
                </pic:pic>
              </a:graphicData>
            </a:graphic>
          </wp:inline>
        </w:drawing>
      </w:r>
    </w:p>
    <w:p w14:paraId="074697F8" w14:textId="7A5C64B0" w:rsidR="00814C74" w:rsidRPr="00BB65B8" w:rsidRDefault="00814C74" w:rsidP="00D05018">
      <w:pPr>
        <w:tabs>
          <w:tab w:val="left" w:pos="1470"/>
        </w:tabs>
        <w:spacing w:line="360" w:lineRule="auto"/>
        <w:jc w:val="left"/>
        <w:rPr>
          <w:rFonts w:asciiTheme="majorBidi" w:eastAsia="黑体" w:hAnsiTheme="majorBidi" w:cstheme="majorBidi"/>
          <w:sz w:val="21"/>
          <w:szCs w:val="21"/>
        </w:rPr>
      </w:pPr>
      <w:r w:rsidRPr="00D628AF">
        <w:rPr>
          <w:rFonts w:asciiTheme="majorBidi" w:hAnsiTheme="majorBidi" w:cstheme="majorBidi"/>
          <w:b/>
          <w:bCs/>
          <w:sz w:val="21"/>
          <w:szCs w:val="21"/>
        </w:rPr>
        <w:t>Appendix Fig. 7</w:t>
      </w:r>
      <w:r w:rsidR="00631598">
        <w:rPr>
          <w:rFonts w:asciiTheme="majorBidi" w:hAnsiTheme="majorBidi" w:cstheme="majorBidi" w:hint="eastAsia"/>
          <w:b/>
          <w:bCs/>
          <w:sz w:val="21"/>
          <w:szCs w:val="21"/>
        </w:rPr>
        <w:t>:</w:t>
      </w:r>
      <w:r w:rsidRPr="00D628AF">
        <w:rPr>
          <w:rFonts w:asciiTheme="majorBidi" w:hAnsiTheme="majorBidi" w:cstheme="majorBidi"/>
          <w:sz w:val="21"/>
          <w:szCs w:val="21"/>
        </w:rPr>
        <w:t xml:space="preserve"> </w:t>
      </w:r>
      <w:r w:rsidRPr="00D628AF">
        <w:rPr>
          <w:rFonts w:asciiTheme="majorBidi" w:eastAsia="黑体" w:hAnsiTheme="majorBidi" w:cstheme="majorBidi"/>
          <w:b/>
          <w:bCs/>
          <w:sz w:val="21"/>
          <w:szCs w:val="21"/>
        </w:rPr>
        <w:t>Wo</w:t>
      </w:r>
      <w:r w:rsidRPr="00BB65B8">
        <w:rPr>
          <w:rFonts w:asciiTheme="majorBidi" w:eastAsia="黑体" w:hAnsiTheme="majorBidi" w:cstheme="majorBidi"/>
          <w:b/>
          <w:bCs/>
          <w:sz w:val="21"/>
          <w:szCs w:val="21"/>
        </w:rPr>
        <w:t>rkflow for mapping the urbanity index.</w:t>
      </w:r>
      <w:r w:rsidR="00A3087C" w:rsidRPr="00BB65B8">
        <w:rPr>
          <w:rFonts w:asciiTheme="majorBidi" w:eastAsia="黑体" w:hAnsiTheme="majorBidi" w:cstheme="majorBidi"/>
          <w:b/>
          <w:bCs/>
          <w:sz w:val="21"/>
          <w:szCs w:val="21"/>
        </w:rPr>
        <w:t xml:space="preserve"> </w:t>
      </w:r>
      <w:r w:rsidR="00DB326F" w:rsidRPr="00BB65B8">
        <w:rPr>
          <w:rFonts w:asciiTheme="majorBidi" w:eastAsia="黑体" w:hAnsiTheme="majorBidi" w:cstheme="majorBidi"/>
          <w:b/>
          <w:bCs/>
          <w:sz w:val="21"/>
          <w:szCs w:val="21"/>
        </w:rPr>
        <w:t>a and b</w:t>
      </w:r>
      <w:r w:rsidR="00DB326F" w:rsidRPr="00BB65B8">
        <w:rPr>
          <w:rFonts w:asciiTheme="majorBidi" w:eastAsia="黑体" w:hAnsiTheme="majorBidi" w:cstheme="majorBidi"/>
          <w:sz w:val="21"/>
          <w:szCs w:val="21"/>
        </w:rPr>
        <w:t>, Model evaluation results for six random forest models representing t</w:t>
      </w:r>
      <w:r w:rsidR="00DB326F" w:rsidRPr="00962F8B">
        <w:rPr>
          <w:rFonts w:asciiTheme="majorBidi" w:eastAsia="黑体" w:hAnsiTheme="majorBidi" w:cstheme="majorBidi"/>
          <w:sz w:val="21"/>
          <w:szCs w:val="21"/>
        </w:rPr>
        <w:t>he livelihood infrastructure index, lifestyle infrastructure index, and connectivity infrastructure index in 20</w:t>
      </w:r>
      <w:r w:rsidR="00DB326F" w:rsidRPr="00BB65B8">
        <w:rPr>
          <w:rFonts w:asciiTheme="majorBidi" w:eastAsia="黑体" w:hAnsiTheme="majorBidi" w:cstheme="majorBidi"/>
          <w:sz w:val="21"/>
          <w:szCs w:val="21"/>
        </w:rPr>
        <w:t>10 and 2020, respectively.</w:t>
      </w:r>
      <w:r w:rsidR="00FC21E4" w:rsidRPr="00BB65B8">
        <w:rPr>
          <w:rFonts w:asciiTheme="majorBidi" w:eastAsia="黑体" w:hAnsiTheme="majorBidi" w:cstheme="majorBidi"/>
          <w:sz w:val="21"/>
          <w:szCs w:val="21"/>
        </w:rPr>
        <w:t xml:space="preserve"> </w:t>
      </w:r>
      <w:r w:rsidR="00DB326F" w:rsidRPr="00BB65B8">
        <w:rPr>
          <w:rFonts w:asciiTheme="majorBidi" w:eastAsia="黑体" w:hAnsiTheme="majorBidi" w:cstheme="majorBidi"/>
          <w:b/>
          <w:bCs/>
          <w:sz w:val="21"/>
          <w:szCs w:val="21"/>
        </w:rPr>
        <w:t>c</w:t>
      </w:r>
      <w:r w:rsidR="00DB326F" w:rsidRPr="00BB65B8">
        <w:rPr>
          <w:rFonts w:asciiTheme="majorBidi" w:eastAsia="黑体" w:hAnsiTheme="majorBidi" w:cstheme="majorBidi"/>
          <w:sz w:val="21"/>
          <w:szCs w:val="21"/>
        </w:rPr>
        <w:t>, Relative importance of feature variables in predicting the target variables (2020 results shown as representative due to consistent patterns across years).</w:t>
      </w:r>
    </w:p>
    <w:p w14:paraId="5A5F1F2D" w14:textId="31F31F38" w:rsidR="005B3537" w:rsidRPr="00BB65B8" w:rsidRDefault="005B3537" w:rsidP="00D05018">
      <w:pPr>
        <w:pStyle w:val="3"/>
        <w:numPr>
          <w:ilvl w:val="2"/>
          <w:numId w:val="2"/>
        </w:numPr>
        <w:spacing w:line="360" w:lineRule="auto"/>
        <w:jc w:val="left"/>
        <w:rPr>
          <w:rFonts w:asciiTheme="majorBidi" w:hAnsiTheme="majorBidi" w:cstheme="majorBidi"/>
          <w:sz w:val="21"/>
          <w:szCs w:val="21"/>
        </w:rPr>
      </w:pPr>
      <w:r w:rsidRPr="00BB65B8">
        <w:rPr>
          <w:rFonts w:asciiTheme="majorBidi" w:hAnsiTheme="majorBidi" w:cstheme="majorBidi"/>
          <w:sz w:val="21"/>
          <w:szCs w:val="21"/>
        </w:rPr>
        <w:t>Comparison with other products</w:t>
      </w:r>
    </w:p>
    <w:p w14:paraId="4D9953C3" w14:textId="2EB34104" w:rsidR="00BD4FEB" w:rsidRPr="00BB65B8" w:rsidRDefault="00BD4FEB"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 xml:space="preserve">We conducted a comparative analysis between our urbanity index and three representative global urban products based on different urban-rural frameworks: the Global Urban Boundary (GUB) based on a binary urban–rural model </w:t>
      </w:r>
      <w:r w:rsidR="001A7FD9" w:rsidRPr="00BB65B8">
        <w:rPr>
          <w:rFonts w:asciiTheme="majorBidi" w:hAnsiTheme="majorBidi" w:cstheme="majorBidi"/>
          <w:sz w:val="21"/>
          <w:szCs w:val="21"/>
        </w:rPr>
        <w:fldChar w:fldCharType="begin"/>
      </w:r>
      <w:r w:rsidR="003D4639" w:rsidRPr="00BB65B8">
        <w:rPr>
          <w:rFonts w:asciiTheme="majorBidi" w:hAnsiTheme="majorBidi" w:cstheme="majorBidi"/>
          <w:sz w:val="21"/>
          <w:szCs w:val="21"/>
        </w:rPr>
        <w:instrText xml:space="preserve"> ADDIN EN.CITE &lt;EndNote&gt;&lt;Cite&gt;&lt;Author&gt;Li&lt;/Author&gt;&lt;Year&gt;2020&lt;/Year&gt;&lt;RecNum&gt;2129&lt;/RecNum&gt;&lt;DisplayText&gt;&lt;style face="superscript"&gt;1&lt;/style&gt;&lt;/DisplayText&gt;&lt;record&gt;&lt;rec-number&gt;2129&lt;/rec-number&gt;&lt;foreign-keys&gt;&lt;key app="EN" db-id="50szzevsltsxs4et00mpxaph2wpxp99rfvz2" timestamp="1680077522" guid="aeb3d58c-05be-471a-af4a-7f2b80b1a75c"&gt;2129&lt;/key&gt;&lt;/foreign-keys&gt;&lt;ref-type name="Journal Article"&gt;17&lt;/ref-type&gt;&lt;contributors&gt;&lt;authors&gt;&lt;author&gt;Li, Xuecao&lt;/author&gt;&lt;author&gt;Gong, Peng&lt;/author&gt;&lt;author&gt;Zhou, Yuyu&lt;/author&gt;&lt;author&gt;Wang, Jie&lt;/author&gt;&lt;author&gt;Bai, Yuqi&lt;/author&gt;&lt;author&gt;Chen, Bin&lt;/author&gt;&lt;author&gt;Hu, Tengyun&lt;/author&gt;&lt;author&gt;Xiao, Yixiong&lt;/author&gt;&lt;author&gt;Xu, Bing&lt;/author&gt;&lt;author&gt;Yang, Jun&lt;/author&gt;&lt;author&gt;Liu, Xiaoping&lt;/author&gt;&lt;author&gt;Cai, Wenjia&lt;/author&gt;&lt;author&gt;Huang, Huabing&lt;/author&gt;&lt;author&gt;Wu, Tinghai&lt;/author&gt;&lt;author&gt;Wang, Xi&lt;/author&gt;&lt;author&gt;Lin, Peng&lt;/author&gt;&lt;author&gt;Li, Xun&lt;/author&gt;&lt;author&gt;Chen, Jin&lt;/author&gt;&lt;author&gt;He, Chunyang&lt;/author&gt;&lt;author&gt;Li, Xia&lt;/author&gt;&lt;author&gt;Yu, Le&lt;/author&gt;&lt;author&gt;Clinton, Nicholas&lt;/author&gt;&lt;author&gt;Zhu, Zhiliang&lt;/author&gt;&lt;/authors&gt;&lt;/contributors&gt;&lt;titles&gt;&lt;title&gt;Mapping global urban boundaries from the global artificial impervious area (GAIA) data&lt;/title&gt;&lt;secondary-title&gt;Environmental Research Letters&lt;/secondary-title&gt;&lt;/titles&gt;&lt;periodical&gt;&lt;full-title&gt;Environmental Research Letters&lt;/full-title&gt;&lt;/periodical&gt;&lt;pages&gt;094044&lt;/pages&gt;&lt;volume&gt;15&lt;/volume&gt;&lt;number&gt;9&lt;/number&gt;&lt;section&gt;094044&lt;/section&gt;&lt;dates&gt;&lt;year&gt;2020&lt;/year&gt;&lt;pub-dates&gt;&lt;date&gt;2020/08/24&lt;/date&gt;&lt;/pub-dates&gt;&lt;/dates&gt;&lt;publisher&gt;IOP Publishing&lt;/publisher&gt;&lt;isbn&gt;1748-9326&lt;/isbn&gt;&lt;urls&gt;&lt;related-urls&gt;&lt;url&gt;https://dx.doi.org/10.1088/1748-9326/ab9be3&lt;/url&gt;&lt;/related-urls&gt;&lt;/urls&gt;&lt;electronic-resource-num&gt;10.1088/1748-9326/ab9be3&lt;/electronic-resource-num&gt;&lt;/record&gt;&lt;/Cite&gt;&lt;/EndNote&gt;</w:instrText>
      </w:r>
      <w:r w:rsidR="001A7FD9" w:rsidRPr="00BB65B8">
        <w:rPr>
          <w:rFonts w:asciiTheme="majorBidi" w:hAnsiTheme="majorBidi" w:cstheme="majorBidi"/>
          <w:sz w:val="21"/>
          <w:szCs w:val="21"/>
        </w:rPr>
        <w:fldChar w:fldCharType="separate"/>
      </w:r>
      <w:r w:rsidR="003D4639" w:rsidRPr="00BB65B8">
        <w:rPr>
          <w:rFonts w:asciiTheme="majorBidi" w:hAnsiTheme="majorBidi" w:cstheme="majorBidi"/>
          <w:noProof/>
          <w:sz w:val="21"/>
          <w:szCs w:val="21"/>
          <w:vertAlign w:val="superscript"/>
        </w:rPr>
        <w:t>1</w:t>
      </w:r>
      <w:r w:rsidR="001A7FD9" w:rsidRPr="00BB65B8">
        <w:rPr>
          <w:rFonts w:asciiTheme="majorBidi" w:hAnsiTheme="majorBidi" w:cstheme="majorBidi"/>
          <w:sz w:val="21"/>
          <w:szCs w:val="21"/>
        </w:rPr>
        <w:fldChar w:fldCharType="end"/>
      </w:r>
      <w:r w:rsidRPr="00BB65B8">
        <w:rPr>
          <w:rFonts w:asciiTheme="majorBidi" w:hAnsiTheme="majorBidi" w:cstheme="majorBidi"/>
          <w:sz w:val="21"/>
          <w:szCs w:val="21"/>
        </w:rPr>
        <w:t xml:space="preserve">, the Global Human Settlement Layer (GHSL) based on an urban–rural gradient model </w:t>
      </w:r>
      <w:r w:rsidR="001A7FD9" w:rsidRPr="00BB65B8">
        <w:rPr>
          <w:rFonts w:asciiTheme="majorBidi" w:hAnsiTheme="majorBidi" w:cstheme="majorBidi"/>
          <w:color w:val="000000" w:themeColor="text1"/>
          <w:sz w:val="21"/>
          <w:szCs w:val="21"/>
        </w:rPr>
        <w:fldChar w:fldCharType="begin"/>
      </w:r>
      <w:r w:rsidR="003D4639" w:rsidRPr="00BB65B8">
        <w:rPr>
          <w:rFonts w:asciiTheme="majorBidi" w:hAnsiTheme="majorBidi" w:cstheme="majorBidi"/>
          <w:color w:val="000000" w:themeColor="text1"/>
          <w:sz w:val="21"/>
          <w:szCs w:val="21"/>
        </w:rPr>
        <w:instrText xml:space="preserve"> ADDIN EN.CITE &lt;EndNote&gt;&lt;Cite&gt;&lt;Author&gt;Schiavina&lt;/Author&gt;&lt;Year&gt;2022&lt;/Year&gt;&lt;RecNum&gt;2235&lt;/RecNum&gt;&lt;DisplayText&gt;&lt;style face="superscript"&gt;2&lt;/style&gt;&lt;/DisplayText&gt;&lt;record&gt;&lt;rec-number&gt;2235&lt;/rec-number&gt;&lt;foreign-keys&gt;&lt;key app="EN" db-id="50szzevsltsxs4et00mpxaph2wpxp99rfvz2" timestamp="1690599130" guid="1f79c9e9-1f4e-4736-810e-aed1de3a287a"&gt;2235&lt;/key&gt;&lt;/foreign-keys&gt;&lt;ref-type name="Report"&gt;27&lt;/ref-type&gt;&lt;contributors&gt;&lt;authors&gt;&lt;author&gt;Schiavina, Marcello&lt;/author&gt;&lt;author&gt;Melchiorri, Michele&lt;/author&gt;&lt;author&gt;Pesaresi, Martino&lt;/author&gt;&lt;author&gt;Panagiotis, Politis&lt;/author&gt;&lt;author&gt;Freire, Sergio&lt;/author&gt;&lt;author&gt;Maffenini, Luca&lt;/author&gt;&lt;author&gt;Goch, Katarzyna&lt;/author&gt;&lt;author&gt;Tommasi, Pierpaolo&lt;/author&gt;&lt;author&gt;Kemper, Thomas&lt;/author&gt;&lt;/authors&gt;&lt;/contributors&gt;&lt;titles&gt;&lt;title&gt;GHSL Data Package 2022&lt;/title&gt;&lt;/titles&gt;&lt;dates&gt;&lt;year&gt;2022&lt;/year&gt;&lt;/dates&gt;&lt;urls&gt;&lt;/urls&gt;&lt;electronic-resource-num&gt;10.2760/19817&lt;/electronic-resource-num&gt;&lt;/record&gt;&lt;/Cite&gt;&lt;/EndNote&gt;</w:instrText>
      </w:r>
      <w:r w:rsidR="001A7FD9" w:rsidRPr="00BB65B8">
        <w:rPr>
          <w:rFonts w:asciiTheme="majorBidi" w:hAnsiTheme="majorBidi" w:cstheme="majorBidi"/>
          <w:color w:val="000000" w:themeColor="text1"/>
          <w:sz w:val="21"/>
          <w:szCs w:val="21"/>
        </w:rPr>
        <w:fldChar w:fldCharType="separate"/>
      </w:r>
      <w:r w:rsidR="003D4639" w:rsidRPr="00BB65B8">
        <w:rPr>
          <w:rFonts w:asciiTheme="majorBidi" w:hAnsiTheme="majorBidi" w:cstheme="majorBidi"/>
          <w:noProof/>
          <w:color w:val="000000" w:themeColor="text1"/>
          <w:sz w:val="21"/>
          <w:szCs w:val="21"/>
          <w:vertAlign w:val="superscript"/>
        </w:rPr>
        <w:t>2</w:t>
      </w:r>
      <w:r w:rsidR="001A7FD9" w:rsidRPr="00BB65B8">
        <w:rPr>
          <w:rFonts w:asciiTheme="majorBidi" w:hAnsiTheme="majorBidi" w:cstheme="majorBidi"/>
          <w:color w:val="000000" w:themeColor="text1"/>
          <w:sz w:val="21"/>
          <w:szCs w:val="21"/>
        </w:rPr>
        <w:fldChar w:fldCharType="end"/>
      </w:r>
      <w:r w:rsidRPr="00BB65B8">
        <w:rPr>
          <w:rFonts w:asciiTheme="majorBidi" w:hAnsiTheme="majorBidi" w:cstheme="majorBidi"/>
          <w:sz w:val="21"/>
          <w:szCs w:val="21"/>
        </w:rPr>
        <w:t xml:space="preserve">, and the Urban–Rural Catchment (URC) map based on an urban–rural continuum framework </w:t>
      </w:r>
      <w:r w:rsidR="001A7FD9" w:rsidRPr="00BB65B8">
        <w:rPr>
          <w:rFonts w:asciiTheme="majorBidi" w:hAnsiTheme="majorBidi" w:cstheme="majorBidi"/>
          <w:sz w:val="21"/>
          <w:szCs w:val="21"/>
        </w:rPr>
        <w:fldChar w:fldCharType="begin">
          <w:fldData xml:space="preserve">PEVuZE5vdGU+PENpdGU+PEF1dGhvcj5DYXR0YW5lbzwvQXV0aG9yPjxZZWFyPjIwMjE8L1llYXI+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==
</w:fldData>
        </w:fldChar>
      </w:r>
      <w:r w:rsidR="003D4639" w:rsidRPr="00BB65B8">
        <w:rPr>
          <w:rFonts w:asciiTheme="majorBidi" w:hAnsiTheme="majorBidi" w:cstheme="majorBidi"/>
          <w:sz w:val="21"/>
          <w:szCs w:val="21"/>
        </w:rPr>
        <w:instrText xml:space="preserve"> ADDIN EN.CITE </w:instrText>
      </w:r>
      <w:r w:rsidR="003D4639" w:rsidRPr="00BB65B8">
        <w:rPr>
          <w:rFonts w:asciiTheme="majorBidi" w:hAnsiTheme="majorBidi" w:cstheme="majorBidi"/>
          <w:sz w:val="21"/>
          <w:szCs w:val="21"/>
        </w:rPr>
        <w:fldChar w:fldCharType="begin">
          <w:fldData xml:space="preserve">PEVuZE5vdGU+PENpdGU+PEF1dGhvcj5DYXR0YW5lbzwvQXV0aG9yPjxZZWFyPjIwMjE8L1llYXI+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==
</w:fldData>
        </w:fldChar>
      </w:r>
      <w:r w:rsidR="003D4639" w:rsidRPr="00BB65B8">
        <w:rPr>
          <w:rFonts w:asciiTheme="majorBidi" w:hAnsiTheme="majorBidi" w:cstheme="majorBidi"/>
          <w:sz w:val="21"/>
          <w:szCs w:val="21"/>
        </w:rPr>
        <w:instrText xml:space="preserve"> ADDIN EN.CITE.DATA </w:instrText>
      </w:r>
      <w:r w:rsidR="003D4639" w:rsidRPr="00BB65B8">
        <w:rPr>
          <w:rFonts w:asciiTheme="majorBidi" w:hAnsiTheme="majorBidi" w:cstheme="majorBidi"/>
          <w:sz w:val="21"/>
          <w:szCs w:val="21"/>
        </w:rPr>
      </w:r>
      <w:r w:rsidR="003D4639" w:rsidRPr="00BB65B8">
        <w:rPr>
          <w:rFonts w:asciiTheme="majorBidi" w:hAnsiTheme="majorBidi" w:cstheme="majorBidi"/>
          <w:sz w:val="21"/>
          <w:szCs w:val="21"/>
        </w:rPr>
        <w:fldChar w:fldCharType="end"/>
      </w:r>
      <w:r w:rsidR="001A7FD9" w:rsidRPr="00BB65B8">
        <w:rPr>
          <w:rFonts w:asciiTheme="majorBidi" w:hAnsiTheme="majorBidi" w:cstheme="majorBidi"/>
          <w:sz w:val="21"/>
          <w:szCs w:val="21"/>
        </w:rPr>
      </w:r>
      <w:r w:rsidR="001A7FD9" w:rsidRPr="00BB65B8">
        <w:rPr>
          <w:rFonts w:asciiTheme="majorBidi" w:hAnsiTheme="majorBidi" w:cstheme="majorBidi"/>
          <w:sz w:val="21"/>
          <w:szCs w:val="21"/>
        </w:rPr>
        <w:fldChar w:fldCharType="separate"/>
      </w:r>
      <w:r w:rsidR="003D4639" w:rsidRPr="00BB65B8">
        <w:rPr>
          <w:rFonts w:asciiTheme="majorBidi" w:hAnsiTheme="majorBidi" w:cstheme="majorBidi"/>
          <w:noProof/>
          <w:sz w:val="21"/>
          <w:szCs w:val="21"/>
          <w:vertAlign w:val="superscript"/>
        </w:rPr>
        <w:t>3</w:t>
      </w:r>
      <w:r w:rsidR="001A7FD9" w:rsidRPr="00BB65B8">
        <w:rPr>
          <w:rFonts w:asciiTheme="majorBidi" w:hAnsiTheme="majorBidi" w:cstheme="majorBidi"/>
          <w:sz w:val="21"/>
          <w:szCs w:val="21"/>
        </w:rPr>
        <w:fldChar w:fldCharType="end"/>
      </w:r>
      <w:r w:rsidR="001A7FD9" w:rsidRPr="00BB65B8">
        <w:rPr>
          <w:rFonts w:asciiTheme="majorBidi" w:hAnsiTheme="majorBidi" w:cstheme="majorBidi"/>
          <w:sz w:val="21"/>
          <w:szCs w:val="21"/>
        </w:rPr>
        <w:t xml:space="preserve"> </w:t>
      </w:r>
      <w:r w:rsidRPr="00BB65B8">
        <w:rPr>
          <w:rFonts w:asciiTheme="majorBidi" w:hAnsiTheme="majorBidi" w:cstheme="majorBidi"/>
          <w:sz w:val="21"/>
          <w:szCs w:val="21"/>
        </w:rPr>
        <w:t>(</w:t>
      </w:r>
      <w:r w:rsidRPr="00222454">
        <w:rPr>
          <w:rFonts w:asciiTheme="majorBidi" w:hAnsiTheme="majorBidi" w:cstheme="majorBidi"/>
          <w:b/>
          <w:bCs/>
          <w:sz w:val="21"/>
          <w:szCs w:val="21"/>
        </w:rPr>
        <w:t>Appendix Fig. 8 and Appendix Fig. 9</w:t>
      </w:r>
      <w:r w:rsidRPr="00BB65B8">
        <w:rPr>
          <w:rFonts w:asciiTheme="majorBidi" w:hAnsiTheme="majorBidi" w:cstheme="majorBidi"/>
          <w:sz w:val="21"/>
          <w:szCs w:val="21"/>
        </w:rPr>
        <w:t>).</w:t>
      </w:r>
    </w:p>
    <w:p w14:paraId="0E2F33B0" w14:textId="77777777" w:rsidR="00BD4FEB" w:rsidRPr="00BB65B8" w:rsidRDefault="00BD4FEB" w:rsidP="00D05018">
      <w:pPr>
        <w:spacing w:line="360" w:lineRule="auto"/>
        <w:jc w:val="left"/>
        <w:rPr>
          <w:rFonts w:asciiTheme="majorBidi" w:hAnsiTheme="majorBidi" w:cstheme="majorBidi"/>
          <w:sz w:val="21"/>
          <w:szCs w:val="21"/>
        </w:rPr>
      </w:pPr>
    </w:p>
    <w:p w14:paraId="43DEA43B" w14:textId="55A35F6A" w:rsidR="00BD4FEB" w:rsidRPr="00BB65B8" w:rsidRDefault="00BD4FEB"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 xml:space="preserve">The GUB dataset integrates multiple urban growth models to delineate global urban boundaries from 1990 to 2020. It fills internal “holes” in urban areas and smooths fragmented edges using morphological operations, resulting in vector-based urban boundaries at a spatial resolution of </w:t>
      </w:r>
      <w:r w:rsidRPr="00BB65B8">
        <w:rPr>
          <w:rFonts w:asciiTheme="majorBidi" w:hAnsiTheme="majorBidi" w:cstheme="majorBidi"/>
          <w:sz w:val="21"/>
          <w:szCs w:val="21"/>
        </w:rPr>
        <w:lastRenderedPageBreak/>
        <w:t xml:space="preserve">30 m. To ensure consistency with the urbanity index, we rasterized the GUB data and resampled it to 1000 m resolution. The dataset distinguishes between urban influence areas (GUB </w:t>
      </w:r>
      <w:r w:rsidR="00417CDD" w:rsidRPr="00BB65B8">
        <w:rPr>
          <w:rFonts w:asciiTheme="majorBidi" w:hAnsiTheme="majorBidi" w:cstheme="majorBidi"/>
          <w:sz w:val="21"/>
          <w:szCs w:val="21"/>
        </w:rPr>
        <w:t>areas</w:t>
      </w:r>
      <w:r w:rsidRPr="00BB65B8">
        <w:rPr>
          <w:rFonts w:asciiTheme="majorBidi" w:hAnsiTheme="majorBidi" w:cstheme="majorBidi"/>
          <w:sz w:val="21"/>
          <w:szCs w:val="21"/>
        </w:rPr>
        <w:t>) and urban influence-free areas (</w:t>
      </w:r>
      <w:r w:rsidR="00417CDD" w:rsidRPr="00BB65B8">
        <w:rPr>
          <w:rFonts w:asciiTheme="majorBidi" w:hAnsiTheme="majorBidi" w:cstheme="majorBidi"/>
          <w:sz w:val="21"/>
          <w:szCs w:val="21"/>
        </w:rPr>
        <w:t>non</w:t>
      </w:r>
      <w:r w:rsidRPr="00BB65B8">
        <w:rPr>
          <w:rFonts w:asciiTheme="majorBidi" w:hAnsiTheme="majorBidi" w:cstheme="majorBidi"/>
          <w:sz w:val="21"/>
          <w:szCs w:val="21"/>
        </w:rPr>
        <w:t xml:space="preserve"> GUB </w:t>
      </w:r>
      <w:r w:rsidR="00417CDD" w:rsidRPr="00BB65B8">
        <w:rPr>
          <w:rFonts w:asciiTheme="majorBidi" w:hAnsiTheme="majorBidi" w:cstheme="majorBidi"/>
          <w:sz w:val="21"/>
          <w:szCs w:val="21"/>
        </w:rPr>
        <w:t>areas</w:t>
      </w:r>
      <w:r w:rsidRPr="00BB65B8">
        <w:rPr>
          <w:rFonts w:asciiTheme="majorBidi" w:hAnsiTheme="majorBidi" w:cstheme="majorBidi"/>
          <w:sz w:val="21"/>
          <w:szCs w:val="21"/>
        </w:rPr>
        <w:t>) (</w:t>
      </w:r>
      <w:r w:rsidRPr="00064954">
        <w:rPr>
          <w:rFonts w:asciiTheme="majorBidi" w:hAnsiTheme="majorBidi" w:cstheme="majorBidi"/>
          <w:b/>
          <w:bCs/>
          <w:sz w:val="21"/>
          <w:szCs w:val="21"/>
        </w:rPr>
        <w:t>Appendix Fig. 8a and Appendix Fig. 9a</w:t>
      </w:r>
      <w:r w:rsidRPr="00BB65B8">
        <w:rPr>
          <w:rFonts w:asciiTheme="majorBidi" w:hAnsiTheme="majorBidi" w:cstheme="majorBidi"/>
          <w:sz w:val="21"/>
          <w:szCs w:val="21"/>
        </w:rPr>
        <w:t>).</w:t>
      </w:r>
    </w:p>
    <w:p w14:paraId="4F4F353D" w14:textId="77777777" w:rsidR="00BD4FEB" w:rsidRPr="00BB65B8" w:rsidRDefault="00BD4FEB" w:rsidP="00D05018">
      <w:pPr>
        <w:spacing w:line="360" w:lineRule="auto"/>
        <w:jc w:val="left"/>
        <w:rPr>
          <w:rFonts w:asciiTheme="majorBidi" w:hAnsiTheme="majorBidi" w:cstheme="majorBidi"/>
          <w:sz w:val="21"/>
          <w:szCs w:val="21"/>
        </w:rPr>
      </w:pPr>
    </w:p>
    <w:p w14:paraId="2CBA3BC7" w14:textId="77777777" w:rsidR="00BD4FEB" w:rsidRPr="00BB65B8" w:rsidRDefault="00BD4FEB"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The GHSL dataset is generated based on 2020 population density and built-up area classification rules, with a spatial resolution of 1000 m. It contains seven urban–rural gradient classes: Urban centre, Dense urban cluster, Semi-dense urban cluster, Suburban, Rural cluster, Low-density rural, and Very low-density rural. Among them, the first four classes are defined as urban influence areas, while the last three represent urban influence-free areas (</w:t>
      </w:r>
      <w:r w:rsidRPr="00064954">
        <w:rPr>
          <w:rFonts w:asciiTheme="majorBidi" w:hAnsiTheme="majorBidi" w:cstheme="majorBidi"/>
          <w:b/>
          <w:bCs/>
          <w:sz w:val="21"/>
          <w:szCs w:val="21"/>
        </w:rPr>
        <w:t>Appendix Fig. 8b and Appendix Fig. 9b</w:t>
      </w:r>
      <w:r w:rsidRPr="00BB65B8">
        <w:rPr>
          <w:rFonts w:asciiTheme="majorBidi" w:hAnsiTheme="majorBidi" w:cstheme="majorBidi"/>
          <w:sz w:val="21"/>
          <w:szCs w:val="21"/>
        </w:rPr>
        <w:t>).</w:t>
      </w:r>
    </w:p>
    <w:p w14:paraId="7F941A3B" w14:textId="77777777" w:rsidR="00BD4FEB" w:rsidRPr="00BB65B8" w:rsidRDefault="00BD4FEB" w:rsidP="00D05018">
      <w:pPr>
        <w:spacing w:line="360" w:lineRule="auto"/>
        <w:jc w:val="left"/>
        <w:rPr>
          <w:rFonts w:asciiTheme="majorBidi" w:hAnsiTheme="majorBidi" w:cstheme="majorBidi"/>
          <w:sz w:val="21"/>
          <w:szCs w:val="21"/>
        </w:rPr>
      </w:pPr>
    </w:p>
    <w:p w14:paraId="37C5FB90" w14:textId="15292C20" w:rsidR="00BD4FEB" w:rsidRPr="00BB65B8" w:rsidRDefault="00BD4FEB"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 xml:space="preserve">The Urban–Rural Catchment (URC) map builds on the urban–rural continuum concept, using a least-cost path algorithm to estimate travel time to cities of different sizes </w:t>
      </w:r>
      <w:r w:rsidR="00B850F1" w:rsidRPr="00BB65B8">
        <w:rPr>
          <w:rFonts w:asciiTheme="majorBidi" w:hAnsiTheme="majorBidi" w:cstheme="majorBidi"/>
          <w:sz w:val="21"/>
          <w:szCs w:val="21"/>
        </w:rPr>
        <w:fldChar w:fldCharType="begin">
          <w:fldData xml:space="preserve">PEVuZE5vdGU+PENpdGU+PEF1dGhvcj5XZWlzczwvQXV0aG9yPjxZZWFyPjIwMjA8L1llYXI+PFJl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</w:fldData>
        </w:fldChar>
      </w:r>
      <w:r w:rsidR="003D4639" w:rsidRPr="00BB65B8">
        <w:rPr>
          <w:rFonts w:asciiTheme="majorBidi" w:hAnsiTheme="majorBidi" w:cstheme="majorBidi"/>
          <w:sz w:val="21"/>
          <w:szCs w:val="21"/>
        </w:rPr>
        <w:instrText xml:space="preserve"> ADDIN EN.CITE </w:instrText>
      </w:r>
      <w:r w:rsidR="003D4639" w:rsidRPr="00BB65B8">
        <w:rPr>
          <w:rFonts w:asciiTheme="majorBidi" w:hAnsiTheme="majorBidi" w:cstheme="majorBidi"/>
          <w:sz w:val="21"/>
          <w:szCs w:val="21"/>
        </w:rPr>
        <w:fldChar w:fldCharType="begin">
          <w:fldData xml:space="preserve">PEVuZE5vdGU+PENpdGU+PEF1dGhvcj5XZWlzczwvQXV0aG9yPjxZZWFyPjIwMjA8L1llYXI+PFJl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</w:fldData>
        </w:fldChar>
      </w:r>
      <w:r w:rsidR="003D4639" w:rsidRPr="00BB65B8">
        <w:rPr>
          <w:rFonts w:asciiTheme="majorBidi" w:hAnsiTheme="majorBidi" w:cstheme="majorBidi"/>
          <w:sz w:val="21"/>
          <w:szCs w:val="21"/>
        </w:rPr>
        <w:instrText xml:space="preserve"> ADDIN EN.CITE.DATA </w:instrText>
      </w:r>
      <w:r w:rsidR="003D4639" w:rsidRPr="00BB65B8">
        <w:rPr>
          <w:rFonts w:asciiTheme="majorBidi" w:hAnsiTheme="majorBidi" w:cstheme="majorBidi"/>
          <w:sz w:val="21"/>
          <w:szCs w:val="21"/>
        </w:rPr>
      </w:r>
      <w:r w:rsidR="003D4639" w:rsidRPr="00BB65B8">
        <w:rPr>
          <w:rFonts w:asciiTheme="majorBidi" w:hAnsiTheme="majorBidi" w:cstheme="majorBidi"/>
          <w:sz w:val="21"/>
          <w:szCs w:val="21"/>
        </w:rPr>
        <w:fldChar w:fldCharType="end"/>
      </w:r>
      <w:r w:rsidR="00B850F1" w:rsidRPr="00BB65B8">
        <w:rPr>
          <w:rFonts w:asciiTheme="majorBidi" w:hAnsiTheme="majorBidi" w:cstheme="majorBidi"/>
          <w:sz w:val="21"/>
          <w:szCs w:val="21"/>
        </w:rPr>
      </w:r>
      <w:r w:rsidR="00B850F1" w:rsidRPr="00BB65B8">
        <w:rPr>
          <w:rFonts w:asciiTheme="majorBidi" w:hAnsiTheme="majorBidi" w:cstheme="majorBidi"/>
          <w:sz w:val="21"/>
          <w:szCs w:val="21"/>
        </w:rPr>
        <w:fldChar w:fldCharType="separate"/>
      </w:r>
      <w:r w:rsidR="003D4639" w:rsidRPr="00BB65B8">
        <w:rPr>
          <w:rFonts w:asciiTheme="majorBidi" w:hAnsiTheme="majorBidi" w:cstheme="majorBidi"/>
          <w:noProof/>
          <w:sz w:val="21"/>
          <w:szCs w:val="21"/>
          <w:vertAlign w:val="superscript"/>
        </w:rPr>
        <w:t>4</w:t>
      </w:r>
      <w:r w:rsidR="00B850F1" w:rsidRPr="00BB65B8">
        <w:rPr>
          <w:rFonts w:asciiTheme="majorBidi" w:hAnsiTheme="majorBidi" w:cstheme="majorBidi"/>
          <w:sz w:val="21"/>
          <w:szCs w:val="21"/>
        </w:rPr>
        <w:fldChar w:fldCharType="end"/>
      </w:r>
      <w:r w:rsidRPr="00BB65B8">
        <w:rPr>
          <w:rFonts w:asciiTheme="majorBidi" w:hAnsiTheme="majorBidi" w:cstheme="majorBidi"/>
          <w:sz w:val="21"/>
          <w:szCs w:val="21"/>
        </w:rPr>
        <w:t>. The classification includes 14 types, from Large city, Intermediate city, and Small city to &lt;1 hour to large city, &lt;1 hour to intermediate city, &lt;1 hour to small city, and 1–2 hours to large city. Types 1 through 13 are considered urban influence areas, while Type 14 represents urban influence-free areas (</w:t>
      </w:r>
      <w:r w:rsidRPr="00064954">
        <w:rPr>
          <w:rFonts w:asciiTheme="majorBidi" w:hAnsiTheme="majorBidi" w:cstheme="majorBidi"/>
          <w:b/>
          <w:bCs/>
          <w:sz w:val="21"/>
          <w:szCs w:val="21"/>
        </w:rPr>
        <w:t>Appendix Fig. 8c and Appendix Fig. 9c</w:t>
      </w:r>
      <w:r w:rsidRPr="00BB65B8">
        <w:rPr>
          <w:rFonts w:asciiTheme="majorBidi" w:hAnsiTheme="majorBidi" w:cstheme="majorBidi"/>
          <w:sz w:val="21"/>
          <w:szCs w:val="21"/>
        </w:rPr>
        <w:t>).</w:t>
      </w:r>
    </w:p>
    <w:p w14:paraId="60515936" w14:textId="77777777" w:rsidR="002A36B8" w:rsidRPr="00BB65B8" w:rsidRDefault="002A36B8" w:rsidP="00D05018">
      <w:pPr>
        <w:spacing w:line="360" w:lineRule="auto"/>
        <w:jc w:val="left"/>
        <w:rPr>
          <w:rFonts w:asciiTheme="majorBidi" w:hAnsiTheme="majorBidi" w:cstheme="majorBidi"/>
          <w:sz w:val="21"/>
          <w:szCs w:val="21"/>
        </w:rPr>
      </w:pPr>
    </w:p>
    <w:p w14:paraId="5A89867D" w14:textId="516E62E4" w:rsidR="00F208CA" w:rsidRPr="00BB65B8" w:rsidRDefault="00F208CA"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The results show that the GUB product represents a discrete, binary spatial configuration of urbanization. While it captures the spatial footprint of urban entities, it fails to reflect the degree of urbanization or characteristics of urbanization beyond physical city boundaries (</w:t>
      </w:r>
      <w:r w:rsidRPr="00064954">
        <w:rPr>
          <w:rFonts w:asciiTheme="majorBidi" w:hAnsiTheme="majorBidi" w:cstheme="majorBidi"/>
          <w:b/>
          <w:bCs/>
          <w:sz w:val="21"/>
          <w:szCs w:val="21"/>
        </w:rPr>
        <w:t>Appendix Fig. 8a</w:t>
      </w:r>
      <w:r w:rsidRPr="00BB65B8">
        <w:rPr>
          <w:rFonts w:asciiTheme="majorBidi" w:hAnsiTheme="majorBidi" w:cstheme="majorBidi"/>
          <w:sz w:val="21"/>
          <w:szCs w:val="21"/>
        </w:rPr>
        <w:t>). Notably, some areas outside GUB-defined boundaries exhibit urbanity index values comparable to those within GUB regions (e.g., values of 2</w:t>
      </w:r>
      <w:r w:rsidR="00DE603D" w:rsidRPr="00BB65B8">
        <w:rPr>
          <w:rFonts w:asciiTheme="majorBidi" w:hAnsiTheme="majorBidi" w:cstheme="majorBidi"/>
          <w:sz w:val="21"/>
          <w:szCs w:val="21"/>
        </w:rPr>
        <w:t>-</w:t>
      </w:r>
      <w:r w:rsidRPr="00BB65B8">
        <w:rPr>
          <w:rFonts w:asciiTheme="majorBidi" w:hAnsiTheme="majorBidi" w:cstheme="majorBidi"/>
          <w:sz w:val="21"/>
          <w:szCs w:val="21"/>
        </w:rPr>
        <w:t>3), indicating urban influence (</w:t>
      </w:r>
      <w:r w:rsidRPr="00064954">
        <w:rPr>
          <w:rFonts w:asciiTheme="majorBidi" w:hAnsiTheme="majorBidi" w:cstheme="majorBidi"/>
          <w:b/>
          <w:bCs/>
          <w:sz w:val="21"/>
          <w:szCs w:val="21"/>
        </w:rPr>
        <w:t>Appendix Fig. 8a</w:t>
      </w:r>
      <w:r w:rsidRPr="00BB65B8">
        <w:rPr>
          <w:rFonts w:asciiTheme="majorBidi" w:hAnsiTheme="majorBidi" w:cstheme="majorBidi"/>
          <w:sz w:val="21"/>
          <w:szCs w:val="21"/>
        </w:rPr>
        <w:t>). Moreover, GUB-defined urban influence areas cover only 2.7% of the national grid, substantially lower than the 50% coverage represented by urbanity-based areas (based on median threshold). The remaining 97.3% of grid cells, many of which show moderate to high urbanity levels, reveal the limitations of binary urban–rural models in capturing urban influence outside core urban entities (</w:t>
      </w:r>
      <w:r w:rsidRPr="00064954">
        <w:rPr>
          <w:rFonts w:asciiTheme="majorBidi" w:hAnsiTheme="majorBidi" w:cstheme="majorBidi"/>
          <w:b/>
          <w:bCs/>
          <w:sz w:val="21"/>
          <w:szCs w:val="21"/>
        </w:rPr>
        <w:t>Appendix Fig. 9a, d, and e</w:t>
      </w:r>
      <w:r w:rsidRPr="00BB65B8">
        <w:rPr>
          <w:rFonts w:asciiTheme="majorBidi" w:hAnsiTheme="majorBidi" w:cstheme="majorBidi"/>
          <w:sz w:val="21"/>
          <w:szCs w:val="21"/>
        </w:rPr>
        <w:t>).</w:t>
      </w:r>
    </w:p>
    <w:p w14:paraId="68F95036" w14:textId="77777777" w:rsidR="00F208CA" w:rsidRPr="00BB65B8" w:rsidRDefault="00F208CA" w:rsidP="00D05018">
      <w:pPr>
        <w:spacing w:line="360" w:lineRule="auto"/>
        <w:jc w:val="left"/>
        <w:rPr>
          <w:rFonts w:asciiTheme="majorBidi" w:hAnsiTheme="majorBidi" w:cstheme="majorBidi"/>
          <w:sz w:val="21"/>
          <w:szCs w:val="21"/>
        </w:rPr>
      </w:pPr>
    </w:p>
    <w:p w14:paraId="3F87098C" w14:textId="77777777" w:rsidR="00F208CA" w:rsidRPr="00BB65B8" w:rsidRDefault="00F208CA"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 xml:space="preserve">From the perspective of urban–rural gradient models, the GHSL product captures multiple levels </w:t>
      </w:r>
      <w:r w:rsidRPr="00BB65B8">
        <w:rPr>
          <w:rFonts w:asciiTheme="majorBidi" w:hAnsiTheme="majorBidi" w:cstheme="majorBidi"/>
          <w:sz w:val="21"/>
          <w:szCs w:val="21"/>
        </w:rPr>
        <w:lastRenderedPageBreak/>
        <w:t>of urbanization intensity, from high to low (</w:t>
      </w:r>
      <w:r w:rsidRPr="000757F9">
        <w:rPr>
          <w:rFonts w:asciiTheme="majorBidi" w:hAnsiTheme="majorBidi" w:cstheme="majorBidi"/>
          <w:b/>
          <w:bCs/>
          <w:sz w:val="21"/>
          <w:szCs w:val="21"/>
        </w:rPr>
        <w:t>Appendix Fig. 8b</w:t>
      </w:r>
      <w:r w:rsidRPr="00BB65B8">
        <w:rPr>
          <w:rFonts w:asciiTheme="majorBidi" w:hAnsiTheme="majorBidi" w:cstheme="majorBidi"/>
          <w:sz w:val="21"/>
          <w:szCs w:val="21"/>
        </w:rPr>
        <w:t>). However, comparisons reveal that the urbanity index does not strictly follow the monotonic spatial decay typically assumed in traditional gradient models. For example, areas classified as Rural cluster have a median urbanity index of 2.04, which is similar to Semi-dense urban cluster (2.15) and even higher in some Suburban zones (2.24) than in small urban centers. Spatially, GHSL-defined urban influence areas cover 7.2% of the national grid—larger than GUB’s but still notably smaller than that of urbanity areas (</w:t>
      </w:r>
      <w:r w:rsidRPr="000757F9">
        <w:rPr>
          <w:rFonts w:asciiTheme="majorBidi" w:hAnsiTheme="majorBidi" w:cstheme="majorBidi"/>
          <w:b/>
          <w:bCs/>
          <w:sz w:val="21"/>
          <w:szCs w:val="21"/>
        </w:rPr>
        <w:t>Appendix Fig. 9b, d, and e</w:t>
      </w:r>
      <w:r w:rsidRPr="00BB65B8">
        <w:rPr>
          <w:rFonts w:asciiTheme="majorBidi" w:hAnsiTheme="majorBidi" w:cstheme="majorBidi"/>
          <w:sz w:val="21"/>
          <w:szCs w:val="21"/>
        </w:rPr>
        <w:t>).</w:t>
      </w:r>
    </w:p>
    <w:p w14:paraId="3A862936" w14:textId="77777777" w:rsidR="00F208CA" w:rsidRPr="00BB65B8" w:rsidRDefault="00F208CA" w:rsidP="00D05018">
      <w:pPr>
        <w:spacing w:line="360" w:lineRule="auto"/>
        <w:jc w:val="left"/>
        <w:rPr>
          <w:rFonts w:asciiTheme="majorBidi" w:hAnsiTheme="majorBidi" w:cstheme="majorBidi"/>
          <w:sz w:val="21"/>
          <w:szCs w:val="21"/>
        </w:rPr>
      </w:pPr>
    </w:p>
    <w:p w14:paraId="47E7BEEE" w14:textId="77777777" w:rsidR="00F208CA" w:rsidRPr="00BB65B8" w:rsidRDefault="00F208CA"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The Urban–Rural Catchment (URC) product, based on the urban–rural continuum framework, captures urban influence over a broader spatial range extending beyond urban cores. Urbanity index values generally decrease along the URC hierarchy: from Large city, Intermediate city, and Small city zones to increasingly distant hinterland categories, reflecting a near-linear spatial trend consistent with urban–rural transitions (</w:t>
      </w:r>
      <w:r w:rsidRPr="000757F9">
        <w:rPr>
          <w:rFonts w:asciiTheme="majorBidi" w:hAnsiTheme="majorBidi" w:cstheme="majorBidi"/>
          <w:b/>
          <w:bCs/>
          <w:sz w:val="21"/>
          <w:szCs w:val="21"/>
        </w:rPr>
        <w:t>Appendix Fig. 8c</w:t>
      </w:r>
      <w:r w:rsidRPr="00BB65B8">
        <w:rPr>
          <w:rFonts w:asciiTheme="majorBidi" w:hAnsiTheme="majorBidi" w:cstheme="majorBidi"/>
          <w:sz w:val="21"/>
          <w:szCs w:val="21"/>
        </w:rPr>
        <w:t>). This alignment indicates that URC and the urbanity index share a high level of conceptual consistency. However, at the tail end of the continuum, areas classified as Dispersed towns still exhibit relatively high urbanity values, deviating from the expected decay pattern. This suggests that the urbanity index is able to detect latent urbanization features even at the far edges of the urban–rural continuum.</w:t>
      </w:r>
    </w:p>
    <w:p w14:paraId="209480C9" w14:textId="77777777" w:rsidR="00F208CA" w:rsidRPr="00BB65B8" w:rsidRDefault="00F208CA" w:rsidP="00D05018">
      <w:pPr>
        <w:spacing w:line="360" w:lineRule="auto"/>
        <w:jc w:val="left"/>
        <w:rPr>
          <w:rFonts w:asciiTheme="majorBidi" w:hAnsiTheme="majorBidi" w:cstheme="majorBidi"/>
          <w:sz w:val="21"/>
          <w:szCs w:val="21"/>
        </w:rPr>
      </w:pPr>
    </w:p>
    <w:p w14:paraId="7C1D6E11" w14:textId="77777777" w:rsidR="00F208CA" w:rsidRPr="00BB65B8" w:rsidRDefault="00F208CA"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In terms of spatial extent, URC-defined urban influence areas cover 53.7% of the national grid, exceeding the coverage represented by urbanity areas (</w:t>
      </w:r>
      <w:r w:rsidRPr="000757F9">
        <w:rPr>
          <w:rFonts w:asciiTheme="majorBidi" w:hAnsiTheme="majorBidi" w:cstheme="majorBidi"/>
          <w:b/>
          <w:bCs/>
          <w:sz w:val="21"/>
          <w:szCs w:val="21"/>
        </w:rPr>
        <w:t>Appendix Fig. 9c, d, and e</w:t>
      </w:r>
      <w:r w:rsidRPr="00BB65B8">
        <w:rPr>
          <w:rFonts w:asciiTheme="majorBidi" w:hAnsiTheme="majorBidi" w:cstheme="majorBidi"/>
          <w:sz w:val="21"/>
          <w:szCs w:val="21"/>
        </w:rPr>
        <w:t>). This highlights that least-cost path–based travel time metrics can capture a wider set of potential urban influence areas. However, the URC product also presents data gaps in certain mountainous or infrastructure-poor regions, due to limitations in topography and road network coverage, resulting in higher spatial heterogeneity. Furthermore, as a categorical product, URC lacks the flexibility of the urbanity index to support both classification and continuous-variable statistical analysis.</w:t>
      </w:r>
    </w:p>
    <w:p w14:paraId="10147438" w14:textId="77777777" w:rsidR="00F208CA" w:rsidRPr="00BB65B8" w:rsidRDefault="00F208CA" w:rsidP="00D05018">
      <w:pPr>
        <w:spacing w:line="360" w:lineRule="auto"/>
        <w:jc w:val="left"/>
        <w:rPr>
          <w:rFonts w:asciiTheme="majorBidi" w:hAnsiTheme="majorBidi" w:cstheme="majorBidi"/>
          <w:sz w:val="21"/>
          <w:szCs w:val="21"/>
        </w:rPr>
      </w:pPr>
    </w:p>
    <w:p w14:paraId="2B896B01" w14:textId="7BBB4D80" w:rsidR="00F208CA" w:rsidRPr="00BB65B8" w:rsidRDefault="00F208CA"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 xml:space="preserve">In summary, while existing products are useful for delineating physical urban extents or categorical urban–rural transitions, the urbanity index offers a more flexible and continuous representation. It not only identifies current urban entities, but also reveals emerging urban influence characteristics in surrounding rural areas, thereby supporting finer-scale assessments of </w:t>
      </w:r>
      <w:r w:rsidRPr="00BB65B8">
        <w:rPr>
          <w:rFonts w:asciiTheme="majorBidi" w:hAnsiTheme="majorBidi" w:cstheme="majorBidi"/>
          <w:sz w:val="21"/>
          <w:szCs w:val="21"/>
        </w:rPr>
        <w:lastRenderedPageBreak/>
        <w:t>urbanization's impacts on rural social–ecological systems.</w:t>
      </w:r>
    </w:p>
    <w:p w14:paraId="53CA107D" w14:textId="79FAFCA2" w:rsidR="003F5D80" w:rsidRPr="00BB65B8" w:rsidRDefault="00ED68BB" w:rsidP="00817575">
      <w:pPr>
        <w:tabs>
          <w:tab w:val="left" w:pos="1470"/>
        </w:tabs>
        <w:spacing w:line="360" w:lineRule="auto"/>
        <w:jc w:val="center"/>
        <w:rPr>
          <w:rFonts w:asciiTheme="majorBidi" w:eastAsia="黑体" w:hAnsiTheme="majorBidi" w:cstheme="majorBidi"/>
          <w:sz w:val="21"/>
          <w:szCs w:val="21"/>
        </w:rPr>
      </w:pPr>
      <w:r w:rsidRPr="00BB65B8">
        <w:rPr>
          <w:rFonts w:asciiTheme="majorBidi" w:hAnsiTheme="majorBidi" w:cstheme="majorBidi"/>
          <w:noProof/>
          <w:sz w:val="21"/>
          <w:szCs w:val="21"/>
        </w:rPr>
        <w:drawing>
          <wp:inline distT="0" distB="0" distL="0" distR="0" wp14:anchorId="69F0D1D9" wp14:editId="7007CD21">
            <wp:extent cx="4580627" cy="5694625"/>
            <wp:effectExtent l="0" t="0" r="0" b="1905"/>
            <wp:docPr id="820656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8626" cy="5704569"/>
                    </a:xfrm>
                    <a:prstGeom prst="rect">
                      <a:avLst/>
                    </a:prstGeom>
                    <a:noFill/>
                    <a:ln>
                      <a:noFill/>
                    </a:ln>
                  </pic:spPr>
                </pic:pic>
              </a:graphicData>
            </a:graphic>
          </wp:inline>
        </w:drawing>
      </w:r>
    </w:p>
    <w:p w14:paraId="125C6F9A" w14:textId="7F9AB2C0" w:rsidR="009C0018" w:rsidRPr="00BB65B8" w:rsidRDefault="009C0018" w:rsidP="00D05018">
      <w:pPr>
        <w:tabs>
          <w:tab w:val="left" w:pos="1470"/>
        </w:tabs>
        <w:spacing w:line="360" w:lineRule="auto"/>
        <w:jc w:val="left"/>
        <w:rPr>
          <w:rFonts w:asciiTheme="majorBidi" w:eastAsia="黑体" w:hAnsiTheme="majorBidi" w:cstheme="majorBidi"/>
          <w:sz w:val="21"/>
          <w:szCs w:val="21"/>
        </w:rPr>
      </w:pPr>
      <w:r w:rsidRPr="00EE3FAD">
        <w:rPr>
          <w:rFonts w:asciiTheme="majorBidi" w:hAnsiTheme="majorBidi" w:cstheme="majorBidi"/>
          <w:b/>
          <w:bCs/>
          <w:sz w:val="21"/>
          <w:szCs w:val="21"/>
        </w:rPr>
        <w:t xml:space="preserve">Appendix Fig. </w:t>
      </w:r>
      <w:r w:rsidR="00FB73FC" w:rsidRPr="00EE3FAD">
        <w:rPr>
          <w:rFonts w:asciiTheme="majorBidi" w:hAnsiTheme="majorBidi" w:cstheme="majorBidi"/>
          <w:b/>
          <w:bCs/>
          <w:sz w:val="21"/>
          <w:szCs w:val="21"/>
        </w:rPr>
        <w:t>8</w:t>
      </w:r>
      <w:r w:rsidR="00631598">
        <w:rPr>
          <w:rFonts w:asciiTheme="majorBidi" w:hAnsiTheme="majorBidi" w:cstheme="majorBidi" w:hint="eastAsia"/>
          <w:b/>
          <w:bCs/>
          <w:sz w:val="21"/>
          <w:szCs w:val="21"/>
        </w:rPr>
        <w:t>:</w:t>
      </w:r>
      <w:r w:rsidRPr="00EE3FAD">
        <w:rPr>
          <w:rFonts w:asciiTheme="majorBidi" w:hAnsiTheme="majorBidi" w:cstheme="majorBidi"/>
          <w:sz w:val="21"/>
          <w:szCs w:val="21"/>
        </w:rPr>
        <w:t xml:space="preserve"> </w:t>
      </w:r>
      <w:r w:rsidR="00FB73FC" w:rsidRPr="00EE3FAD">
        <w:rPr>
          <w:rFonts w:asciiTheme="majorBidi" w:eastAsia="黑体" w:hAnsiTheme="majorBidi" w:cstheme="majorBidi"/>
          <w:b/>
          <w:bCs/>
          <w:sz w:val="21"/>
          <w:szCs w:val="21"/>
        </w:rPr>
        <w:t>D</w:t>
      </w:r>
      <w:r w:rsidR="00FB73FC" w:rsidRPr="00BB65B8">
        <w:rPr>
          <w:rFonts w:asciiTheme="majorBidi" w:eastAsia="黑体" w:hAnsiTheme="majorBidi" w:cstheme="majorBidi"/>
          <w:b/>
          <w:bCs/>
          <w:sz w:val="21"/>
          <w:szCs w:val="21"/>
        </w:rPr>
        <w:t>istribution of urbanity index in different urban-rural models.</w:t>
      </w:r>
      <w:r w:rsidR="00474F5D" w:rsidRPr="00BB65B8">
        <w:rPr>
          <w:rFonts w:asciiTheme="majorBidi" w:eastAsia="黑体" w:hAnsiTheme="majorBidi" w:cstheme="majorBidi"/>
          <w:b/>
          <w:bCs/>
          <w:sz w:val="21"/>
          <w:szCs w:val="21"/>
        </w:rPr>
        <w:t xml:space="preserve"> </w:t>
      </w:r>
      <w:r w:rsidR="00474F5D" w:rsidRPr="00343C35">
        <w:rPr>
          <w:rFonts w:asciiTheme="majorBidi" w:eastAsiaTheme="majorEastAsia" w:hAnsiTheme="majorBidi" w:cstheme="majorBidi"/>
          <w:sz w:val="21"/>
          <w:szCs w:val="21"/>
        </w:rPr>
        <w:t>Red circles indicate the median values in 2010, and red triangles represent the median values in 2020.</w:t>
      </w:r>
    </w:p>
    <w:p w14:paraId="09E75C56" w14:textId="742438E4" w:rsidR="003F5D80" w:rsidRPr="00BB65B8" w:rsidRDefault="0069231D" w:rsidP="00817575">
      <w:pPr>
        <w:tabs>
          <w:tab w:val="left" w:pos="1470"/>
        </w:tabs>
        <w:spacing w:line="360" w:lineRule="auto"/>
        <w:jc w:val="center"/>
        <w:rPr>
          <w:rFonts w:asciiTheme="majorBidi" w:eastAsia="黑体" w:hAnsiTheme="majorBidi" w:cstheme="majorBidi"/>
          <w:sz w:val="21"/>
          <w:szCs w:val="21"/>
        </w:rPr>
      </w:pPr>
      <w:r w:rsidRPr="00BB65B8">
        <w:rPr>
          <w:rFonts w:asciiTheme="majorBidi" w:eastAsia="黑体" w:hAnsiTheme="majorBidi" w:cstheme="majorBidi"/>
          <w:noProof/>
          <w:sz w:val="21"/>
          <w:szCs w:val="21"/>
        </w:rPr>
        <w:lastRenderedPageBreak/>
        <w:drawing>
          <wp:inline distT="0" distB="0" distL="0" distR="0" wp14:anchorId="2CA780A2" wp14:editId="47867DF5">
            <wp:extent cx="4425351" cy="5292200"/>
            <wp:effectExtent l="0" t="0" r="0" b="3810"/>
            <wp:docPr id="6" name="图片 5">
              <a:extLst xmlns:a="http://schemas.openxmlformats.org/drawingml/2006/main">
                <a:ext uri="{FF2B5EF4-FFF2-40B4-BE49-F238E27FC236}">
                  <a16:creationId xmlns:a16="http://schemas.microsoft.com/office/drawing/2014/main" id="{369DFB31-1DB6-9923-AA2D-FEBBDF08EE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369DFB31-1DB6-9923-AA2D-FEBBDF08EE1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28623" cy="5296113"/>
                    </a:xfrm>
                    <a:prstGeom prst="rect">
                      <a:avLst/>
                    </a:prstGeom>
                  </pic:spPr>
                </pic:pic>
              </a:graphicData>
            </a:graphic>
          </wp:inline>
        </w:drawing>
      </w:r>
    </w:p>
    <w:p w14:paraId="12E1EEBD" w14:textId="6220C883" w:rsidR="0069231D" w:rsidRPr="00BB65B8" w:rsidRDefault="0069231D" w:rsidP="00D05018">
      <w:pPr>
        <w:tabs>
          <w:tab w:val="left" w:pos="1470"/>
        </w:tabs>
        <w:spacing w:line="360" w:lineRule="auto"/>
        <w:jc w:val="left"/>
        <w:rPr>
          <w:rFonts w:asciiTheme="majorBidi" w:eastAsia="黑体" w:hAnsiTheme="majorBidi" w:cstheme="majorBidi"/>
          <w:sz w:val="21"/>
          <w:szCs w:val="21"/>
        </w:rPr>
      </w:pPr>
      <w:r w:rsidRPr="00343C35">
        <w:rPr>
          <w:rFonts w:asciiTheme="majorBidi" w:hAnsiTheme="majorBidi" w:cstheme="majorBidi"/>
          <w:b/>
          <w:bCs/>
          <w:sz w:val="21"/>
          <w:szCs w:val="21"/>
        </w:rPr>
        <w:t>Appendix Fig. 9</w:t>
      </w:r>
      <w:r w:rsidR="00631598">
        <w:rPr>
          <w:rFonts w:asciiTheme="majorBidi" w:hAnsiTheme="majorBidi" w:cstheme="majorBidi" w:hint="eastAsia"/>
          <w:b/>
          <w:bCs/>
          <w:sz w:val="21"/>
          <w:szCs w:val="21"/>
        </w:rPr>
        <w:t>:</w:t>
      </w:r>
      <w:r w:rsidRPr="00343C35">
        <w:rPr>
          <w:rFonts w:asciiTheme="majorBidi" w:hAnsiTheme="majorBidi" w:cstheme="majorBidi"/>
          <w:sz w:val="21"/>
          <w:szCs w:val="21"/>
        </w:rPr>
        <w:t xml:space="preserve"> </w:t>
      </w:r>
      <w:r w:rsidRPr="00343C35">
        <w:rPr>
          <w:rFonts w:asciiTheme="majorBidi" w:eastAsia="黑体" w:hAnsiTheme="majorBidi" w:cstheme="majorBidi"/>
          <w:b/>
          <w:bCs/>
          <w:sz w:val="21"/>
          <w:szCs w:val="21"/>
        </w:rPr>
        <w:t>Fo</w:t>
      </w:r>
      <w:r w:rsidRPr="00BB65B8">
        <w:rPr>
          <w:rFonts w:asciiTheme="majorBidi" w:eastAsia="黑体" w:hAnsiTheme="majorBidi" w:cstheme="majorBidi"/>
          <w:b/>
          <w:bCs/>
          <w:sz w:val="21"/>
          <w:szCs w:val="21"/>
        </w:rPr>
        <w:t>ur models of urban-influenced areas</w:t>
      </w:r>
      <w:r w:rsidR="003A7EB7" w:rsidRPr="00BB65B8">
        <w:rPr>
          <w:rFonts w:asciiTheme="majorBidi" w:eastAsia="黑体" w:hAnsiTheme="majorBidi" w:cstheme="majorBidi"/>
          <w:b/>
          <w:bCs/>
          <w:sz w:val="21"/>
          <w:szCs w:val="21"/>
        </w:rPr>
        <w:t>.</w:t>
      </w:r>
      <w:r w:rsidR="009A1B24" w:rsidRPr="00BB65B8">
        <w:rPr>
          <w:rFonts w:asciiTheme="majorBidi" w:eastAsia="黑体" w:hAnsiTheme="majorBidi" w:cstheme="majorBidi"/>
          <w:b/>
          <w:bCs/>
          <w:sz w:val="21"/>
          <w:szCs w:val="21"/>
        </w:rPr>
        <w:t xml:space="preserve"> urban</w:t>
      </w:r>
      <w:r w:rsidR="009D49BA" w:rsidRPr="00BB65B8">
        <w:rPr>
          <w:rFonts w:asciiTheme="majorBidi" w:eastAsia="黑体" w:hAnsiTheme="majorBidi" w:cstheme="majorBidi"/>
          <w:b/>
          <w:bCs/>
          <w:sz w:val="21"/>
          <w:szCs w:val="21"/>
        </w:rPr>
        <w:t xml:space="preserve"> </w:t>
      </w:r>
      <w:r w:rsidR="009A1B24" w:rsidRPr="00BB65B8">
        <w:rPr>
          <w:rFonts w:asciiTheme="majorBidi" w:eastAsia="黑体" w:hAnsiTheme="majorBidi" w:cstheme="majorBidi"/>
          <w:b/>
          <w:bCs/>
          <w:sz w:val="21"/>
          <w:szCs w:val="21"/>
        </w:rPr>
        <w:t>influenced areas</w:t>
      </w:r>
      <w:r w:rsidR="009D49BA" w:rsidRPr="00BB65B8">
        <w:rPr>
          <w:rFonts w:asciiTheme="majorBidi" w:eastAsia="黑体" w:hAnsiTheme="majorBidi" w:cstheme="majorBidi"/>
          <w:b/>
          <w:bCs/>
          <w:sz w:val="21"/>
          <w:szCs w:val="21"/>
        </w:rPr>
        <w:t>. a,</w:t>
      </w:r>
      <w:r w:rsidR="009D49BA" w:rsidRPr="00BB65B8">
        <w:rPr>
          <w:rFonts w:asciiTheme="majorBidi" w:eastAsia="黑体" w:hAnsiTheme="majorBidi" w:cstheme="majorBidi"/>
          <w:sz w:val="21"/>
          <w:szCs w:val="21"/>
        </w:rPr>
        <w:t xml:space="preserve"> Urban-influenced areas defined by the Global Urban Boundary (GUB) based on a binary urban–rural framework. b, Urban</w:t>
      </w:r>
      <w:r w:rsidR="00FA1362" w:rsidRPr="00BB65B8">
        <w:rPr>
          <w:rFonts w:asciiTheme="majorBidi" w:eastAsia="黑体" w:hAnsiTheme="majorBidi" w:cstheme="majorBidi"/>
          <w:sz w:val="21"/>
          <w:szCs w:val="21"/>
        </w:rPr>
        <w:t xml:space="preserve"> </w:t>
      </w:r>
      <w:r w:rsidR="009D49BA" w:rsidRPr="00BB65B8">
        <w:rPr>
          <w:rFonts w:asciiTheme="majorBidi" w:eastAsia="黑体" w:hAnsiTheme="majorBidi" w:cstheme="majorBidi"/>
          <w:sz w:val="21"/>
          <w:szCs w:val="21"/>
        </w:rPr>
        <w:t>influenced areas derived from the Global Human Settlement Layer (GHSL) based on an urban</w:t>
      </w:r>
      <w:r w:rsidR="002B700A" w:rsidRPr="00BB65B8">
        <w:rPr>
          <w:rFonts w:asciiTheme="majorBidi" w:eastAsia="黑体" w:hAnsiTheme="majorBidi" w:cstheme="majorBidi"/>
          <w:sz w:val="21"/>
          <w:szCs w:val="21"/>
        </w:rPr>
        <w:t>-</w:t>
      </w:r>
      <w:r w:rsidR="009D49BA" w:rsidRPr="00BB65B8">
        <w:rPr>
          <w:rFonts w:asciiTheme="majorBidi" w:eastAsia="黑体" w:hAnsiTheme="majorBidi" w:cstheme="majorBidi"/>
          <w:sz w:val="21"/>
          <w:szCs w:val="21"/>
        </w:rPr>
        <w:t>rural gradient perspective.</w:t>
      </w:r>
      <w:r w:rsidR="001779D6" w:rsidRPr="00BB65B8">
        <w:rPr>
          <w:rFonts w:asciiTheme="majorBidi" w:eastAsia="黑体" w:hAnsiTheme="majorBidi" w:cstheme="majorBidi"/>
          <w:sz w:val="21"/>
          <w:szCs w:val="21"/>
        </w:rPr>
        <w:t xml:space="preserve"> </w:t>
      </w:r>
      <w:r w:rsidR="009D49BA" w:rsidRPr="00BB65B8">
        <w:rPr>
          <w:rFonts w:asciiTheme="majorBidi" w:eastAsia="黑体" w:hAnsiTheme="majorBidi" w:cstheme="majorBidi"/>
          <w:b/>
          <w:bCs/>
          <w:sz w:val="21"/>
          <w:szCs w:val="21"/>
        </w:rPr>
        <w:t>c,</w:t>
      </w:r>
      <w:r w:rsidR="009D49BA" w:rsidRPr="00BB65B8">
        <w:rPr>
          <w:rFonts w:asciiTheme="majorBidi" w:eastAsia="黑体" w:hAnsiTheme="majorBidi" w:cstheme="majorBidi"/>
          <w:sz w:val="21"/>
          <w:szCs w:val="21"/>
        </w:rPr>
        <w:t xml:space="preserve"> Urban</w:t>
      </w:r>
      <w:r w:rsidR="00606084" w:rsidRPr="00BB65B8">
        <w:rPr>
          <w:rFonts w:asciiTheme="majorBidi" w:eastAsia="黑体" w:hAnsiTheme="majorBidi" w:cstheme="majorBidi"/>
          <w:sz w:val="21"/>
          <w:szCs w:val="21"/>
        </w:rPr>
        <w:t xml:space="preserve"> </w:t>
      </w:r>
      <w:r w:rsidR="009D49BA" w:rsidRPr="00BB65B8">
        <w:rPr>
          <w:rFonts w:asciiTheme="majorBidi" w:eastAsia="黑体" w:hAnsiTheme="majorBidi" w:cstheme="majorBidi"/>
          <w:sz w:val="21"/>
          <w:szCs w:val="21"/>
        </w:rPr>
        <w:t>influenced areas represented by the Urban</w:t>
      </w:r>
      <w:r w:rsidR="009A5BA3" w:rsidRPr="00BB65B8">
        <w:rPr>
          <w:rFonts w:asciiTheme="majorBidi" w:eastAsia="黑体" w:hAnsiTheme="majorBidi" w:cstheme="majorBidi"/>
          <w:sz w:val="21"/>
          <w:szCs w:val="21"/>
        </w:rPr>
        <w:t>-</w:t>
      </w:r>
      <w:r w:rsidR="009D49BA" w:rsidRPr="00BB65B8">
        <w:rPr>
          <w:rFonts w:asciiTheme="majorBidi" w:eastAsia="黑体" w:hAnsiTheme="majorBidi" w:cstheme="majorBidi"/>
          <w:sz w:val="21"/>
          <w:szCs w:val="21"/>
        </w:rPr>
        <w:t>Rural Catchment (URC) product based on an urban</w:t>
      </w:r>
      <w:r w:rsidR="005044CC" w:rsidRPr="00BB65B8">
        <w:rPr>
          <w:rFonts w:asciiTheme="majorBidi" w:eastAsia="黑体" w:hAnsiTheme="majorBidi" w:cstheme="majorBidi"/>
          <w:sz w:val="21"/>
          <w:szCs w:val="21"/>
        </w:rPr>
        <w:t>-</w:t>
      </w:r>
      <w:r w:rsidR="009D49BA" w:rsidRPr="00BB65B8">
        <w:rPr>
          <w:rFonts w:asciiTheme="majorBidi" w:eastAsia="黑体" w:hAnsiTheme="majorBidi" w:cstheme="majorBidi"/>
          <w:sz w:val="21"/>
          <w:szCs w:val="21"/>
        </w:rPr>
        <w:t>rural continuum framework.</w:t>
      </w:r>
      <w:r w:rsidR="001779D6" w:rsidRPr="00BB65B8">
        <w:rPr>
          <w:rFonts w:asciiTheme="majorBidi" w:eastAsia="黑体" w:hAnsiTheme="majorBidi" w:cstheme="majorBidi"/>
          <w:sz w:val="21"/>
          <w:szCs w:val="21"/>
        </w:rPr>
        <w:t xml:space="preserve"> </w:t>
      </w:r>
      <w:r w:rsidR="009D49BA" w:rsidRPr="00BB65B8">
        <w:rPr>
          <w:rFonts w:asciiTheme="majorBidi" w:eastAsia="黑体" w:hAnsiTheme="majorBidi" w:cstheme="majorBidi"/>
          <w:b/>
          <w:bCs/>
          <w:sz w:val="21"/>
          <w:szCs w:val="21"/>
        </w:rPr>
        <w:t>d,</w:t>
      </w:r>
      <w:r w:rsidR="009D49BA" w:rsidRPr="00BB65B8">
        <w:rPr>
          <w:rFonts w:asciiTheme="majorBidi" w:eastAsia="黑体" w:hAnsiTheme="majorBidi" w:cstheme="majorBidi"/>
          <w:sz w:val="21"/>
          <w:szCs w:val="21"/>
        </w:rPr>
        <w:t xml:space="preserve"> Urbanity-based urban</w:t>
      </w:r>
      <w:r w:rsidR="00FB7935" w:rsidRPr="00BB65B8">
        <w:rPr>
          <w:rFonts w:asciiTheme="majorBidi" w:eastAsia="黑体" w:hAnsiTheme="majorBidi" w:cstheme="majorBidi"/>
          <w:sz w:val="21"/>
          <w:szCs w:val="21"/>
        </w:rPr>
        <w:t xml:space="preserve"> </w:t>
      </w:r>
      <w:r w:rsidR="009D49BA" w:rsidRPr="00BB65B8">
        <w:rPr>
          <w:rFonts w:asciiTheme="majorBidi" w:eastAsia="黑体" w:hAnsiTheme="majorBidi" w:cstheme="majorBidi"/>
          <w:sz w:val="21"/>
          <w:szCs w:val="21"/>
        </w:rPr>
        <w:t>influenced areas mapped using the continuum of urbanity, in which grid cells were classified into two categories based on the median value of the urbanity index due to its multimodal distribution.</w:t>
      </w:r>
      <w:r w:rsidR="001779D6" w:rsidRPr="00BB65B8">
        <w:rPr>
          <w:rFonts w:asciiTheme="majorBidi" w:eastAsia="黑体" w:hAnsiTheme="majorBidi" w:cstheme="majorBidi"/>
          <w:sz w:val="21"/>
          <w:szCs w:val="21"/>
        </w:rPr>
        <w:t xml:space="preserve"> </w:t>
      </w:r>
      <w:r w:rsidR="009D49BA" w:rsidRPr="00BB65B8">
        <w:rPr>
          <w:rFonts w:asciiTheme="majorBidi" w:eastAsia="黑体" w:hAnsiTheme="majorBidi" w:cstheme="majorBidi"/>
          <w:b/>
          <w:bCs/>
          <w:sz w:val="21"/>
          <w:szCs w:val="21"/>
        </w:rPr>
        <w:t>e,</w:t>
      </w:r>
      <w:r w:rsidR="009D49BA" w:rsidRPr="00BB65B8">
        <w:rPr>
          <w:rFonts w:asciiTheme="majorBidi" w:eastAsia="黑体" w:hAnsiTheme="majorBidi" w:cstheme="majorBidi"/>
          <w:sz w:val="21"/>
          <w:szCs w:val="21"/>
        </w:rPr>
        <w:t xml:space="preserve"> Comparison of the proportion of urban-influenced grids under the four models.</w:t>
      </w:r>
    </w:p>
    <w:p w14:paraId="465DADD0" w14:textId="77777777" w:rsidR="0069231D" w:rsidRPr="00BB65B8" w:rsidRDefault="0069231D" w:rsidP="00D05018">
      <w:pPr>
        <w:tabs>
          <w:tab w:val="left" w:pos="1470"/>
        </w:tabs>
        <w:spacing w:line="360" w:lineRule="auto"/>
        <w:jc w:val="left"/>
        <w:rPr>
          <w:rFonts w:asciiTheme="majorBidi" w:eastAsia="黑体" w:hAnsiTheme="majorBidi" w:cstheme="majorBidi"/>
          <w:sz w:val="21"/>
          <w:szCs w:val="21"/>
        </w:rPr>
      </w:pPr>
    </w:p>
    <w:p w14:paraId="60852BE6" w14:textId="461849FD" w:rsidR="004F349C" w:rsidRPr="00BB65B8" w:rsidRDefault="004F349C" w:rsidP="00D05018">
      <w:pPr>
        <w:pStyle w:val="2"/>
        <w:numPr>
          <w:ilvl w:val="1"/>
          <w:numId w:val="2"/>
        </w:numPr>
        <w:tabs>
          <w:tab w:val="left" w:pos="1470"/>
        </w:tabs>
        <w:spacing w:line="360" w:lineRule="auto"/>
        <w:jc w:val="left"/>
        <w:rPr>
          <w:rFonts w:asciiTheme="majorBidi" w:hAnsiTheme="majorBidi"/>
          <w:sz w:val="21"/>
          <w:szCs w:val="21"/>
        </w:rPr>
      </w:pPr>
      <w:r w:rsidRPr="00BB65B8">
        <w:rPr>
          <w:rFonts w:asciiTheme="majorBidi" w:hAnsiTheme="majorBidi"/>
          <w:sz w:val="21"/>
          <w:szCs w:val="21"/>
        </w:rPr>
        <w:lastRenderedPageBreak/>
        <w:t>Calibrated with national census data at county level</w:t>
      </w:r>
    </w:p>
    <w:p w14:paraId="0E16FE19" w14:textId="6F57AD7D" w:rsidR="00D2581D" w:rsidRPr="00BB65B8" w:rsidRDefault="002745D4"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 xml:space="preserve">Given the need to measure rural population change and migration dynamics, a secondary calibration of gridded population data is essential. Existing studies have widely used and compared major global population datasets such as WorldPop, GWP, GRUMP, LandScan, and GHS-POP for their suitability in different contexts </w:t>
      </w:r>
      <w:r w:rsidRPr="00BB65B8">
        <w:rPr>
          <w:rFonts w:asciiTheme="majorBidi" w:hAnsiTheme="majorBidi" w:cstheme="majorBidi"/>
          <w:sz w:val="21"/>
          <w:szCs w:val="21"/>
        </w:rPr>
        <w:fldChar w:fldCharType="begin">
          <w:fldData xml:space="preserve">PEVuZE5vdGU+PENpdGU+PEF1dGhvcj5YdTwvQXV0aG9yPjxZZWFyPjIwMjE8L1llYXI+PFJlY051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</w:fldData>
        </w:fldChar>
      </w:r>
      <w:r w:rsidR="003D4639" w:rsidRPr="00BB65B8">
        <w:rPr>
          <w:rFonts w:asciiTheme="majorBidi" w:hAnsiTheme="majorBidi" w:cstheme="majorBidi"/>
          <w:sz w:val="21"/>
          <w:szCs w:val="21"/>
        </w:rPr>
        <w:instrText xml:space="preserve"> ADDIN EN.CITE </w:instrText>
      </w:r>
      <w:r w:rsidR="003D4639" w:rsidRPr="00BB65B8">
        <w:rPr>
          <w:rFonts w:asciiTheme="majorBidi" w:hAnsiTheme="majorBidi" w:cstheme="majorBidi"/>
          <w:sz w:val="21"/>
          <w:szCs w:val="21"/>
        </w:rPr>
        <w:fldChar w:fldCharType="begin">
          <w:fldData xml:space="preserve">PEVuZE5vdGU+PENpdGU+PEF1dGhvcj5YdTwvQXV0aG9yPjxZZWFyPjIwMjE8L1llYXI+PFJlY051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</w:fldData>
        </w:fldChar>
      </w:r>
      <w:r w:rsidR="003D4639" w:rsidRPr="00BB65B8">
        <w:rPr>
          <w:rFonts w:asciiTheme="majorBidi" w:hAnsiTheme="majorBidi" w:cstheme="majorBidi"/>
          <w:sz w:val="21"/>
          <w:szCs w:val="21"/>
        </w:rPr>
        <w:instrText xml:space="preserve"> ADDIN EN.CITE.DATA </w:instrText>
      </w:r>
      <w:r w:rsidR="003D4639" w:rsidRPr="00BB65B8">
        <w:rPr>
          <w:rFonts w:asciiTheme="majorBidi" w:hAnsiTheme="majorBidi" w:cstheme="majorBidi"/>
          <w:sz w:val="21"/>
          <w:szCs w:val="21"/>
        </w:rPr>
      </w:r>
      <w:r w:rsidR="003D4639" w:rsidRPr="00BB65B8">
        <w:rPr>
          <w:rFonts w:asciiTheme="majorBidi" w:hAnsiTheme="majorBidi" w:cstheme="majorBidi"/>
          <w:sz w:val="21"/>
          <w:szCs w:val="21"/>
        </w:rPr>
        <w:fldChar w:fldCharType="end"/>
      </w:r>
      <w:r w:rsidRPr="00BB65B8">
        <w:rPr>
          <w:rFonts w:asciiTheme="majorBidi" w:hAnsiTheme="majorBidi" w:cstheme="majorBidi"/>
          <w:sz w:val="21"/>
          <w:szCs w:val="21"/>
        </w:rPr>
      </w:r>
      <w:r w:rsidRPr="00BB65B8">
        <w:rPr>
          <w:rFonts w:asciiTheme="majorBidi" w:hAnsiTheme="majorBidi" w:cstheme="majorBidi"/>
          <w:sz w:val="21"/>
          <w:szCs w:val="21"/>
        </w:rPr>
        <w:fldChar w:fldCharType="separate"/>
      </w:r>
      <w:r w:rsidR="003D4639" w:rsidRPr="00BB65B8">
        <w:rPr>
          <w:rFonts w:asciiTheme="majorBidi" w:hAnsiTheme="majorBidi" w:cstheme="majorBidi"/>
          <w:noProof/>
          <w:sz w:val="21"/>
          <w:szCs w:val="21"/>
          <w:vertAlign w:val="superscript"/>
        </w:rPr>
        <w:t>5-8</w:t>
      </w:r>
      <w:r w:rsidRPr="00BB65B8">
        <w:rPr>
          <w:rFonts w:asciiTheme="majorBidi" w:hAnsiTheme="majorBidi" w:cstheme="majorBidi"/>
          <w:sz w:val="21"/>
          <w:szCs w:val="21"/>
        </w:rPr>
        <w:fldChar w:fldCharType="end"/>
      </w:r>
      <w:r w:rsidRPr="00BB65B8">
        <w:rPr>
          <w:rFonts w:asciiTheme="majorBidi" w:hAnsiTheme="majorBidi" w:cstheme="majorBidi"/>
          <w:sz w:val="21"/>
          <w:szCs w:val="21"/>
        </w:rPr>
        <w:t>. Among them, GHS-POP and WorldPop offer relatively comprehensive coverage and detailed information. Therefore, this study selected the GHS-POP product as the primary source of spatial population distribution. We further calibrated the dataset using county-level census data for the years 2010 and 2020 in China, deriving correction coefficients to more accurately reflect the actual population distribution across space.</w:t>
      </w:r>
    </w:p>
    <w:p w14:paraId="668A695F" w14:textId="77777777" w:rsidR="002745D4" w:rsidRPr="00BB65B8" w:rsidRDefault="002745D4" w:rsidP="00D05018">
      <w:pPr>
        <w:spacing w:line="360" w:lineRule="auto"/>
        <w:jc w:val="left"/>
        <w:rPr>
          <w:rFonts w:asciiTheme="majorBidi" w:hAnsiTheme="majorBidi" w:cstheme="majorBidi"/>
          <w:sz w:val="21"/>
          <w:szCs w:val="21"/>
        </w:rPr>
      </w:pPr>
    </w:p>
    <w:p w14:paraId="159017BA" w14:textId="77777777" w:rsidR="00620DE9" w:rsidRPr="00BB65B8" w:rsidRDefault="00620DE9"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First, we aggregated the original GHS-POP raster values within each county boundary to calculate the raw population sum for each unit. Then, we derived a correction coefficient for each county by dividing the census-reported population by the corresponding GHS-POP total. This coefficient represents the proportional difference between the raster-derived and census-reported population figures.</w:t>
      </w:r>
    </w:p>
    <w:p w14:paraId="53EB0905" w14:textId="77777777" w:rsidR="00620DE9" w:rsidRPr="00BB65B8" w:rsidRDefault="00620DE9" w:rsidP="00D05018">
      <w:pPr>
        <w:spacing w:line="360" w:lineRule="auto"/>
        <w:jc w:val="left"/>
        <w:rPr>
          <w:rFonts w:asciiTheme="majorBidi" w:hAnsiTheme="majorBidi" w:cstheme="majorBidi"/>
          <w:sz w:val="21"/>
          <w:szCs w:val="21"/>
        </w:rPr>
      </w:pPr>
    </w:p>
    <w:p w14:paraId="2AE7A653" w14:textId="52728BAD" w:rsidR="00620DE9" w:rsidRPr="00BB65B8" w:rsidRDefault="00620DE9"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Finally, we applied the county-specific correction coefficient to all GHS-POP grid cells within the corresponding administrative unit, ensuring that the adjusted population raster totals match the census data exactly at the county level.</w:t>
      </w:r>
    </w:p>
    <w:p w14:paraId="47EEC2E7" w14:textId="77777777" w:rsidR="00174513" w:rsidRPr="00BB65B8" w:rsidRDefault="00174513" w:rsidP="00D05018">
      <w:pPr>
        <w:spacing w:line="360" w:lineRule="auto"/>
        <w:jc w:val="left"/>
        <w:rPr>
          <w:rFonts w:asciiTheme="majorBidi" w:hAnsiTheme="majorBidi" w:cstheme="majorBidi"/>
          <w:sz w:val="21"/>
          <w:szCs w:val="21"/>
        </w:rPr>
      </w:pPr>
    </w:p>
    <w:p w14:paraId="063DE015" w14:textId="27983A28" w:rsidR="00174513" w:rsidRPr="00BB65B8" w:rsidRDefault="00174513"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 xml:space="preserve">First, we aggregated the original GHS-POP raster values within each county boundary to calculate the raw population sum for each administrative unit. Let </w:t>
      </w:r>
      <m:oMath>
        <m:sSubSup>
          <m:sSubSupPr>
            <m:ctrlPr>
              <w:rPr>
                <w:rFonts w:ascii="Cambria Math" w:hAnsi="Cambria Math" w:cstheme="majorBidi"/>
                <w:sz w:val="21"/>
                <w:szCs w:val="21"/>
              </w:rPr>
            </m:ctrlPr>
          </m:sSubSupPr>
          <m:e>
            <m:r>
              <w:rPr>
                <w:rFonts w:ascii="Cambria Math" w:hAnsi="Cambria Math" w:cstheme="majorBidi"/>
                <w:sz w:val="21"/>
                <w:szCs w:val="21"/>
              </w:rPr>
              <m:t>P</m:t>
            </m:r>
          </m:e>
          <m:sub>
            <m:r>
              <w:rPr>
                <w:rFonts w:ascii="Cambria Math" w:hAnsi="Cambria Math" w:cstheme="majorBidi"/>
                <w:sz w:val="21"/>
                <w:szCs w:val="21"/>
              </w:rPr>
              <m:t>r</m:t>
            </m:r>
          </m:sub>
          <m:sup>
            <m:r>
              <m:rPr>
                <m:sty m:val="p"/>
              </m:rPr>
              <w:rPr>
                <w:rFonts w:ascii="Cambria Math" w:hAnsi="Cambria Math" w:cstheme="majorBidi"/>
                <w:sz w:val="21"/>
                <w:szCs w:val="21"/>
              </w:rPr>
              <m:t>raw</m:t>
            </m:r>
          </m:sup>
        </m:sSubSup>
      </m:oMath>
      <w:r w:rsidRPr="00BB65B8">
        <w:rPr>
          <w:rFonts w:asciiTheme="majorBidi" w:hAnsiTheme="majorBidi" w:cstheme="majorBidi"/>
          <w:sz w:val="21"/>
          <w:szCs w:val="21"/>
        </w:rPr>
        <w:t xml:space="preserve"> denote the original GHS-POP population value in raster cell </w:t>
      </w:r>
      <w:r w:rsidRPr="00BB65B8">
        <w:rPr>
          <w:rFonts w:asciiTheme="majorBidi" w:hAnsiTheme="majorBidi" w:cstheme="majorBidi"/>
          <w:i/>
          <w:iCs/>
          <w:sz w:val="21"/>
          <w:szCs w:val="21"/>
        </w:rPr>
        <w:t>r</w:t>
      </w:r>
      <w:r w:rsidRPr="00BB65B8">
        <w:rPr>
          <w:rFonts w:asciiTheme="majorBidi" w:hAnsiTheme="majorBidi" w:cstheme="majorBidi"/>
          <w:sz w:val="21"/>
          <w:szCs w:val="21"/>
        </w:rPr>
        <w:t xml:space="preserve">, and let </w:t>
      </w:r>
      <m:oMath>
        <m:sSubSup>
          <m:sSubSupPr>
            <m:ctrlPr>
              <w:rPr>
                <w:rFonts w:ascii="Cambria Math" w:hAnsi="Cambria Math" w:cstheme="majorBidi"/>
                <w:sz w:val="21"/>
                <w:szCs w:val="21"/>
              </w:rPr>
            </m:ctrlPr>
          </m:sSubSupPr>
          <m:e>
            <m:r>
              <w:rPr>
                <w:rFonts w:ascii="Cambria Math" w:hAnsi="Cambria Math" w:cstheme="majorBidi"/>
                <w:sz w:val="21"/>
                <w:szCs w:val="21"/>
              </w:rPr>
              <m:t>S</m:t>
            </m:r>
          </m:e>
          <m:sub>
            <m:r>
              <w:rPr>
                <w:rFonts w:ascii="Cambria Math" w:hAnsi="Cambria Math" w:cstheme="majorBidi"/>
                <w:sz w:val="21"/>
                <w:szCs w:val="21"/>
              </w:rPr>
              <m:t>z</m:t>
            </m:r>
          </m:sub>
          <m:sup>
            <m:r>
              <m:rPr>
                <m:sty m:val="p"/>
              </m:rPr>
              <w:rPr>
                <w:rFonts w:ascii="Cambria Math" w:hAnsi="Cambria Math" w:cstheme="majorBidi"/>
                <w:sz w:val="21"/>
                <w:szCs w:val="21"/>
              </w:rPr>
              <m:t>raw</m:t>
            </m:r>
          </m:sup>
        </m:sSubSup>
      </m:oMath>
      <w:r w:rsidRPr="00BB65B8">
        <w:rPr>
          <w:rFonts w:asciiTheme="majorBidi" w:hAnsiTheme="majorBidi" w:cstheme="majorBidi"/>
          <w:sz w:val="21"/>
          <w:szCs w:val="21"/>
        </w:rPr>
        <w:t xml:space="preserve">be the sum of all raster values within county </w:t>
      </w:r>
      <w:r w:rsidRPr="00BB65B8">
        <w:rPr>
          <w:rFonts w:asciiTheme="majorBidi" w:hAnsiTheme="majorBidi" w:cstheme="majorBidi"/>
          <w:i/>
          <w:iCs/>
          <w:sz w:val="21"/>
          <w:szCs w:val="21"/>
        </w:rPr>
        <w:t>z</w:t>
      </w:r>
      <w:r w:rsidRPr="00BB65B8">
        <w:rPr>
          <w:rFonts w:asciiTheme="majorBidi" w:hAnsiTheme="majorBidi" w:cstheme="majorBidi"/>
          <w:sz w:val="21"/>
          <w:szCs w:val="21"/>
        </w:rPr>
        <w:t>, i.e.,</w:t>
      </w:r>
    </w:p>
    <w:p w14:paraId="0BF6587C" w14:textId="2FA639D8" w:rsidR="00174513" w:rsidRPr="00BB65B8" w:rsidRDefault="00000000" w:rsidP="00D05018">
      <w:pPr>
        <w:spacing w:line="360" w:lineRule="auto"/>
        <w:jc w:val="left"/>
        <w:rPr>
          <w:rFonts w:asciiTheme="majorBidi" w:hAnsiTheme="majorBidi" w:cstheme="majorBidi"/>
          <w:sz w:val="21"/>
          <w:szCs w:val="21"/>
        </w:rPr>
      </w:pPr>
      <m:oMath>
        <m:sSubSup>
          <m:sSubSupPr>
            <m:ctrlPr>
              <w:rPr>
                <w:rFonts w:ascii="Cambria Math" w:hAnsi="Cambria Math" w:cstheme="majorBidi"/>
                <w:sz w:val="21"/>
                <w:szCs w:val="21"/>
              </w:rPr>
            </m:ctrlPr>
          </m:sSubSupPr>
          <m:e>
            <m:r>
              <w:rPr>
                <w:rFonts w:ascii="Cambria Math" w:hAnsi="Cambria Math" w:cstheme="majorBidi"/>
                <w:sz w:val="21"/>
                <w:szCs w:val="21"/>
              </w:rPr>
              <m:t>S</m:t>
            </m:r>
          </m:e>
          <m:sub>
            <m:r>
              <w:rPr>
                <w:rFonts w:ascii="Cambria Math" w:hAnsi="Cambria Math" w:cstheme="majorBidi"/>
                <w:sz w:val="21"/>
                <w:szCs w:val="21"/>
              </w:rPr>
              <m:t>z</m:t>
            </m:r>
          </m:sub>
          <m:sup>
            <m:r>
              <m:rPr>
                <m:sty m:val="p"/>
              </m:rPr>
              <w:rPr>
                <w:rFonts w:ascii="Cambria Math" w:hAnsi="Cambria Math" w:cstheme="majorBidi"/>
                <w:sz w:val="21"/>
                <w:szCs w:val="21"/>
              </w:rPr>
              <m:t>raw</m:t>
            </m:r>
          </m:sup>
        </m:sSubSup>
        <m:r>
          <w:rPr>
            <w:rFonts w:ascii="Cambria Math" w:hAnsi="Cambria Math" w:cstheme="majorBidi"/>
            <w:sz w:val="21"/>
            <w:szCs w:val="21"/>
          </w:rPr>
          <m:t>=</m:t>
        </m:r>
        <m:nary>
          <m:naryPr>
            <m:chr m:val="∑"/>
            <m:limLoc m:val="undOvr"/>
            <m:grow m:val="1"/>
            <m:supHide m:val="1"/>
            <m:ctrlPr>
              <w:rPr>
                <w:rFonts w:ascii="Cambria Math" w:hAnsi="Cambria Math" w:cstheme="majorBidi"/>
                <w:sz w:val="21"/>
                <w:szCs w:val="21"/>
              </w:rPr>
            </m:ctrlPr>
          </m:naryPr>
          <m:sub>
            <m:r>
              <w:rPr>
                <w:rFonts w:ascii="Cambria Math" w:hAnsi="Cambria Math" w:cstheme="majorBidi"/>
                <w:sz w:val="21"/>
                <w:szCs w:val="21"/>
              </w:rPr>
              <m:t>r∈z</m:t>
            </m:r>
          </m:sub>
          <m:sup/>
          <m:e>
            <m:r>
              <w:rPr>
                <w:rFonts w:ascii="Cambria Math" w:hAnsi="Cambria Math" w:cstheme="majorBidi"/>
                <w:sz w:val="21"/>
                <w:szCs w:val="21"/>
              </w:rPr>
              <m:t> </m:t>
            </m:r>
          </m:e>
        </m:nary>
        <m:sSubSup>
          <m:sSubSupPr>
            <m:ctrlPr>
              <w:rPr>
                <w:rFonts w:ascii="Cambria Math" w:hAnsi="Cambria Math" w:cstheme="majorBidi"/>
                <w:sz w:val="21"/>
                <w:szCs w:val="21"/>
              </w:rPr>
            </m:ctrlPr>
          </m:sSubSupPr>
          <m:e>
            <m:r>
              <w:rPr>
                <w:rFonts w:ascii="Cambria Math" w:hAnsi="Cambria Math" w:cstheme="majorBidi"/>
                <w:sz w:val="21"/>
                <w:szCs w:val="21"/>
              </w:rPr>
              <m:t>P</m:t>
            </m:r>
          </m:e>
          <m:sub>
            <m:r>
              <w:rPr>
                <w:rFonts w:ascii="Cambria Math" w:hAnsi="Cambria Math" w:cstheme="majorBidi"/>
                <w:sz w:val="21"/>
                <w:szCs w:val="21"/>
              </w:rPr>
              <m:t>r</m:t>
            </m:r>
          </m:sub>
          <m:sup>
            <m:r>
              <m:rPr>
                <m:sty m:val="p"/>
              </m:rPr>
              <w:rPr>
                <w:rFonts w:ascii="Cambria Math" w:hAnsi="Cambria Math" w:cstheme="majorBidi"/>
                <w:sz w:val="21"/>
                <w:szCs w:val="21"/>
              </w:rPr>
              <m:t>raw</m:t>
            </m:r>
          </m:sup>
        </m:sSubSup>
      </m:oMath>
      <w:r w:rsidR="00EE7373" w:rsidRPr="00BB65B8">
        <w:rPr>
          <w:rFonts w:asciiTheme="majorBidi" w:hAnsiTheme="majorBidi" w:cstheme="majorBidi"/>
          <w:sz w:val="21"/>
          <w:szCs w:val="21"/>
        </w:rPr>
        <w:t xml:space="preserve">                       </w:t>
      </w:r>
      <w:r w:rsidR="005310AD" w:rsidRPr="00BB65B8">
        <w:rPr>
          <w:rFonts w:asciiTheme="majorBidi" w:hAnsiTheme="majorBidi" w:cstheme="majorBidi"/>
          <w:sz w:val="21"/>
          <w:szCs w:val="21"/>
        </w:rPr>
        <w:t xml:space="preserve"> </w:t>
      </w:r>
      <w:r w:rsidR="00DC0096" w:rsidRPr="00BB65B8">
        <w:rPr>
          <w:rFonts w:asciiTheme="majorBidi" w:hAnsiTheme="majorBidi" w:cstheme="majorBidi"/>
          <w:sz w:val="21"/>
          <w:szCs w:val="21"/>
        </w:rPr>
        <w:t xml:space="preserve">                            </w:t>
      </w:r>
      <w:r w:rsidR="00EE7373" w:rsidRPr="00BB65B8">
        <w:rPr>
          <w:rFonts w:asciiTheme="majorBidi" w:hAnsiTheme="majorBidi" w:cstheme="majorBidi"/>
          <w:sz w:val="21"/>
          <w:szCs w:val="21"/>
        </w:rPr>
        <w:t xml:space="preserve">   </w:t>
      </w:r>
      <w:r w:rsidR="00EE7373" w:rsidRPr="00BB65B8">
        <w:rPr>
          <w:rFonts w:asciiTheme="majorBidi" w:hAnsiTheme="majorBidi" w:cstheme="majorBidi"/>
          <w:sz w:val="21"/>
          <w:szCs w:val="21"/>
        </w:rPr>
        <w:t>（</w:t>
      </w:r>
      <w:r w:rsidR="00EE7373" w:rsidRPr="00BB65B8">
        <w:rPr>
          <w:rFonts w:asciiTheme="majorBidi" w:hAnsiTheme="majorBidi" w:cstheme="majorBidi"/>
          <w:sz w:val="21"/>
          <w:szCs w:val="21"/>
        </w:rPr>
        <w:t>1</w:t>
      </w:r>
      <w:r w:rsidR="00EE7373" w:rsidRPr="00BB65B8">
        <w:rPr>
          <w:rFonts w:asciiTheme="majorBidi" w:hAnsiTheme="majorBidi" w:cstheme="majorBidi"/>
          <w:sz w:val="21"/>
          <w:szCs w:val="21"/>
        </w:rPr>
        <w:t>）</w:t>
      </w:r>
    </w:p>
    <w:p w14:paraId="6EAF0542" w14:textId="1038B00D" w:rsidR="00C857E1" w:rsidRPr="00BB65B8" w:rsidRDefault="00C857E1"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 xml:space="preserve">We then derived a correction coefficient </w:t>
      </w:r>
      <m:oMath>
        <m:sSub>
          <m:sSubPr>
            <m:ctrlPr>
              <w:rPr>
                <w:rFonts w:ascii="Cambria Math" w:hAnsi="Cambria Math" w:cstheme="majorBidi"/>
                <w:sz w:val="21"/>
                <w:szCs w:val="21"/>
              </w:rPr>
            </m:ctrlPr>
          </m:sSubPr>
          <m:e>
            <m:r>
              <w:rPr>
                <w:rFonts w:ascii="Cambria Math" w:hAnsi="Cambria Math" w:cstheme="majorBidi"/>
                <w:sz w:val="21"/>
                <w:szCs w:val="21"/>
              </w:rPr>
              <m:t>α</m:t>
            </m:r>
          </m:e>
          <m:sub>
            <m:r>
              <w:rPr>
                <w:rFonts w:ascii="Cambria Math" w:hAnsi="Cambria Math" w:cstheme="majorBidi"/>
                <w:sz w:val="21"/>
                <w:szCs w:val="21"/>
              </w:rPr>
              <m:t>z</m:t>
            </m:r>
          </m:sub>
        </m:sSub>
      </m:oMath>
      <w:r w:rsidR="007D18B8" w:rsidRPr="00BB65B8">
        <w:rPr>
          <w:rFonts w:asciiTheme="majorBidi" w:hAnsiTheme="majorBidi" w:cstheme="majorBidi"/>
          <w:sz w:val="21"/>
          <w:szCs w:val="21"/>
        </w:rPr>
        <w:t xml:space="preserve"> </w:t>
      </w:r>
      <w:r w:rsidRPr="00BB65B8">
        <w:rPr>
          <w:rFonts w:asciiTheme="majorBidi" w:hAnsiTheme="majorBidi" w:cstheme="majorBidi"/>
          <w:sz w:val="21"/>
          <w:szCs w:val="21"/>
        </w:rPr>
        <w:t xml:space="preserve">for each county by comparing the census-reported population </w:t>
      </w:r>
      <m:oMath>
        <m:sSubSup>
          <m:sSubSupPr>
            <m:ctrlPr>
              <w:rPr>
                <w:rFonts w:ascii="Cambria Math" w:hAnsi="Cambria Math" w:cstheme="majorBidi"/>
                <w:sz w:val="21"/>
                <w:szCs w:val="21"/>
              </w:rPr>
            </m:ctrlPr>
          </m:sSubSupPr>
          <m:e>
            <m:r>
              <w:rPr>
                <w:rFonts w:ascii="Cambria Math" w:hAnsi="Cambria Math" w:cstheme="majorBidi"/>
                <w:sz w:val="21"/>
                <w:szCs w:val="21"/>
              </w:rPr>
              <m:t>P</m:t>
            </m:r>
          </m:e>
          <m:sub>
            <m:r>
              <w:rPr>
                <w:rFonts w:ascii="Cambria Math" w:hAnsi="Cambria Math" w:cstheme="majorBidi"/>
                <w:sz w:val="21"/>
                <w:szCs w:val="21"/>
              </w:rPr>
              <m:t>z</m:t>
            </m:r>
          </m:sub>
          <m:sup>
            <m:r>
              <m:rPr>
                <m:sty m:val="p"/>
              </m:rPr>
              <w:rPr>
                <w:rFonts w:ascii="Cambria Math" w:hAnsi="Cambria Math" w:cstheme="majorBidi"/>
                <w:sz w:val="21"/>
                <w:szCs w:val="21"/>
              </w:rPr>
              <m:t>census</m:t>
            </m:r>
          </m:sup>
        </m:sSubSup>
      </m:oMath>
      <w:r w:rsidRPr="00BB65B8">
        <w:rPr>
          <w:rFonts w:asciiTheme="majorBidi" w:hAnsiTheme="majorBidi" w:cstheme="majorBidi"/>
          <w:sz w:val="21"/>
          <w:szCs w:val="21"/>
        </w:rPr>
        <w:t xml:space="preserve"> with the GHS-POP total:</w:t>
      </w:r>
    </w:p>
    <w:p w14:paraId="237F9298" w14:textId="29FFAA17" w:rsidR="00C857E1" w:rsidRPr="00BB65B8" w:rsidRDefault="00000000" w:rsidP="00D05018">
      <w:pPr>
        <w:spacing w:line="360" w:lineRule="auto"/>
        <w:jc w:val="left"/>
        <w:rPr>
          <w:rFonts w:asciiTheme="majorBidi" w:hAnsiTheme="majorBidi" w:cstheme="majorBidi"/>
          <w:sz w:val="21"/>
          <w:szCs w:val="21"/>
        </w:rPr>
      </w:pPr>
      <m:oMath>
        <m:sSub>
          <m:sSubPr>
            <m:ctrlPr>
              <w:rPr>
                <w:rFonts w:ascii="Cambria Math" w:hAnsi="Cambria Math" w:cstheme="majorBidi"/>
                <w:sz w:val="21"/>
                <w:szCs w:val="21"/>
              </w:rPr>
            </m:ctrlPr>
          </m:sSubPr>
          <m:e>
            <m:r>
              <w:rPr>
                <w:rFonts w:ascii="Cambria Math" w:hAnsi="Cambria Math" w:cstheme="majorBidi"/>
                <w:sz w:val="21"/>
                <w:szCs w:val="21"/>
              </w:rPr>
              <m:t>α</m:t>
            </m:r>
          </m:e>
          <m:sub>
            <m:r>
              <w:rPr>
                <w:rFonts w:ascii="Cambria Math" w:hAnsi="Cambria Math" w:cstheme="majorBidi"/>
                <w:sz w:val="21"/>
                <w:szCs w:val="21"/>
              </w:rPr>
              <m:t>z</m:t>
            </m:r>
          </m:sub>
        </m:sSub>
        <m:r>
          <w:rPr>
            <w:rFonts w:ascii="Cambria Math" w:hAnsi="Cambria Math" w:cstheme="majorBidi"/>
            <w:sz w:val="21"/>
            <w:szCs w:val="21"/>
          </w:rPr>
          <m:t>=</m:t>
        </m:r>
        <m:f>
          <m:fPr>
            <m:ctrlPr>
              <w:rPr>
                <w:rFonts w:ascii="Cambria Math" w:hAnsi="Cambria Math" w:cstheme="majorBidi"/>
                <w:sz w:val="21"/>
                <w:szCs w:val="21"/>
              </w:rPr>
            </m:ctrlPr>
          </m:fPr>
          <m:num>
            <m:sSubSup>
              <m:sSubSupPr>
                <m:ctrlPr>
                  <w:rPr>
                    <w:rFonts w:ascii="Cambria Math" w:hAnsi="Cambria Math" w:cstheme="majorBidi"/>
                    <w:sz w:val="21"/>
                    <w:szCs w:val="21"/>
                  </w:rPr>
                </m:ctrlPr>
              </m:sSubSupPr>
              <m:e>
                <m:r>
                  <w:rPr>
                    <w:rFonts w:ascii="Cambria Math" w:hAnsi="Cambria Math" w:cstheme="majorBidi"/>
                    <w:sz w:val="21"/>
                    <w:szCs w:val="21"/>
                  </w:rPr>
                  <m:t>P</m:t>
                </m:r>
              </m:e>
              <m:sub>
                <m:r>
                  <w:rPr>
                    <w:rFonts w:ascii="Cambria Math" w:hAnsi="Cambria Math" w:cstheme="majorBidi"/>
                    <w:sz w:val="21"/>
                    <w:szCs w:val="21"/>
                  </w:rPr>
                  <m:t>z</m:t>
                </m:r>
              </m:sub>
              <m:sup>
                <m:r>
                  <m:rPr>
                    <m:sty m:val="p"/>
                  </m:rPr>
                  <w:rPr>
                    <w:rFonts w:ascii="Cambria Math" w:hAnsi="Cambria Math" w:cstheme="majorBidi"/>
                    <w:sz w:val="21"/>
                    <w:szCs w:val="21"/>
                  </w:rPr>
                  <m:t>census</m:t>
                </m:r>
              </m:sup>
            </m:sSubSup>
          </m:num>
          <m:den>
            <m:sSubSup>
              <m:sSubSupPr>
                <m:ctrlPr>
                  <w:rPr>
                    <w:rFonts w:ascii="Cambria Math" w:hAnsi="Cambria Math" w:cstheme="majorBidi"/>
                    <w:sz w:val="21"/>
                    <w:szCs w:val="21"/>
                  </w:rPr>
                </m:ctrlPr>
              </m:sSubSupPr>
              <m:e>
                <m:r>
                  <w:rPr>
                    <w:rFonts w:ascii="Cambria Math" w:hAnsi="Cambria Math" w:cstheme="majorBidi"/>
                    <w:sz w:val="21"/>
                    <w:szCs w:val="21"/>
                  </w:rPr>
                  <m:t>S</m:t>
                </m:r>
              </m:e>
              <m:sub>
                <m:r>
                  <w:rPr>
                    <w:rFonts w:ascii="Cambria Math" w:hAnsi="Cambria Math" w:cstheme="majorBidi"/>
                    <w:sz w:val="21"/>
                    <w:szCs w:val="21"/>
                  </w:rPr>
                  <m:t>z</m:t>
                </m:r>
              </m:sub>
              <m:sup>
                <m:r>
                  <m:rPr>
                    <m:sty m:val="p"/>
                  </m:rPr>
                  <w:rPr>
                    <w:rFonts w:ascii="Cambria Math" w:hAnsi="Cambria Math" w:cstheme="majorBidi"/>
                    <w:sz w:val="21"/>
                    <w:szCs w:val="21"/>
                  </w:rPr>
                  <m:t>raw</m:t>
                </m:r>
              </m:sup>
            </m:sSubSup>
          </m:den>
        </m:f>
      </m:oMath>
      <w:r w:rsidR="00C857E1" w:rsidRPr="00BB65B8">
        <w:rPr>
          <w:rFonts w:asciiTheme="majorBidi" w:hAnsiTheme="majorBidi" w:cstheme="majorBidi"/>
          <w:sz w:val="21"/>
          <w:szCs w:val="21"/>
        </w:rPr>
        <w:t xml:space="preserve">                    </w:t>
      </w:r>
      <w:r w:rsidR="005310AD" w:rsidRPr="00BB65B8">
        <w:rPr>
          <w:rFonts w:asciiTheme="majorBidi" w:hAnsiTheme="majorBidi" w:cstheme="majorBidi"/>
          <w:sz w:val="21"/>
          <w:szCs w:val="21"/>
        </w:rPr>
        <w:t xml:space="preserve">                            </w:t>
      </w:r>
      <w:r w:rsidR="00C857E1" w:rsidRPr="00BB65B8">
        <w:rPr>
          <w:rFonts w:asciiTheme="majorBidi" w:hAnsiTheme="majorBidi" w:cstheme="majorBidi"/>
          <w:sz w:val="21"/>
          <w:szCs w:val="21"/>
        </w:rPr>
        <w:t xml:space="preserve">        </w:t>
      </w:r>
      <w:r w:rsidR="005310AD" w:rsidRPr="00BB65B8">
        <w:rPr>
          <w:rFonts w:asciiTheme="majorBidi" w:hAnsiTheme="majorBidi" w:cstheme="majorBidi"/>
          <w:sz w:val="21"/>
          <w:szCs w:val="21"/>
        </w:rPr>
        <w:t xml:space="preserve">  </w:t>
      </w:r>
      <w:r w:rsidR="00C857E1" w:rsidRPr="00BB65B8">
        <w:rPr>
          <w:rFonts w:asciiTheme="majorBidi" w:hAnsiTheme="majorBidi" w:cstheme="majorBidi"/>
          <w:sz w:val="21"/>
          <w:szCs w:val="21"/>
        </w:rPr>
        <w:t xml:space="preserve">  </w:t>
      </w:r>
      <w:r w:rsidR="00C857E1" w:rsidRPr="00BB65B8">
        <w:rPr>
          <w:rFonts w:asciiTheme="majorBidi" w:hAnsiTheme="majorBidi" w:cstheme="majorBidi"/>
          <w:sz w:val="21"/>
          <w:szCs w:val="21"/>
        </w:rPr>
        <w:t>（</w:t>
      </w:r>
      <w:r w:rsidR="00BA6F33" w:rsidRPr="00BB65B8">
        <w:rPr>
          <w:rFonts w:asciiTheme="majorBidi" w:hAnsiTheme="majorBidi" w:cstheme="majorBidi"/>
          <w:sz w:val="21"/>
          <w:szCs w:val="21"/>
        </w:rPr>
        <w:t>2</w:t>
      </w:r>
      <w:r w:rsidR="00C857E1" w:rsidRPr="00BB65B8">
        <w:rPr>
          <w:rFonts w:asciiTheme="majorBidi" w:hAnsiTheme="majorBidi" w:cstheme="majorBidi"/>
          <w:sz w:val="21"/>
          <w:szCs w:val="21"/>
        </w:rPr>
        <w:t>）</w:t>
      </w:r>
    </w:p>
    <w:p w14:paraId="77B47F6E" w14:textId="328E962D" w:rsidR="00980343" w:rsidRPr="00BB65B8" w:rsidRDefault="00980343"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 xml:space="preserve">Finally, we applied this correction factor to all raster cells within the corresponding county, </w:t>
      </w:r>
      <w:r w:rsidRPr="00BB65B8">
        <w:rPr>
          <w:rFonts w:asciiTheme="majorBidi" w:hAnsiTheme="majorBidi" w:cstheme="majorBidi"/>
          <w:sz w:val="21"/>
          <w:szCs w:val="21"/>
        </w:rPr>
        <w:lastRenderedPageBreak/>
        <w:t>generating a calibrated population raster:</w:t>
      </w:r>
    </w:p>
    <w:p w14:paraId="53DFC91C" w14:textId="6562FDFB" w:rsidR="00980343" w:rsidRPr="00BB65B8" w:rsidRDefault="00000000" w:rsidP="00D05018">
      <w:pPr>
        <w:spacing w:line="360" w:lineRule="auto"/>
        <w:jc w:val="left"/>
        <w:rPr>
          <w:rFonts w:asciiTheme="majorBidi" w:hAnsiTheme="majorBidi" w:cstheme="majorBidi"/>
          <w:sz w:val="21"/>
          <w:szCs w:val="21"/>
        </w:rPr>
      </w:pPr>
      <m:oMath>
        <m:sSubSup>
          <m:sSubSupPr>
            <m:ctrlPr>
              <w:rPr>
                <w:rFonts w:ascii="Cambria Math" w:hAnsi="Cambria Math" w:cstheme="majorBidi"/>
                <w:sz w:val="21"/>
                <w:szCs w:val="21"/>
              </w:rPr>
            </m:ctrlPr>
          </m:sSubSupPr>
          <m:e>
            <m:r>
              <w:rPr>
                <w:rFonts w:ascii="Cambria Math" w:hAnsi="Cambria Math" w:cstheme="majorBidi"/>
                <w:sz w:val="21"/>
                <w:szCs w:val="21"/>
              </w:rPr>
              <m:t>P</m:t>
            </m:r>
          </m:e>
          <m:sub>
            <m:r>
              <w:rPr>
                <w:rFonts w:ascii="Cambria Math" w:hAnsi="Cambria Math" w:cstheme="majorBidi"/>
                <w:sz w:val="21"/>
                <w:szCs w:val="21"/>
              </w:rPr>
              <m:t>r</m:t>
            </m:r>
          </m:sub>
          <m:sup>
            <m:r>
              <m:rPr>
                <m:sty m:val="p"/>
              </m:rPr>
              <w:rPr>
                <w:rFonts w:ascii="Cambria Math" w:hAnsi="Cambria Math" w:cstheme="majorBidi"/>
                <w:sz w:val="21"/>
                <w:szCs w:val="21"/>
              </w:rPr>
              <m:t>corrected</m:t>
            </m:r>
          </m:sup>
        </m:sSubSup>
        <m:r>
          <w:rPr>
            <w:rFonts w:ascii="Cambria Math" w:hAnsi="Cambria Math" w:cstheme="majorBidi"/>
            <w:sz w:val="21"/>
            <w:szCs w:val="21"/>
          </w:rPr>
          <m:t>=</m:t>
        </m:r>
        <m:sSub>
          <m:sSubPr>
            <m:ctrlPr>
              <w:rPr>
                <w:rFonts w:ascii="Cambria Math" w:hAnsi="Cambria Math" w:cstheme="majorBidi"/>
                <w:sz w:val="21"/>
                <w:szCs w:val="21"/>
              </w:rPr>
            </m:ctrlPr>
          </m:sSubPr>
          <m:e>
            <m:r>
              <w:rPr>
                <w:rFonts w:ascii="Cambria Math" w:hAnsi="Cambria Math" w:cstheme="majorBidi"/>
                <w:sz w:val="21"/>
                <w:szCs w:val="21"/>
              </w:rPr>
              <m:t>α</m:t>
            </m:r>
          </m:e>
          <m:sub>
            <m:r>
              <w:rPr>
                <w:rFonts w:ascii="Cambria Math" w:hAnsi="Cambria Math" w:cstheme="majorBidi"/>
                <w:sz w:val="21"/>
                <w:szCs w:val="21"/>
              </w:rPr>
              <m:t>z</m:t>
            </m:r>
          </m:sub>
        </m:sSub>
        <m:r>
          <w:rPr>
            <w:rFonts w:ascii="Cambria Math" w:hAnsi="Cambria Math" w:cstheme="majorBidi"/>
            <w:sz w:val="21"/>
            <w:szCs w:val="21"/>
          </w:rPr>
          <m:t>⋅</m:t>
        </m:r>
        <m:sSubSup>
          <m:sSubSupPr>
            <m:ctrlPr>
              <w:rPr>
                <w:rFonts w:ascii="Cambria Math" w:hAnsi="Cambria Math" w:cstheme="majorBidi"/>
                <w:sz w:val="21"/>
                <w:szCs w:val="21"/>
              </w:rPr>
            </m:ctrlPr>
          </m:sSubSupPr>
          <m:e>
            <m:r>
              <w:rPr>
                <w:rFonts w:ascii="Cambria Math" w:hAnsi="Cambria Math" w:cstheme="majorBidi"/>
                <w:sz w:val="21"/>
                <w:szCs w:val="21"/>
              </w:rPr>
              <m:t>P</m:t>
            </m:r>
          </m:e>
          <m:sub>
            <m:r>
              <w:rPr>
                <w:rFonts w:ascii="Cambria Math" w:hAnsi="Cambria Math" w:cstheme="majorBidi"/>
                <w:sz w:val="21"/>
                <w:szCs w:val="21"/>
              </w:rPr>
              <m:t>r</m:t>
            </m:r>
          </m:sub>
          <m:sup>
            <m:r>
              <m:rPr>
                <m:sty m:val="p"/>
              </m:rPr>
              <w:rPr>
                <w:rFonts w:ascii="Cambria Math" w:hAnsi="Cambria Math" w:cstheme="majorBidi"/>
                <w:sz w:val="21"/>
                <w:szCs w:val="21"/>
              </w:rPr>
              <m:t>raw</m:t>
            </m:r>
          </m:sup>
        </m:sSubSup>
        <m:r>
          <w:rPr>
            <w:rFonts w:ascii="Cambria Math" w:hAnsi="Cambria Math" w:cstheme="majorBidi"/>
            <w:sz w:val="21"/>
            <w:szCs w:val="21"/>
          </w:rPr>
          <m:t>,</m:t>
        </m:r>
        <m:r>
          <m:rPr>
            <m:sty m:val="p"/>
          </m:rPr>
          <w:rPr>
            <w:rFonts w:ascii="Cambria Math" w:hAnsi="Cambria Math" w:cstheme="majorBidi"/>
            <w:sz w:val="21"/>
            <w:szCs w:val="21"/>
          </w:rPr>
          <m:t xml:space="preserve">where </m:t>
        </m:r>
        <m:r>
          <w:rPr>
            <w:rFonts w:ascii="Cambria Math" w:hAnsi="Cambria Math" w:cstheme="majorBidi"/>
            <w:sz w:val="21"/>
            <w:szCs w:val="21"/>
          </w:rPr>
          <m:t>r∈z</m:t>
        </m:r>
      </m:oMath>
      <w:r w:rsidR="00BA6F33" w:rsidRPr="00BB65B8">
        <w:rPr>
          <w:rFonts w:asciiTheme="majorBidi" w:hAnsiTheme="majorBidi" w:cstheme="majorBidi"/>
          <w:sz w:val="21"/>
          <w:szCs w:val="21"/>
        </w:rPr>
        <w:t xml:space="preserve">      </w:t>
      </w:r>
      <w:r w:rsidR="005310AD" w:rsidRPr="00BB65B8">
        <w:rPr>
          <w:rFonts w:asciiTheme="majorBidi" w:hAnsiTheme="majorBidi" w:cstheme="majorBidi"/>
          <w:sz w:val="21"/>
          <w:szCs w:val="21"/>
        </w:rPr>
        <w:t xml:space="preserve">  </w:t>
      </w:r>
      <w:r w:rsidR="00BA6F33" w:rsidRPr="00BB65B8">
        <w:rPr>
          <w:rFonts w:asciiTheme="majorBidi" w:hAnsiTheme="majorBidi" w:cstheme="majorBidi"/>
          <w:sz w:val="21"/>
          <w:szCs w:val="21"/>
        </w:rPr>
        <w:t xml:space="preserve"> </w:t>
      </w:r>
      <w:r w:rsidR="005310AD" w:rsidRPr="00BB65B8">
        <w:rPr>
          <w:rFonts w:asciiTheme="majorBidi" w:hAnsiTheme="majorBidi" w:cstheme="majorBidi"/>
          <w:sz w:val="21"/>
          <w:szCs w:val="21"/>
        </w:rPr>
        <w:t xml:space="preserve">                              </w:t>
      </w:r>
      <w:r w:rsidR="00BA6F33" w:rsidRPr="00BB65B8">
        <w:rPr>
          <w:rFonts w:asciiTheme="majorBidi" w:hAnsiTheme="majorBidi" w:cstheme="majorBidi"/>
          <w:sz w:val="21"/>
          <w:szCs w:val="21"/>
        </w:rPr>
        <w:t xml:space="preserve">  </w:t>
      </w:r>
      <w:r w:rsidR="00BA6F33" w:rsidRPr="00BB65B8">
        <w:rPr>
          <w:rFonts w:asciiTheme="majorBidi" w:hAnsiTheme="majorBidi" w:cstheme="majorBidi"/>
          <w:sz w:val="21"/>
          <w:szCs w:val="21"/>
        </w:rPr>
        <w:t>（</w:t>
      </w:r>
      <w:r w:rsidR="00BA6F33" w:rsidRPr="00BB65B8">
        <w:rPr>
          <w:rFonts w:asciiTheme="majorBidi" w:hAnsiTheme="majorBidi" w:cstheme="majorBidi"/>
          <w:sz w:val="21"/>
          <w:szCs w:val="21"/>
        </w:rPr>
        <w:t>3</w:t>
      </w:r>
      <w:r w:rsidR="00BA6F33" w:rsidRPr="00BB65B8">
        <w:rPr>
          <w:rFonts w:asciiTheme="majorBidi" w:hAnsiTheme="majorBidi" w:cstheme="majorBidi"/>
          <w:sz w:val="21"/>
          <w:szCs w:val="21"/>
        </w:rPr>
        <w:t>）</w:t>
      </w:r>
    </w:p>
    <w:p w14:paraId="417935C0" w14:textId="3ACE5D0A" w:rsidR="00BA6F33" w:rsidRPr="00BB65B8" w:rsidRDefault="00BA6F33"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This calibration ensures that the total population in each county-level unit exactly matches the census-reported value, while preserving the spatial heterogeneity of the original GHS-POP dataset. The resulting corrected population surface provides a more reliable basis for subsequent spatial analyses involving population distribution.</w:t>
      </w:r>
    </w:p>
    <w:p w14:paraId="38E44CE7" w14:textId="4F04A008" w:rsidR="00D2581D" w:rsidRPr="00BB65B8" w:rsidRDefault="00D2581D" w:rsidP="00D05018">
      <w:pPr>
        <w:pStyle w:val="2"/>
        <w:numPr>
          <w:ilvl w:val="1"/>
          <w:numId w:val="2"/>
        </w:numPr>
        <w:tabs>
          <w:tab w:val="left" w:pos="1470"/>
        </w:tabs>
        <w:spacing w:line="360" w:lineRule="auto"/>
        <w:jc w:val="left"/>
        <w:rPr>
          <w:rFonts w:asciiTheme="majorBidi" w:hAnsiTheme="majorBidi"/>
          <w:sz w:val="21"/>
          <w:szCs w:val="21"/>
        </w:rPr>
      </w:pPr>
      <w:r w:rsidRPr="00BB65B8">
        <w:rPr>
          <w:rFonts w:asciiTheme="majorBidi" w:hAnsiTheme="majorBidi"/>
          <w:sz w:val="21"/>
          <w:szCs w:val="21"/>
        </w:rPr>
        <w:t xml:space="preserve">Spatialized </w:t>
      </w:r>
      <w:r w:rsidR="000C4338" w:rsidRPr="00BB65B8">
        <w:rPr>
          <w:rFonts w:asciiTheme="majorBidi" w:hAnsiTheme="majorBidi"/>
          <w:sz w:val="21"/>
          <w:szCs w:val="21"/>
        </w:rPr>
        <w:t>food</w:t>
      </w:r>
      <w:r w:rsidRPr="00BB65B8">
        <w:rPr>
          <w:rFonts w:asciiTheme="majorBidi" w:hAnsiTheme="majorBidi"/>
          <w:sz w:val="21"/>
          <w:szCs w:val="21"/>
        </w:rPr>
        <w:t xml:space="preserve"> produc</w:t>
      </w:r>
      <w:r w:rsidR="000C4338" w:rsidRPr="00BB65B8">
        <w:rPr>
          <w:rFonts w:asciiTheme="majorBidi" w:hAnsiTheme="majorBidi"/>
          <w:sz w:val="21"/>
          <w:szCs w:val="21"/>
        </w:rPr>
        <w:t>tion</w:t>
      </w:r>
      <w:r w:rsidRPr="00BB65B8">
        <w:rPr>
          <w:rFonts w:asciiTheme="majorBidi" w:hAnsiTheme="majorBidi"/>
          <w:sz w:val="21"/>
          <w:szCs w:val="21"/>
        </w:rPr>
        <w:t xml:space="preserve"> layers</w:t>
      </w:r>
    </w:p>
    <w:p w14:paraId="330F05A8" w14:textId="77777777" w:rsidR="005B0FAE" w:rsidRPr="00BB65B8" w:rsidRDefault="005B0FAE" w:rsidP="00D05018">
      <w:pPr>
        <w:spacing w:line="360" w:lineRule="auto"/>
        <w:jc w:val="left"/>
        <w:rPr>
          <w:rFonts w:asciiTheme="majorBidi" w:hAnsiTheme="majorBidi" w:cstheme="majorBidi"/>
          <w:sz w:val="21"/>
          <w:szCs w:val="21"/>
        </w:rPr>
      </w:pPr>
      <w:r w:rsidRPr="005B0FAE">
        <w:rPr>
          <w:rFonts w:asciiTheme="majorBidi" w:hAnsiTheme="majorBidi" w:cstheme="majorBidi"/>
          <w:sz w:val="21"/>
          <w:szCs w:val="21"/>
        </w:rPr>
        <w:t>To construct spatially explicit food production layers for the years 2010 and 2020, we generated 1-km resolution gridded maps of crop yield based on county-level grain production statistics and satellite-derived vegetation indicators. Specifically, we used fused MOD13A2 and MYD13A2 NDVI data as a proxy for the vegetation coverage index (VCI) to estimate crop productivity within cropland areas.</w:t>
      </w:r>
    </w:p>
    <w:p w14:paraId="412DE051" w14:textId="77777777" w:rsidR="00E52A8F" w:rsidRPr="005B0FAE" w:rsidRDefault="00E52A8F" w:rsidP="00D05018">
      <w:pPr>
        <w:spacing w:line="360" w:lineRule="auto"/>
        <w:jc w:val="left"/>
        <w:rPr>
          <w:rFonts w:asciiTheme="majorBidi" w:hAnsiTheme="majorBidi" w:cstheme="majorBidi"/>
          <w:sz w:val="21"/>
          <w:szCs w:val="21"/>
        </w:rPr>
      </w:pPr>
    </w:p>
    <w:p w14:paraId="6258D0E6" w14:textId="1AC20A83" w:rsidR="005B0FAE" w:rsidRPr="005B0FAE" w:rsidRDefault="005B0FAE" w:rsidP="00D05018">
      <w:pPr>
        <w:spacing w:line="360" w:lineRule="auto"/>
        <w:jc w:val="left"/>
        <w:rPr>
          <w:rFonts w:asciiTheme="majorBidi" w:hAnsiTheme="majorBidi" w:cstheme="majorBidi"/>
          <w:sz w:val="21"/>
          <w:szCs w:val="21"/>
        </w:rPr>
      </w:pPr>
      <w:r w:rsidRPr="005B0FAE">
        <w:rPr>
          <w:rFonts w:asciiTheme="majorBidi" w:hAnsiTheme="majorBidi" w:cstheme="majorBidi"/>
          <w:sz w:val="21"/>
          <w:szCs w:val="21"/>
        </w:rPr>
        <w:t>Cropland extents were identified using land use data from the China Annual Cropland Dataset (CACD), which provides national-scale cropland distributions with consistent annual coverage</w:t>
      </w:r>
      <w:r w:rsidR="00E52A8F" w:rsidRPr="00BB65B8">
        <w:rPr>
          <w:rFonts w:asciiTheme="majorBidi" w:hAnsiTheme="majorBidi" w:cstheme="majorBidi"/>
          <w:sz w:val="21"/>
          <w:szCs w:val="21"/>
        </w:rPr>
        <w:t xml:space="preserve"> </w:t>
      </w:r>
      <w:r w:rsidR="00E52A8F" w:rsidRPr="00BB65B8">
        <w:rPr>
          <w:rFonts w:asciiTheme="majorBidi" w:hAnsiTheme="majorBidi" w:cstheme="majorBidi"/>
          <w:sz w:val="21"/>
          <w:szCs w:val="21"/>
        </w:rPr>
        <w:fldChar w:fldCharType="begin"/>
      </w:r>
      <w:r w:rsidR="003D4639" w:rsidRPr="00BB65B8">
        <w:rPr>
          <w:rFonts w:asciiTheme="majorBidi" w:hAnsiTheme="majorBidi" w:cstheme="majorBidi"/>
          <w:sz w:val="21"/>
          <w:szCs w:val="21"/>
        </w:rPr>
        <w:instrText xml:space="preserve"> ADDIN EN.CITE &lt;EndNote&gt;&lt;Cite&gt;&lt;Author&gt;Tu&lt;/Author&gt;&lt;Year&gt;2024&lt;/Year&gt;&lt;RecNum&gt;4106&lt;/RecNum&gt;&lt;DisplayText&gt;&lt;style face="superscript"&gt;9&lt;/style&gt;&lt;/DisplayText&gt;&lt;record&gt;&lt;rec-number&gt;4106&lt;/rec-number&gt;&lt;foreign-keys&gt;&lt;key app="EN" db-id="50szzevsltsxs4et00mpxaph2wpxp99rfvz2" timestamp="1753063456" guid="09cc18b7-df16-42fa-a4e8-9443fc7335b0"&gt;4106&lt;/key&gt;&lt;/foreign-keys&gt;&lt;ref-type name="Journal Article"&gt;17&lt;/ref-type&gt;&lt;contributors&gt;&lt;authors&gt;&lt;author&gt;Tu, Ying&lt;/author&gt;&lt;author&gt;Wu, Shengbiao&lt;/author&gt;&lt;author&gt;Chen, Bin&lt;/author&gt;&lt;author&gt;Weng, Qihao&lt;/author&gt;&lt;author&gt;Bai, Yuqi&lt;/author&gt;&lt;author&gt;Yang, Jun&lt;/author&gt;&lt;author&gt;Yu, Le&lt;/author&gt;&lt;author&gt;Xu, Bing&lt;/author&gt;&lt;/authors&gt;&lt;/contributors&gt;&lt;titles&gt;&lt;title&gt;A 30 m annual cropland dataset of China from 1986 to 2021&lt;/title&gt;&lt;secondary-title&gt;Earth Syst. Sci. Data&lt;/secondary-title&gt;&lt;/titles&gt;&lt;periodical&gt;&lt;full-title&gt;Earth Syst. Sci. Data&lt;/full-title&gt;&lt;/periodical&gt;&lt;pages&gt;2297-2316&lt;/pages&gt;&lt;volume&gt;16&lt;/volume&gt;&lt;number&gt;5&lt;/number&gt;&lt;dates&gt;&lt;year&gt;2024&lt;/year&gt;&lt;/dates&gt;&lt;publisher&gt;Copernicus Publications&lt;/publisher&gt;&lt;isbn&gt;1866-3516&lt;/isbn&gt;&lt;urls&gt;&lt;related-urls&gt;&lt;url&gt;https://essd.copernicus.org/articles/16/2297/2024/&lt;/url&gt;&lt;/related-urls&gt;&lt;/urls&gt;&lt;electronic-resource-num&gt;10.5194/essd-16-2297-2024&lt;/electronic-resource-num&gt;&lt;/record&gt;&lt;/Cite&gt;&lt;/EndNote&gt;</w:instrText>
      </w:r>
      <w:r w:rsidR="00E52A8F" w:rsidRPr="00BB65B8">
        <w:rPr>
          <w:rFonts w:asciiTheme="majorBidi" w:hAnsiTheme="majorBidi" w:cstheme="majorBidi"/>
          <w:sz w:val="21"/>
          <w:szCs w:val="21"/>
        </w:rPr>
        <w:fldChar w:fldCharType="separate"/>
      </w:r>
      <w:r w:rsidR="003D4639" w:rsidRPr="00BB65B8">
        <w:rPr>
          <w:rFonts w:asciiTheme="majorBidi" w:hAnsiTheme="majorBidi" w:cstheme="majorBidi"/>
          <w:noProof/>
          <w:sz w:val="21"/>
          <w:szCs w:val="21"/>
          <w:vertAlign w:val="superscript"/>
        </w:rPr>
        <w:t>9</w:t>
      </w:r>
      <w:r w:rsidR="00E52A8F" w:rsidRPr="00BB65B8">
        <w:rPr>
          <w:rFonts w:asciiTheme="majorBidi" w:hAnsiTheme="majorBidi" w:cstheme="majorBidi"/>
          <w:sz w:val="21"/>
          <w:szCs w:val="21"/>
        </w:rPr>
        <w:fldChar w:fldCharType="end"/>
      </w:r>
      <w:r w:rsidR="00E52A8F" w:rsidRPr="00BB65B8">
        <w:rPr>
          <w:rFonts w:asciiTheme="majorBidi" w:hAnsiTheme="majorBidi" w:cstheme="majorBidi"/>
          <w:sz w:val="21"/>
          <w:szCs w:val="21"/>
        </w:rPr>
        <w:t xml:space="preserve"> </w:t>
      </w:r>
      <w:r w:rsidRPr="005B0FAE">
        <w:rPr>
          <w:rFonts w:asciiTheme="majorBidi" w:hAnsiTheme="majorBidi" w:cstheme="majorBidi"/>
          <w:sz w:val="21"/>
          <w:szCs w:val="21"/>
        </w:rPr>
        <w:t xml:space="preserve">. NDVI values during the main growing season were extracted for cropland pixels, and for each county, the total grain yield was allocated to individual pixels in proportion to their NDVI values. The gridded food production </w:t>
      </w:r>
      <m:oMath>
        <m:r>
          <w:rPr>
            <w:rFonts w:ascii="Cambria Math" w:hAnsi="Cambria Math" w:cstheme="majorBidi"/>
            <w:sz w:val="21"/>
            <w:szCs w:val="21"/>
          </w:rPr>
          <m:t>F</m:t>
        </m:r>
        <m:sSub>
          <m:sSubPr>
            <m:ctrlPr>
              <w:rPr>
                <w:rFonts w:ascii="Cambria Math" w:hAnsi="Cambria Math" w:cstheme="majorBidi"/>
                <w:sz w:val="21"/>
                <w:szCs w:val="21"/>
              </w:rPr>
            </m:ctrlPr>
          </m:sSubPr>
          <m:e>
            <m:r>
              <w:rPr>
                <w:rFonts w:ascii="Cambria Math" w:hAnsi="Cambria Math" w:cstheme="majorBidi"/>
                <w:sz w:val="21"/>
                <w:szCs w:val="21"/>
              </w:rPr>
              <m:t>S</m:t>
            </m:r>
          </m:e>
          <m:sub>
            <m:r>
              <w:rPr>
                <w:rFonts w:ascii="Cambria Math" w:hAnsi="Cambria Math" w:cstheme="majorBidi"/>
                <w:sz w:val="21"/>
                <w:szCs w:val="21"/>
              </w:rPr>
              <m:t>(x)</m:t>
            </m:r>
          </m:sub>
        </m:sSub>
      </m:oMath>
      <w:r w:rsidR="00E52A8F" w:rsidRPr="00BB65B8">
        <w:rPr>
          <w:rFonts w:asciiTheme="majorBidi" w:hAnsiTheme="majorBidi" w:cstheme="majorBidi"/>
          <w:sz w:val="21"/>
          <w:szCs w:val="21"/>
        </w:rPr>
        <w:t xml:space="preserve"> </w:t>
      </w:r>
      <w:r w:rsidRPr="005B0FAE">
        <w:rPr>
          <w:rFonts w:asciiTheme="majorBidi" w:hAnsiTheme="majorBidi" w:cstheme="majorBidi"/>
          <w:sz w:val="21"/>
          <w:szCs w:val="21"/>
        </w:rPr>
        <w:t xml:space="preserve">at pixel </w:t>
      </w:r>
      <w:r w:rsidR="00E52A8F" w:rsidRPr="00BB65B8">
        <w:rPr>
          <w:rFonts w:asciiTheme="majorBidi" w:hAnsiTheme="majorBidi" w:cstheme="majorBidi"/>
          <w:i/>
          <w:iCs/>
          <w:sz w:val="21"/>
          <w:szCs w:val="21"/>
        </w:rPr>
        <w:t>x</w:t>
      </w:r>
      <w:r w:rsidRPr="005B0FAE">
        <w:rPr>
          <w:rFonts w:asciiTheme="majorBidi" w:hAnsiTheme="majorBidi" w:cstheme="majorBidi"/>
          <w:sz w:val="21"/>
          <w:szCs w:val="21"/>
        </w:rPr>
        <w:t xml:space="preserve"> was calculated as:</w:t>
      </w:r>
    </w:p>
    <w:p w14:paraId="24F01354" w14:textId="6521D79B" w:rsidR="005B0FAE" w:rsidRPr="00BB65B8" w:rsidRDefault="005B0FAE" w:rsidP="00D05018">
      <w:pPr>
        <w:spacing w:line="360" w:lineRule="auto"/>
        <w:jc w:val="left"/>
        <w:rPr>
          <w:rFonts w:asciiTheme="majorBidi" w:hAnsiTheme="majorBidi" w:cstheme="majorBidi"/>
          <w:sz w:val="21"/>
          <w:szCs w:val="21"/>
        </w:rPr>
      </w:pPr>
      <m:oMath>
        <m:r>
          <w:rPr>
            <w:rFonts w:ascii="Cambria Math" w:hAnsi="Cambria Math" w:cstheme="majorBidi"/>
            <w:sz w:val="21"/>
            <w:szCs w:val="21"/>
          </w:rPr>
          <m:t>F</m:t>
        </m:r>
        <m:sSub>
          <m:sSubPr>
            <m:ctrlPr>
              <w:rPr>
                <w:rFonts w:ascii="Cambria Math" w:hAnsi="Cambria Math" w:cstheme="majorBidi"/>
                <w:sz w:val="21"/>
                <w:szCs w:val="21"/>
              </w:rPr>
            </m:ctrlPr>
          </m:sSubPr>
          <m:e>
            <m:r>
              <w:rPr>
                <w:rFonts w:ascii="Cambria Math" w:hAnsi="Cambria Math" w:cstheme="majorBidi"/>
                <w:sz w:val="21"/>
                <w:szCs w:val="21"/>
              </w:rPr>
              <m:t>S</m:t>
            </m:r>
          </m:e>
          <m:sub>
            <m:r>
              <w:rPr>
                <w:rFonts w:ascii="Cambria Math" w:hAnsi="Cambria Math" w:cstheme="majorBidi"/>
                <w:sz w:val="21"/>
                <w:szCs w:val="21"/>
              </w:rPr>
              <m:t>(x)</m:t>
            </m:r>
          </m:sub>
        </m:sSub>
        <m:r>
          <w:rPr>
            <w:rFonts w:ascii="Cambria Math" w:hAnsi="Cambria Math" w:cstheme="majorBidi"/>
            <w:sz w:val="21"/>
            <w:szCs w:val="21"/>
          </w:rPr>
          <m:t>=cropYiel</m:t>
        </m:r>
        <m:sSub>
          <m:sSubPr>
            <m:ctrlPr>
              <w:rPr>
                <w:rFonts w:ascii="Cambria Math" w:hAnsi="Cambria Math" w:cstheme="majorBidi"/>
                <w:sz w:val="21"/>
                <w:szCs w:val="21"/>
              </w:rPr>
            </m:ctrlPr>
          </m:sSubPr>
          <m:e>
            <m:r>
              <w:rPr>
                <w:rFonts w:ascii="Cambria Math" w:hAnsi="Cambria Math" w:cstheme="majorBidi"/>
                <w:sz w:val="21"/>
                <w:szCs w:val="21"/>
              </w:rPr>
              <m:t>d</m:t>
            </m:r>
          </m:e>
          <m:sub>
            <m:r>
              <w:rPr>
                <w:rFonts w:ascii="Cambria Math" w:hAnsi="Cambria Math" w:cstheme="majorBidi"/>
                <w:sz w:val="21"/>
                <w:szCs w:val="21"/>
              </w:rPr>
              <m:t>sum</m:t>
            </m:r>
          </m:sub>
        </m:sSub>
        <m:r>
          <w:rPr>
            <w:rFonts w:ascii="Cambria Math" w:hAnsi="Cambria Math" w:cstheme="majorBidi"/>
            <w:sz w:val="21"/>
            <w:szCs w:val="21"/>
          </w:rPr>
          <m:t>×</m:t>
        </m:r>
        <m:f>
          <m:fPr>
            <m:ctrlPr>
              <w:rPr>
                <w:rFonts w:ascii="Cambria Math" w:hAnsi="Cambria Math" w:cstheme="majorBidi"/>
                <w:sz w:val="21"/>
                <w:szCs w:val="21"/>
              </w:rPr>
            </m:ctrlPr>
          </m:fPr>
          <m:num>
            <m:r>
              <w:rPr>
                <w:rFonts w:ascii="Cambria Math" w:hAnsi="Cambria Math" w:cstheme="majorBidi"/>
                <w:sz w:val="21"/>
                <w:szCs w:val="21"/>
              </w:rPr>
              <m:t>NDV</m:t>
            </m:r>
            <m:sSub>
              <m:sSubPr>
                <m:ctrlPr>
                  <w:rPr>
                    <w:rFonts w:ascii="Cambria Math" w:hAnsi="Cambria Math" w:cstheme="majorBidi"/>
                    <w:sz w:val="21"/>
                    <w:szCs w:val="21"/>
                  </w:rPr>
                </m:ctrlPr>
              </m:sSubPr>
              <m:e>
                <m:r>
                  <w:rPr>
                    <w:rFonts w:ascii="Cambria Math" w:hAnsi="Cambria Math" w:cstheme="majorBidi"/>
                    <w:sz w:val="21"/>
                    <w:szCs w:val="21"/>
                  </w:rPr>
                  <m:t>I</m:t>
                </m:r>
              </m:e>
              <m:sub>
                <m:r>
                  <w:rPr>
                    <w:rFonts w:ascii="Cambria Math" w:hAnsi="Cambria Math" w:cstheme="majorBidi"/>
                    <w:sz w:val="21"/>
                    <w:szCs w:val="21"/>
                  </w:rPr>
                  <m:t>x</m:t>
                </m:r>
              </m:sub>
            </m:sSub>
          </m:num>
          <m:den>
            <m:r>
              <w:rPr>
                <w:rFonts w:ascii="Cambria Math" w:hAnsi="Cambria Math" w:cstheme="majorBidi"/>
                <w:sz w:val="21"/>
                <w:szCs w:val="21"/>
              </w:rPr>
              <m:t>NDV</m:t>
            </m:r>
            <m:sSub>
              <m:sSubPr>
                <m:ctrlPr>
                  <w:rPr>
                    <w:rFonts w:ascii="Cambria Math" w:hAnsi="Cambria Math" w:cstheme="majorBidi"/>
                    <w:sz w:val="21"/>
                    <w:szCs w:val="21"/>
                  </w:rPr>
                </m:ctrlPr>
              </m:sSubPr>
              <m:e>
                <m:r>
                  <w:rPr>
                    <w:rFonts w:ascii="Cambria Math" w:hAnsi="Cambria Math" w:cstheme="majorBidi"/>
                    <w:sz w:val="21"/>
                    <w:szCs w:val="21"/>
                  </w:rPr>
                  <m:t>I</m:t>
                </m:r>
              </m:e>
              <m:sub>
                <m:r>
                  <w:rPr>
                    <w:rFonts w:ascii="Cambria Math" w:hAnsi="Cambria Math" w:cstheme="majorBidi"/>
                    <w:sz w:val="21"/>
                    <w:szCs w:val="21"/>
                  </w:rPr>
                  <m:t>sum</m:t>
                </m:r>
              </m:sub>
            </m:sSub>
          </m:den>
        </m:f>
      </m:oMath>
      <w:r w:rsidR="005310AD" w:rsidRPr="00BB65B8">
        <w:rPr>
          <w:rFonts w:asciiTheme="majorBidi" w:hAnsiTheme="majorBidi" w:cstheme="majorBidi"/>
          <w:sz w:val="21"/>
          <w:szCs w:val="21"/>
        </w:rPr>
        <w:t xml:space="preserve">                                            </w:t>
      </w:r>
      <w:r w:rsidR="005310AD" w:rsidRPr="00BB65B8">
        <w:rPr>
          <w:rFonts w:asciiTheme="majorBidi" w:hAnsiTheme="majorBidi" w:cstheme="majorBidi"/>
          <w:sz w:val="21"/>
          <w:szCs w:val="21"/>
        </w:rPr>
        <w:t>（</w:t>
      </w:r>
      <w:r w:rsidR="005310AD" w:rsidRPr="00BB65B8">
        <w:rPr>
          <w:rFonts w:asciiTheme="majorBidi" w:hAnsiTheme="majorBidi" w:cstheme="majorBidi"/>
          <w:sz w:val="21"/>
          <w:szCs w:val="21"/>
        </w:rPr>
        <w:t>4</w:t>
      </w:r>
      <w:r w:rsidR="005310AD" w:rsidRPr="00BB65B8">
        <w:rPr>
          <w:rFonts w:asciiTheme="majorBidi" w:hAnsiTheme="majorBidi" w:cstheme="majorBidi"/>
          <w:sz w:val="21"/>
          <w:szCs w:val="21"/>
        </w:rPr>
        <w:t>）</w:t>
      </w:r>
    </w:p>
    <w:p w14:paraId="20DDC504" w14:textId="7B1FA560" w:rsidR="005B0FAE" w:rsidRPr="00BB65B8" w:rsidRDefault="00806919" w:rsidP="00D05018">
      <w:pPr>
        <w:spacing w:line="360" w:lineRule="auto"/>
        <w:jc w:val="left"/>
        <w:rPr>
          <w:rFonts w:asciiTheme="majorBidi" w:hAnsiTheme="majorBidi" w:cstheme="majorBidi"/>
          <w:sz w:val="21"/>
          <w:szCs w:val="21"/>
        </w:rPr>
      </w:pPr>
      <w:r w:rsidRPr="00BB65B8">
        <w:rPr>
          <w:rFonts w:asciiTheme="majorBidi" w:hAnsiTheme="majorBidi" w:cstheme="majorBidi"/>
          <w:sz w:val="21"/>
          <w:szCs w:val="21"/>
        </w:rPr>
        <w:t xml:space="preserve">where </w:t>
      </w:r>
      <m:oMath>
        <m:r>
          <w:rPr>
            <w:rFonts w:ascii="Cambria Math" w:hAnsi="Cambria Math" w:cstheme="majorBidi"/>
            <w:sz w:val="21"/>
            <w:szCs w:val="21"/>
          </w:rPr>
          <m:t>cropYiel</m:t>
        </m:r>
        <m:sSub>
          <m:sSubPr>
            <m:ctrlPr>
              <w:rPr>
                <w:rFonts w:ascii="Cambria Math" w:hAnsi="Cambria Math" w:cstheme="majorBidi"/>
                <w:sz w:val="21"/>
                <w:szCs w:val="21"/>
              </w:rPr>
            </m:ctrlPr>
          </m:sSubPr>
          <m:e>
            <m:r>
              <w:rPr>
                <w:rFonts w:ascii="Cambria Math" w:hAnsi="Cambria Math" w:cstheme="majorBidi"/>
                <w:sz w:val="21"/>
                <w:szCs w:val="21"/>
              </w:rPr>
              <m:t>d</m:t>
            </m:r>
          </m:e>
          <m:sub>
            <m:r>
              <w:rPr>
                <w:rFonts w:ascii="Cambria Math" w:hAnsi="Cambria Math" w:cstheme="majorBidi"/>
                <w:sz w:val="21"/>
                <w:szCs w:val="21"/>
              </w:rPr>
              <m:t>sum</m:t>
            </m:r>
          </m:sub>
        </m:sSub>
      </m:oMath>
      <w:r w:rsidRPr="00BB65B8">
        <w:rPr>
          <w:rFonts w:asciiTheme="majorBidi" w:hAnsiTheme="majorBidi" w:cstheme="majorBidi"/>
          <w:sz w:val="21"/>
          <w:szCs w:val="21"/>
        </w:rPr>
        <w:t xml:space="preserve"> is the total grain yield reported for each county; </w:t>
      </w:r>
      <m:oMath>
        <m:r>
          <w:rPr>
            <w:rFonts w:ascii="Cambria Math" w:hAnsi="Cambria Math" w:cstheme="majorBidi"/>
            <w:sz w:val="21"/>
            <w:szCs w:val="21"/>
          </w:rPr>
          <m:t>NDV</m:t>
        </m:r>
        <m:sSub>
          <m:sSubPr>
            <m:ctrlPr>
              <w:rPr>
                <w:rFonts w:ascii="Cambria Math" w:hAnsi="Cambria Math" w:cstheme="majorBidi"/>
                <w:sz w:val="21"/>
                <w:szCs w:val="21"/>
              </w:rPr>
            </m:ctrlPr>
          </m:sSubPr>
          <m:e>
            <m:r>
              <w:rPr>
                <w:rFonts w:ascii="Cambria Math" w:hAnsi="Cambria Math" w:cstheme="majorBidi"/>
                <w:sz w:val="21"/>
                <w:szCs w:val="21"/>
              </w:rPr>
              <m:t>I</m:t>
            </m:r>
          </m:e>
          <m:sub>
            <m:r>
              <w:rPr>
                <w:rFonts w:ascii="Cambria Math" w:hAnsi="Cambria Math" w:cstheme="majorBidi"/>
                <w:sz w:val="21"/>
                <w:szCs w:val="21"/>
              </w:rPr>
              <m:t>x</m:t>
            </m:r>
          </m:sub>
        </m:sSub>
      </m:oMath>
      <w:r w:rsidRPr="00BB65B8">
        <w:rPr>
          <w:rFonts w:asciiTheme="majorBidi" w:hAnsiTheme="majorBidi" w:cstheme="majorBidi"/>
          <w:sz w:val="21"/>
          <w:szCs w:val="21"/>
        </w:rPr>
        <w:t xml:space="preserve"> is the NDVI value of pixel </w:t>
      </w:r>
      <w:r w:rsidRPr="00BB65B8">
        <w:rPr>
          <w:rFonts w:asciiTheme="majorBidi" w:hAnsiTheme="majorBidi" w:cstheme="majorBidi"/>
          <w:i/>
          <w:iCs/>
          <w:sz w:val="21"/>
          <w:szCs w:val="21"/>
        </w:rPr>
        <w:t>x</w:t>
      </w:r>
      <w:r w:rsidRPr="00BB65B8">
        <w:rPr>
          <w:rFonts w:asciiTheme="majorBidi" w:hAnsiTheme="majorBidi" w:cstheme="majorBidi"/>
          <w:sz w:val="21"/>
          <w:szCs w:val="21"/>
        </w:rPr>
        <w:t xml:space="preserve">; and </w:t>
      </w:r>
      <m:oMath>
        <m:r>
          <w:rPr>
            <w:rFonts w:ascii="Cambria Math" w:hAnsi="Cambria Math" w:cstheme="majorBidi"/>
            <w:sz w:val="21"/>
            <w:szCs w:val="21"/>
          </w:rPr>
          <m:t>NDV</m:t>
        </m:r>
        <m:sSub>
          <m:sSubPr>
            <m:ctrlPr>
              <w:rPr>
                <w:rFonts w:ascii="Cambria Math" w:hAnsi="Cambria Math" w:cstheme="majorBidi"/>
                <w:sz w:val="21"/>
                <w:szCs w:val="21"/>
              </w:rPr>
            </m:ctrlPr>
          </m:sSubPr>
          <m:e>
            <m:r>
              <w:rPr>
                <w:rFonts w:ascii="Cambria Math" w:hAnsi="Cambria Math" w:cstheme="majorBidi"/>
                <w:sz w:val="21"/>
                <w:szCs w:val="21"/>
              </w:rPr>
              <m:t>I</m:t>
            </m:r>
          </m:e>
          <m:sub>
            <m:r>
              <w:rPr>
                <w:rFonts w:ascii="Cambria Math" w:hAnsi="Cambria Math" w:cstheme="majorBidi"/>
                <w:sz w:val="21"/>
                <w:szCs w:val="21"/>
              </w:rPr>
              <m:t>sum</m:t>
            </m:r>
          </m:sub>
        </m:sSub>
      </m:oMath>
      <w:r w:rsidRPr="00BB65B8">
        <w:rPr>
          <w:rFonts w:asciiTheme="majorBidi" w:hAnsiTheme="majorBidi" w:cstheme="majorBidi"/>
          <w:sz w:val="21"/>
          <w:szCs w:val="21"/>
        </w:rPr>
        <w:t xml:space="preserve"> is the sum of NDVI values across all cropland pixels within the county. This method assumes that pixels with higher vegetation activity (as indicated by NDVI) contribute more to total yield, thereby producing a continuous surface of estimated food production.</w:t>
      </w:r>
    </w:p>
    <w:p w14:paraId="6BC0B9B2" w14:textId="42D77DBC" w:rsidR="009E12FA" w:rsidRPr="00BB65B8" w:rsidRDefault="00D95B70" w:rsidP="00D05018">
      <w:pPr>
        <w:pStyle w:val="1"/>
        <w:numPr>
          <w:ilvl w:val="0"/>
          <w:numId w:val="2"/>
        </w:numPr>
        <w:spacing w:line="360" w:lineRule="auto"/>
        <w:jc w:val="left"/>
        <w:rPr>
          <w:rFonts w:asciiTheme="majorBidi" w:hAnsiTheme="majorBidi" w:cstheme="majorBidi"/>
          <w:sz w:val="21"/>
          <w:szCs w:val="21"/>
        </w:rPr>
      </w:pPr>
      <w:r w:rsidRPr="00BB65B8">
        <w:rPr>
          <w:rFonts w:asciiTheme="majorBidi" w:hAnsiTheme="majorBidi" w:cstheme="majorBidi"/>
          <w:sz w:val="21"/>
          <w:szCs w:val="21"/>
        </w:rPr>
        <w:lastRenderedPageBreak/>
        <w:t>Methods</w:t>
      </w:r>
      <w:r w:rsidR="009E12FA" w:rsidRPr="00BB65B8">
        <w:rPr>
          <w:rFonts w:asciiTheme="majorBidi" w:hAnsiTheme="majorBidi" w:cstheme="majorBidi"/>
          <w:sz w:val="21"/>
          <w:szCs w:val="21"/>
        </w:rPr>
        <w:t xml:space="preserve"> sections</w:t>
      </w:r>
    </w:p>
    <w:p w14:paraId="0BCE0951" w14:textId="2BB78D4C" w:rsidR="003F5D80" w:rsidRPr="00BB65B8" w:rsidRDefault="003F5D80" w:rsidP="00D05018">
      <w:pPr>
        <w:pStyle w:val="2"/>
        <w:numPr>
          <w:ilvl w:val="1"/>
          <w:numId w:val="2"/>
        </w:numPr>
        <w:tabs>
          <w:tab w:val="left" w:pos="1470"/>
        </w:tabs>
        <w:spacing w:line="360" w:lineRule="auto"/>
        <w:jc w:val="left"/>
        <w:rPr>
          <w:rFonts w:asciiTheme="majorBidi" w:hAnsiTheme="majorBidi"/>
          <w:sz w:val="21"/>
          <w:szCs w:val="21"/>
        </w:rPr>
      </w:pPr>
      <w:r w:rsidRPr="00BB65B8">
        <w:rPr>
          <w:rFonts w:asciiTheme="majorBidi" w:hAnsiTheme="majorBidi"/>
          <w:sz w:val="21"/>
          <w:szCs w:val="21"/>
        </w:rPr>
        <w:t xml:space="preserve">Statistically based urban-rural </w:t>
      </w:r>
      <w:r w:rsidR="000D7741" w:rsidRPr="00BB65B8">
        <w:rPr>
          <w:rFonts w:asciiTheme="majorBidi" w:hAnsiTheme="majorBidi"/>
          <w:sz w:val="21"/>
          <w:szCs w:val="21"/>
        </w:rPr>
        <w:t>typology</w:t>
      </w:r>
    </w:p>
    <w:p w14:paraId="7A481322" w14:textId="182DF4EB" w:rsidR="003F5D80" w:rsidRPr="00BB65B8" w:rsidRDefault="00103FBE" w:rsidP="00D05018">
      <w:pPr>
        <w:pStyle w:val="a7"/>
        <w:tabs>
          <w:tab w:val="left" w:pos="1470"/>
        </w:tabs>
        <w:spacing w:line="360" w:lineRule="auto"/>
        <w:ind w:firstLineChars="0" w:firstLine="0"/>
        <w:jc w:val="left"/>
        <w:rPr>
          <w:rFonts w:asciiTheme="majorBidi" w:eastAsia="黑体" w:hAnsiTheme="majorBidi" w:cstheme="majorBidi"/>
          <w:sz w:val="21"/>
          <w:szCs w:val="21"/>
        </w:rPr>
      </w:pPr>
      <w:r w:rsidRPr="00BB65B8">
        <w:rPr>
          <w:rFonts w:asciiTheme="majorBidi" w:eastAsia="黑体" w:hAnsiTheme="majorBidi" w:cstheme="majorBidi"/>
          <w:sz w:val="21"/>
          <w:szCs w:val="21"/>
        </w:rPr>
        <w:t>T</w:t>
      </w:r>
      <w:r w:rsidR="003F5D80" w:rsidRPr="00BB65B8">
        <w:rPr>
          <w:rFonts w:asciiTheme="majorBidi" w:eastAsia="黑体" w:hAnsiTheme="majorBidi" w:cstheme="majorBidi"/>
          <w:sz w:val="21"/>
          <w:szCs w:val="21"/>
        </w:rPr>
        <w:t xml:space="preserve">he urban-rural </w:t>
      </w:r>
      <w:r w:rsidR="000D7741" w:rsidRPr="00BB65B8">
        <w:rPr>
          <w:rFonts w:asciiTheme="majorBidi" w:eastAsia="黑体" w:hAnsiTheme="majorBidi" w:cstheme="majorBidi"/>
          <w:sz w:val="21"/>
          <w:szCs w:val="21"/>
        </w:rPr>
        <w:t xml:space="preserve">typology </w:t>
      </w:r>
      <w:r w:rsidR="003F5D80" w:rsidRPr="00BB65B8">
        <w:rPr>
          <w:rFonts w:asciiTheme="majorBidi" w:eastAsia="黑体" w:hAnsiTheme="majorBidi" w:cstheme="majorBidi"/>
          <w:sz w:val="21"/>
          <w:szCs w:val="21"/>
        </w:rPr>
        <w:t xml:space="preserve">was defined based on basic administrative unit points. These units include urban core (code 111), urban fringe (112), town core (121), town fringe (122), rural center (210) and village (220). Codes beginning with </w:t>
      </w:r>
      <w:r w:rsidR="009C2052" w:rsidRPr="00BB65B8">
        <w:rPr>
          <w:rFonts w:asciiTheme="majorBidi" w:eastAsia="黑体" w:hAnsiTheme="majorBidi" w:cstheme="majorBidi"/>
          <w:sz w:val="21"/>
          <w:szCs w:val="21"/>
        </w:rPr>
        <w:t>“1”</w:t>
      </w:r>
      <w:r w:rsidR="003F5D80" w:rsidRPr="00BB65B8">
        <w:rPr>
          <w:rFonts w:asciiTheme="majorBidi" w:eastAsia="黑体" w:hAnsiTheme="majorBidi" w:cstheme="majorBidi"/>
          <w:sz w:val="21"/>
          <w:szCs w:val="21"/>
        </w:rPr>
        <w:t xml:space="preserve"> represent urban statistical areas as defined by the National Bureau of Statistics, while codes beginning with </w:t>
      </w:r>
      <w:r w:rsidR="009C2052" w:rsidRPr="00BB65B8">
        <w:rPr>
          <w:rFonts w:asciiTheme="majorBidi" w:eastAsia="黑体" w:hAnsiTheme="majorBidi" w:cstheme="majorBidi"/>
          <w:sz w:val="21"/>
          <w:szCs w:val="21"/>
        </w:rPr>
        <w:t>“2”</w:t>
      </w:r>
      <w:r w:rsidR="003F5D80" w:rsidRPr="00BB65B8">
        <w:rPr>
          <w:rFonts w:asciiTheme="majorBidi" w:eastAsia="黑体" w:hAnsiTheme="majorBidi" w:cstheme="majorBidi"/>
          <w:sz w:val="21"/>
          <w:szCs w:val="21"/>
        </w:rPr>
        <w:t xml:space="preserve"> represent rural statistical areas.</w:t>
      </w:r>
    </w:p>
    <w:p w14:paraId="3A12EDB9" w14:textId="77777777" w:rsidR="003F5D80" w:rsidRPr="00BB65B8" w:rsidRDefault="003F5D80" w:rsidP="00D05018">
      <w:pPr>
        <w:pStyle w:val="a7"/>
        <w:tabs>
          <w:tab w:val="left" w:pos="1470"/>
        </w:tabs>
        <w:spacing w:line="360" w:lineRule="auto"/>
        <w:ind w:firstLineChars="0" w:firstLine="0"/>
        <w:jc w:val="left"/>
        <w:rPr>
          <w:rFonts w:asciiTheme="majorBidi" w:eastAsia="黑体" w:hAnsiTheme="majorBidi" w:cstheme="majorBidi"/>
          <w:sz w:val="21"/>
          <w:szCs w:val="21"/>
        </w:rPr>
      </w:pPr>
    </w:p>
    <w:p w14:paraId="03369B1E" w14:textId="217417D9" w:rsidR="003F5D80" w:rsidRPr="00BB65B8" w:rsidRDefault="003F5D80" w:rsidP="00D05018">
      <w:pPr>
        <w:pStyle w:val="a7"/>
        <w:tabs>
          <w:tab w:val="left" w:pos="1470"/>
        </w:tabs>
        <w:spacing w:line="360" w:lineRule="auto"/>
        <w:ind w:firstLineChars="0" w:firstLine="0"/>
        <w:jc w:val="left"/>
        <w:rPr>
          <w:rFonts w:asciiTheme="majorBidi" w:eastAsia="黑体" w:hAnsiTheme="majorBidi" w:cstheme="majorBidi"/>
          <w:sz w:val="21"/>
          <w:szCs w:val="21"/>
        </w:rPr>
      </w:pPr>
      <w:r w:rsidRPr="00BB65B8">
        <w:rPr>
          <w:rFonts w:asciiTheme="majorBidi" w:eastAsia="黑体" w:hAnsiTheme="majorBidi" w:cstheme="majorBidi"/>
          <w:sz w:val="21"/>
          <w:szCs w:val="21"/>
        </w:rPr>
        <w:t>ArcMap 10.8's Focal Statistic tool was used to rasterize these administrative units for spatial alignment. A search radius of 5×5 pixels was used and the majority rule was applied to assign values. For instance, if the majority code within the 5×5 grid around a given pixel is 220 (village), the pixel is classified as a village</w:t>
      </w:r>
      <w:r w:rsidR="00D426BE" w:rsidRPr="00BB65B8">
        <w:rPr>
          <w:rFonts w:asciiTheme="majorBidi" w:eastAsia="黑体" w:hAnsiTheme="majorBidi" w:cstheme="majorBidi"/>
          <w:sz w:val="21"/>
          <w:szCs w:val="21"/>
        </w:rPr>
        <w:t xml:space="preserve"> (</w:t>
      </w:r>
      <w:r w:rsidR="00D426BE" w:rsidRPr="00461519">
        <w:rPr>
          <w:rFonts w:asciiTheme="majorBidi" w:hAnsiTheme="majorBidi" w:cstheme="majorBidi"/>
          <w:b/>
          <w:bCs/>
          <w:sz w:val="21"/>
          <w:szCs w:val="21"/>
        </w:rPr>
        <w:t xml:space="preserve">Appendix Fig. </w:t>
      </w:r>
      <w:r w:rsidR="00461519" w:rsidRPr="00461519">
        <w:rPr>
          <w:rFonts w:asciiTheme="majorBidi" w:hAnsiTheme="majorBidi" w:cstheme="majorBidi" w:hint="eastAsia"/>
          <w:b/>
          <w:bCs/>
          <w:sz w:val="21"/>
          <w:szCs w:val="21"/>
        </w:rPr>
        <w:t>10</w:t>
      </w:r>
      <w:r w:rsidR="00D426BE" w:rsidRPr="00BB65B8">
        <w:rPr>
          <w:rFonts w:asciiTheme="majorBidi" w:eastAsia="黑体" w:hAnsiTheme="majorBidi" w:cstheme="majorBidi"/>
          <w:sz w:val="21"/>
          <w:szCs w:val="21"/>
        </w:rPr>
        <w:t>)</w:t>
      </w:r>
      <w:r w:rsidRPr="00BB65B8">
        <w:rPr>
          <w:rFonts w:asciiTheme="majorBidi" w:eastAsia="黑体" w:hAnsiTheme="majorBidi" w:cstheme="majorBidi"/>
          <w:sz w:val="21"/>
          <w:szCs w:val="21"/>
        </w:rPr>
        <w:t>. The 5×5 pixel search radius was chosen based on the Marchetti constant</w:t>
      </w:r>
      <w:r w:rsidR="00CF60E4" w:rsidRPr="00BB65B8">
        <w:rPr>
          <w:rFonts w:asciiTheme="majorBidi" w:eastAsia="黑体" w:hAnsiTheme="majorBidi" w:cstheme="majorBidi"/>
          <w:sz w:val="21"/>
          <w:szCs w:val="21"/>
        </w:rPr>
        <w:t xml:space="preserve"> </w:t>
      </w:r>
      <w:r w:rsidR="00CF60E4" w:rsidRPr="00BB65B8">
        <w:rPr>
          <w:rFonts w:asciiTheme="majorBidi" w:eastAsia="黑体" w:hAnsiTheme="majorBidi" w:cstheme="majorBidi"/>
          <w:sz w:val="21"/>
          <w:szCs w:val="21"/>
        </w:rPr>
        <w:fldChar w:fldCharType="begin"/>
      </w:r>
      <w:r w:rsidR="003D4639" w:rsidRPr="00BB65B8">
        <w:rPr>
          <w:rFonts w:asciiTheme="majorBidi" w:eastAsia="黑体" w:hAnsiTheme="majorBidi" w:cstheme="majorBidi"/>
          <w:sz w:val="21"/>
          <w:szCs w:val="21"/>
        </w:rPr>
        <w:instrText xml:space="preserve"> ADDIN EN.CITE &lt;EndNote&gt;&lt;Cite&gt;&lt;Author&gt;Rhee&lt;/Author&gt;&lt;Year&gt;2011&lt;/Year&gt;&lt;RecNum&gt;3999&lt;/RecNum&gt;&lt;DisplayText&gt;&lt;style face="superscript"&gt;10&lt;/style&gt;&lt;/DisplayText&gt;&lt;record&gt;&lt;rec-number&gt;3999&lt;/rec-number&gt;&lt;foreign-keys&gt;&lt;key app="EN" db-id="50szzevsltsxs4et00mpxaph2wpxp99rfvz2" timestamp="1750744530" guid="cd1aeecd-0cba-4534-a25e-0a9743750bd4"&gt;3999&lt;/key&gt;&lt;/foreign-keys&gt;&lt;ref-type name="Journal Article"&gt;17&lt;/ref-type&gt;&lt;contributors&gt;&lt;authors&gt;&lt;author&gt;Injong, Rhee&lt;/author&gt;&lt;author&gt;Minsu, Shin&lt;/author&gt;&lt;author&gt;Seongik, Hong&lt;/author&gt;&lt;author&gt;Kyunghan, Lee&lt;/author&gt;&lt;author&gt;Seong. Joon Kim&lt;/author&gt;&lt;author&gt;Song, Chong&lt;/author&gt;&lt;/authors&gt;&lt;/contributors&gt;&lt;titles&gt;&lt;title&gt;On the Levy-Walk Nature of Human Mobility&lt;/title&gt;&lt;secondary-title&gt;IEEE/ACM Transactions on Networking&lt;/secondary-title&gt;&lt;/titles&gt;&lt;periodical&gt;&lt;full-title&gt;IEEE/ACM Transactions on Networking&lt;/full-title&gt;&lt;/periodical&gt;&lt;pages&gt;630-643&lt;/pages&gt;&lt;volume&gt;19&lt;/volume&gt;&lt;number&gt;3&lt;/number&gt;&lt;dates&gt;&lt;year&gt;2011&lt;/year&gt;&lt;/dates&gt;&lt;isbn&gt;1558-2566&lt;/isbn&gt;&lt;urls&gt;&lt;/urls&gt;&lt;electronic-resource-num&gt;10.1109/TNET.2011.2120618&lt;/electronic-resource-num&gt;&lt;/record&gt;&lt;/Cite&gt;&lt;/EndNote&gt;</w:instrText>
      </w:r>
      <w:r w:rsidR="00CF60E4" w:rsidRPr="00BB65B8">
        <w:rPr>
          <w:rFonts w:asciiTheme="majorBidi" w:eastAsia="黑体" w:hAnsiTheme="majorBidi" w:cstheme="majorBidi"/>
          <w:sz w:val="21"/>
          <w:szCs w:val="21"/>
        </w:rPr>
        <w:fldChar w:fldCharType="separate"/>
      </w:r>
      <w:r w:rsidR="003D4639" w:rsidRPr="00BB65B8">
        <w:rPr>
          <w:rFonts w:asciiTheme="majorBidi" w:eastAsia="黑体" w:hAnsiTheme="majorBidi" w:cstheme="majorBidi"/>
          <w:noProof/>
          <w:sz w:val="21"/>
          <w:szCs w:val="21"/>
          <w:vertAlign w:val="superscript"/>
        </w:rPr>
        <w:t>10</w:t>
      </w:r>
      <w:r w:rsidR="00CF60E4" w:rsidRPr="00BB65B8">
        <w:rPr>
          <w:rFonts w:asciiTheme="majorBidi" w:eastAsia="黑体" w:hAnsiTheme="majorBidi" w:cstheme="majorBidi"/>
          <w:sz w:val="21"/>
          <w:szCs w:val="21"/>
        </w:rPr>
        <w:fldChar w:fldCharType="end"/>
      </w:r>
      <w:r w:rsidRPr="00BB65B8">
        <w:rPr>
          <w:rFonts w:asciiTheme="majorBidi" w:eastAsia="黑体" w:hAnsiTheme="majorBidi" w:cstheme="majorBidi"/>
          <w:sz w:val="21"/>
          <w:szCs w:val="21"/>
        </w:rPr>
        <w:t>, which reflects the typical range of daily human activities.</w:t>
      </w:r>
    </w:p>
    <w:p w14:paraId="60E97742" w14:textId="77777777" w:rsidR="003F5D80" w:rsidRPr="00BB65B8" w:rsidRDefault="003F5D80" w:rsidP="00817575">
      <w:pPr>
        <w:pStyle w:val="a7"/>
        <w:tabs>
          <w:tab w:val="left" w:pos="1470"/>
        </w:tabs>
        <w:spacing w:line="360" w:lineRule="auto"/>
        <w:ind w:firstLineChars="0" w:firstLine="0"/>
        <w:jc w:val="center"/>
        <w:rPr>
          <w:rFonts w:asciiTheme="majorBidi" w:eastAsia="黑体" w:hAnsiTheme="majorBidi" w:cstheme="majorBidi"/>
          <w:sz w:val="21"/>
          <w:szCs w:val="21"/>
        </w:rPr>
      </w:pPr>
      <w:r w:rsidRPr="00BB65B8">
        <w:rPr>
          <w:rFonts w:asciiTheme="majorBidi" w:eastAsia="黑体" w:hAnsiTheme="majorBidi" w:cstheme="majorBidi"/>
          <w:noProof/>
          <w:sz w:val="21"/>
          <w:szCs w:val="21"/>
        </w:rPr>
        <w:drawing>
          <wp:inline distT="0" distB="0" distL="0" distR="0" wp14:anchorId="6E92E1E8" wp14:editId="13F16E3B">
            <wp:extent cx="4261899" cy="1515888"/>
            <wp:effectExtent l="0" t="0" r="5715" b="8255"/>
            <wp:docPr id="2008056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5897" cy="1524424"/>
                    </a:xfrm>
                    <a:prstGeom prst="rect">
                      <a:avLst/>
                    </a:prstGeom>
                    <a:noFill/>
                  </pic:spPr>
                </pic:pic>
              </a:graphicData>
            </a:graphic>
          </wp:inline>
        </w:drawing>
      </w:r>
    </w:p>
    <w:p w14:paraId="6D7F8BB1" w14:textId="5BDE55F0" w:rsidR="00B02F1F" w:rsidRPr="00BB65B8" w:rsidRDefault="00292E65" w:rsidP="00D05018">
      <w:pPr>
        <w:tabs>
          <w:tab w:val="left" w:pos="1470"/>
        </w:tabs>
        <w:spacing w:line="360" w:lineRule="auto"/>
        <w:jc w:val="left"/>
        <w:rPr>
          <w:rFonts w:asciiTheme="majorBidi" w:hAnsiTheme="majorBidi" w:cstheme="majorBidi"/>
          <w:b/>
          <w:bCs/>
          <w:sz w:val="21"/>
          <w:szCs w:val="21"/>
        </w:rPr>
      </w:pPr>
      <w:r w:rsidRPr="00461519">
        <w:rPr>
          <w:rFonts w:asciiTheme="majorBidi" w:hAnsiTheme="majorBidi" w:cstheme="majorBidi"/>
          <w:b/>
          <w:bCs/>
          <w:sz w:val="21"/>
          <w:szCs w:val="21"/>
        </w:rPr>
        <w:t xml:space="preserve">Appendix Fig. </w:t>
      </w:r>
      <w:r w:rsidR="00461519" w:rsidRPr="00461519">
        <w:rPr>
          <w:rFonts w:asciiTheme="majorBidi" w:hAnsiTheme="majorBidi" w:cstheme="majorBidi" w:hint="eastAsia"/>
          <w:b/>
          <w:bCs/>
          <w:sz w:val="21"/>
          <w:szCs w:val="21"/>
        </w:rPr>
        <w:t>10</w:t>
      </w:r>
      <w:r w:rsidR="00631598">
        <w:rPr>
          <w:rFonts w:asciiTheme="majorBidi" w:hAnsiTheme="majorBidi" w:cstheme="majorBidi" w:hint="eastAsia"/>
          <w:b/>
          <w:bCs/>
          <w:sz w:val="21"/>
          <w:szCs w:val="21"/>
        </w:rPr>
        <w:t>:</w:t>
      </w:r>
      <w:r w:rsidR="00224A5C" w:rsidRPr="00BB65B8">
        <w:rPr>
          <w:rFonts w:asciiTheme="majorBidi" w:hAnsiTheme="majorBidi" w:cstheme="majorBidi"/>
          <w:b/>
          <w:bCs/>
          <w:sz w:val="21"/>
          <w:szCs w:val="21"/>
        </w:rPr>
        <w:t xml:space="preserve"> </w:t>
      </w:r>
      <w:r w:rsidR="00B02F1F" w:rsidRPr="00BB65B8">
        <w:rPr>
          <w:rFonts w:asciiTheme="majorBidi" w:hAnsiTheme="majorBidi" w:cstheme="majorBidi"/>
          <w:b/>
          <w:bCs/>
          <w:sz w:val="21"/>
          <w:szCs w:val="21"/>
        </w:rPr>
        <w:t>Conversion of urban and rural basic administrative units into grids</w:t>
      </w:r>
      <w:r w:rsidR="00012E00" w:rsidRPr="00BB65B8">
        <w:rPr>
          <w:rFonts w:asciiTheme="majorBidi" w:hAnsiTheme="majorBidi" w:cstheme="majorBidi"/>
          <w:b/>
          <w:bCs/>
          <w:sz w:val="21"/>
          <w:szCs w:val="21"/>
        </w:rPr>
        <w:t>.</w:t>
      </w:r>
    </w:p>
    <w:p w14:paraId="11D29240" w14:textId="77777777" w:rsidR="00CB30E9" w:rsidRPr="00BB65B8" w:rsidRDefault="00CB30E9" w:rsidP="00D05018">
      <w:pPr>
        <w:pStyle w:val="a7"/>
        <w:tabs>
          <w:tab w:val="left" w:pos="1470"/>
        </w:tabs>
        <w:spacing w:line="360" w:lineRule="auto"/>
        <w:ind w:firstLineChars="0" w:firstLine="0"/>
        <w:jc w:val="left"/>
        <w:rPr>
          <w:rFonts w:asciiTheme="majorBidi" w:eastAsia="黑体" w:hAnsiTheme="majorBidi" w:cstheme="majorBidi"/>
          <w:sz w:val="21"/>
          <w:szCs w:val="21"/>
        </w:rPr>
      </w:pPr>
    </w:p>
    <w:p w14:paraId="24986705" w14:textId="1EE2FF5F" w:rsidR="00CB30E9" w:rsidRPr="00BB65B8" w:rsidRDefault="004B065F" w:rsidP="00D05018">
      <w:pPr>
        <w:pStyle w:val="2"/>
        <w:numPr>
          <w:ilvl w:val="1"/>
          <w:numId w:val="2"/>
        </w:numPr>
        <w:tabs>
          <w:tab w:val="left" w:pos="1470"/>
        </w:tabs>
        <w:spacing w:line="360" w:lineRule="auto"/>
        <w:jc w:val="left"/>
        <w:rPr>
          <w:rFonts w:asciiTheme="majorBidi" w:hAnsiTheme="majorBidi"/>
          <w:sz w:val="21"/>
          <w:szCs w:val="21"/>
        </w:rPr>
      </w:pPr>
      <w:r w:rsidRPr="00BB65B8">
        <w:rPr>
          <w:rFonts w:asciiTheme="majorBidi" w:hAnsiTheme="majorBidi"/>
          <w:sz w:val="21"/>
          <w:szCs w:val="21"/>
        </w:rPr>
        <w:t>Calculating livelihoods and quality of life in rural household surveys</w:t>
      </w:r>
    </w:p>
    <w:p w14:paraId="0C0F58C8" w14:textId="4D19A0DD" w:rsidR="004B065F" w:rsidRPr="00BB65B8" w:rsidRDefault="00B25733" w:rsidP="00D05018">
      <w:pPr>
        <w:pStyle w:val="3"/>
        <w:numPr>
          <w:ilvl w:val="2"/>
          <w:numId w:val="2"/>
        </w:numPr>
        <w:spacing w:line="360" w:lineRule="auto"/>
        <w:jc w:val="left"/>
        <w:rPr>
          <w:rFonts w:asciiTheme="majorBidi" w:hAnsiTheme="majorBidi" w:cstheme="majorBidi"/>
          <w:sz w:val="21"/>
          <w:szCs w:val="21"/>
        </w:rPr>
      </w:pPr>
      <w:r w:rsidRPr="00BB65B8">
        <w:rPr>
          <w:rFonts w:asciiTheme="majorBidi" w:hAnsiTheme="majorBidi" w:cstheme="majorBidi"/>
          <w:sz w:val="21"/>
          <w:szCs w:val="21"/>
        </w:rPr>
        <w:t>The definition and evolution of livelihoods</w:t>
      </w:r>
    </w:p>
    <w:p w14:paraId="112D4104" w14:textId="515B0A29" w:rsidR="003F5D80" w:rsidRPr="00BB65B8" w:rsidRDefault="003F5D80" w:rsidP="00D05018">
      <w:pPr>
        <w:pStyle w:val="a7"/>
        <w:tabs>
          <w:tab w:val="left" w:pos="1470"/>
        </w:tabs>
        <w:spacing w:line="360" w:lineRule="auto"/>
        <w:ind w:firstLineChars="0" w:firstLine="0"/>
        <w:jc w:val="left"/>
        <w:rPr>
          <w:rFonts w:asciiTheme="majorBidi" w:eastAsia="黑体" w:hAnsiTheme="majorBidi" w:cstheme="majorBidi"/>
          <w:sz w:val="21"/>
          <w:szCs w:val="21"/>
        </w:rPr>
      </w:pPr>
      <w:r w:rsidRPr="00BB65B8">
        <w:rPr>
          <w:rFonts w:asciiTheme="majorBidi" w:eastAsia="黑体" w:hAnsiTheme="majorBidi" w:cstheme="majorBidi"/>
          <w:sz w:val="21"/>
          <w:szCs w:val="21"/>
        </w:rPr>
        <w:t>This study utilized the urban and rural household survey data from the China Family Panel Studies (CFPS)</w:t>
      </w:r>
      <w:r w:rsidR="00EA084B" w:rsidRPr="00BB65B8">
        <w:rPr>
          <w:rFonts w:asciiTheme="majorBidi" w:eastAsia="黑体" w:hAnsiTheme="majorBidi" w:cstheme="majorBidi"/>
          <w:sz w:val="21"/>
          <w:szCs w:val="21"/>
        </w:rPr>
        <w:t xml:space="preserve"> </w:t>
      </w:r>
      <w:r w:rsidR="00EA084B" w:rsidRPr="00BB65B8">
        <w:rPr>
          <w:rFonts w:asciiTheme="majorBidi" w:eastAsia="黑体" w:hAnsiTheme="majorBidi" w:cstheme="majorBidi"/>
          <w:sz w:val="21"/>
          <w:szCs w:val="21"/>
        </w:rPr>
        <w:fldChar w:fldCharType="begin"/>
      </w:r>
      <w:r w:rsidR="00EA084B" w:rsidRPr="00BB65B8">
        <w:rPr>
          <w:rFonts w:asciiTheme="majorBidi" w:eastAsia="黑体" w:hAnsiTheme="majorBidi" w:cstheme="majorBidi"/>
          <w:sz w:val="21"/>
          <w:szCs w:val="21"/>
        </w:rPr>
        <w:instrText xml:space="preserve"> ADDIN EN.CITE &lt;EndNote&gt;&lt;Cite&gt;&lt;Author&gt;Institute of Social Science Survey&lt;/Author&gt;&lt;Year&gt;2015&lt;/Year&gt;&lt;RecNum&gt;4110&lt;/RecNum&gt;&lt;DisplayText&gt;&lt;style face="superscript"&gt;11&lt;/style&gt;&lt;/DisplayText&gt;&lt;record&gt;&lt;rec-number&gt;4110&lt;/rec-number&gt;&lt;foreign-keys&gt;&lt;key app="EN" db-id="50szzevsltsxs4et00mpxaph2wpxp99rfvz2" timestamp="1753073075"&gt;4110&lt;/key&gt;&lt;/foreign-keys&gt;&lt;ref-type name="Dataset"&gt;59&lt;/ref-type&gt;&lt;contributors&gt;&lt;authors&gt;&lt;author&gt;Institute of Social Science Survey, Peking University&lt;/author&gt;&lt;/authors&gt;&lt;secondary-authors&gt;&lt;author&gt;Institute of Social Science Survey, Peking University&lt;/author&gt;&lt;/secondary-authors&gt;&lt;subsidiary-authors&gt;&lt;author&gt;Peking, University&lt;/author&gt;&lt;author&gt;National Natural Science Foundation of, China&lt;/author&gt;&lt;/subsidiary-authors&gt;&lt;/contributors&gt;&lt;titles&gt;&lt;title&gt;China Family Panel Studies (CFPS)&lt;/title&gt;&lt;/titles&gt;&lt;edition&gt;V42&lt;/edition&gt;&lt;section&gt;2015-12-25 20:53:27.239&lt;/section&gt;&lt;dates&gt;&lt;year&gt;2015&lt;/year&gt;&lt;pub-dates&gt;&lt;date&gt;2010-04-01/2010-09-15&amp;#xD;2012-07-12/2013-03-04&amp;#xD;2014-07-04/2015-06-07&lt;/date&gt;&lt;/pub-dates&gt;&lt;/dates&gt;&lt;pub-location&gt;Peking University, Beijing&lt;/pub-location&gt;&lt;publisher&gt;Peking University Open Research Data Platform&lt;/publisher&gt;&lt;urls&gt;&lt;related-urls&gt;&lt;url&gt;https://doi.org/10.18170/DVN/45LCSO&lt;/url&gt;&lt;/related-urls&gt;&lt;/urls&gt;&lt;custom3&gt;Survey Data&lt;/custom3&gt;&lt;electronic-resource-num&gt;doi:10.18170/DVN/45LCSO&lt;/electronic-resource-num&gt;&lt;/record&gt;&lt;/Cite&gt;&lt;/EndNote&gt;</w:instrText>
      </w:r>
      <w:r w:rsidR="00EA084B" w:rsidRPr="00BB65B8">
        <w:rPr>
          <w:rFonts w:asciiTheme="majorBidi" w:eastAsia="黑体" w:hAnsiTheme="majorBidi" w:cstheme="majorBidi"/>
          <w:sz w:val="21"/>
          <w:szCs w:val="21"/>
        </w:rPr>
        <w:fldChar w:fldCharType="separate"/>
      </w:r>
      <w:r w:rsidR="00EA084B" w:rsidRPr="00BB65B8">
        <w:rPr>
          <w:rFonts w:asciiTheme="majorBidi" w:eastAsia="黑体" w:hAnsiTheme="majorBidi" w:cstheme="majorBidi"/>
          <w:noProof/>
          <w:sz w:val="21"/>
          <w:szCs w:val="21"/>
          <w:vertAlign w:val="superscript"/>
        </w:rPr>
        <w:t>11</w:t>
      </w:r>
      <w:r w:rsidR="00EA084B" w:rsidRPr="00BB65B8">
        <w:rPr>
          <w:rFonts w:asciiTheme="majorBidi" w:eastAsia="黑体" w:hAnsiTheme="majorBidi" w:cstheme="majorBidi"/>
          <w:sz w:val="21"/>
          <w:szCs w:val="21"/>
        </w:rPr>
        <w:fldChar w:fldCharType="end"/>
      </w:r>
      <w:r w:rsidRPr="00BB65B8">
        <w:rPr>
          <w:rFonts w:asciiTheme="majorBidi" w:eastAsia="黑体" w:hAnsiTheme="majorBidi" w:cstheme="majorBidi"/>
          <w:sz w:val="21"/>
          <w:szCs w:val="21"/>
        </w:rPr>
        <w:t xml:space="preserve">. CFPS, initiated by Peking University, is a nationally representative longitudinal survey focusing on Chinese society, families, and residents. Using CFPS data from 2010 and 2020, we extracted rural household samples corresponding to rural centers and villages in the statistical urban-rural </w:t>
      </w:r>
      <w:r w:rsidR="008B07C8" w:rsidRPr="00BB65B8">
        <w:rPr>
          <w:rFonts w:asciiTheme="majorBidi" w:eastAsia="黑体" w:hAnsiTheme="majorBidi" w:cstheme="majorBidi"/>
          <w:sz w:val="21"/>
          <w:szCs w:val="21"/>
        </w:rPr>
        <w:t>typology</w:t>
      </w:r>
      <w:r w:rsidRPr="00BB65B8">
        <w:rPr>
          <w:rFonts w:asciiTheme="majorBidi" w:eastAsia="黑体" w:hAnsiTheme="majorBidi" w:cstheme="majorBidi"/>
          <w:sz w:val="21"/>
          <w:szCs w:val="21"/>
        </w:rPr>
        <w:t>, resulting in a total of 9,324 matched households.</w:t>
      </w:r>
      <w:r w:rsidR="00EA084B" w:rsidRPr="00BB65B8">
        <w:rPr>
          <w:rFonts w:asciiTheme="majorBidi" w:eastAsia="黑体" w:hAnsiTheme="majorBidi" w:cstheme="majorBidi"/>
          <w:sz w:val="21"/>
          <w:szCs w:val="21"/>
        </w:rPr>
        <w:t xml:space="preserve"> </w:t>
      </w:r>
      <w:r w:rsidR="00EA084B" w:rsidRPr="00BB65B8">
        <w:rPr>
          <w:rFonts w:asciiTheme="majorBidi" w:eastAsia="黑体" w:hAnsiTheme="majorBidi" w:cstheme="majorBidi"/>
          <w:i/>
          <w:iCs/>
          <w:sz w:val="21"/>
          <w:szCs w:val="21"/>
          <w:u w:val="single"/>
        </w:rPr>
        <w:t xml:space="preserve">The data are from China </w:t>
      </w:r>
      <w:r w:rsidR="00EA084B" w:rsidRPr="00BB65B8">
        <w:rPr>
          <w:rFonts w:asciiTheme="majorBidi" w:eastAsia="黑体" w:hAnsiTheme="majorBidi" w:cstheme="majorBidi"/>
          <w:i/>
          <w:iCs/>
          <w:sz w:val="21"/>
          <w:szCs w:val="21"/>
          <w:u w:val="single"/>
        </w:rPr>
        <w:lastRenderedPageBreak/>
        <w:t>Family Panel Studies (CFPS), funded by Peking University and the National Natural Science Foundation of China. The CFPS is maintained by the Institute of Social Science Survey of Peking University.</w:t>
      </w:r>
    </w:p>
    <w:p w14:paraId="1023EF7A" w14:textId="77777777" w:rsidR="003F5D80" w:rsidRPr="00BB65B8" w:rsidRDefault="003F5D80" w:rsidP="00D05018">
      <w:pPr>
        <w:pStyle w:val="a7"/>
        <w:tabs>
          <w:tab w:val="left" w:pos="1470"/>
        </w:tabs>
        <w:spacing w:line="360" w:lineRule="auto"/>
        <w:ind w:firstLineChars="0" w:firstLine="0"/>
        <w:jc w:val="left"/>
        <w:rPr>
          <w:rFonts w:asciiTheme="majorBidi" w:eastAsia="黑体" w:hAnsiTheme="majorBidi" w:cstheme="majorBidi"/>
          <w:sz w:val="21"/>
          <w:szCs w:val="21"/>
        </w:rPr>
      </w:pPr>
    </w:p>
    <w:p w14:paraId="4DA6D790" w14:textId="541237A7" w:rsidR="003F5D80" w:rsidRPr="00BB65B8" w:rsidRDefault="001F06C7" w:rsidP="00D05018">
      <w:pPr>
        <w:tabs>
          <w:tab w:val="left" w:pos="1470"/>
        </w:tabs>
        <w:spacing w:line="360" w:lineRule="auto"/>
        <w:jc w:val="left"/>
        <w:rPr>
          <w:rFonts w:asciiTheme="majorBidi" w:eastAsia="黑体" w:hAnsiTheme="majorBidi" w:cstheme="majorBidi"/>
          <w:sz w:val="21"/>
          <w:szCs w:val="21"/>
        </w:rPr>
      </w:pPr>
      <w:r w:rsidRPr="00BB65B8">
        <w:rPr>
          <w:rFonts w:asciiTheme="majorBidi" w:eastAsia="黑体" w:hAnsiTheme="majorBidi" w:cstheme="majorBidi"/>
          <w:sz w:val="21"/>
          <w:szCs w:val="21"/>
        </w:rPr>
        <w:t>We defined livelihood types based on the income structure of rural households.</w:t>
      </w:r>
      <w:r w:rsidR="003F5D80" w:rsidRPr="00BB65B8">
        <w:rPr>
          <w:rFonts w:asciiTheme="majorBidi" w:eastAsia="黑体" w:hAnsiTheme="majorBidi" w:cstheme="majorBidi"/>
          <w:sz w:val="21"/>
          <w:szCs w:val="21"/>
        </w:rPr>
        <w:t xml:space="preserve"> Agricultural income was calculated as the difference between total income and non-agricultural income. The proportions of agricultural and non-agricultural income were then computed, and rural household livelihood types were classified into four categories—agriculture-dominated, agriculture-dominated with non-agriculture, non-agriculture-dominated with agriculture, and non-agriculture-dominated—using K-means clustering</w:t>
      </w:r>
      <w:r w:rsidR="000D6CFD" w:rsidRPr="00BB65B8">
        <w:rPr>
          <w:rFonts w:asciiTheme="majorBidi" w:eastAsia="黑体" w:hAnsiTheme="majorBidi" w:cstheme="majorBidi"/>
          <w:sz w:val="21"/>
          <w:szCs w:val="21"/>
        </w:rPr>
        <w:t xml:space="preserve"> </w:t>
      </w:r>
      <w:r w:rsidR="000D6CFD" w:rsidRPr="00BB65B8">
        <w:rPr>
          <w:rFonts w:asciiTheme="majorBidi" w:eastAsia="黑体" w:hAnsiTheme="majorBidi" w:cstheme="majorBidi"/>
          <w:sz w:val="21"/>
          <w:szCs w:val="21"/>
        </w:rPr>
        <w:fldChar w:fldCharType="begin"/>
      </w:r>
      <w:r w:rsidR="003D4639" w:rsidRPr="00BB65B8">
        <w:rPr>
          <w:rFonts w:asciiTheme="majorBidi" w:eastAsia="黑体" w:hAnsiTheme="majorBidi" w:cstheme="majorBidi"/>
          <w:sz w:val="21"/>
          <w:szCs w:val="21"/>
        </w:rPr>
        <w:instrText xml:space="preserve"> ADDIN EN.CITE &lt;EndNote&gt;&lt;Cite&gt;&lt;Author&gt;Cui&lt;/Author&gt;&lt;Year&gt;2025&lt;/Year&gt;&lt;RecNum&gt;3849&lt;/RecNum&gt;&lt;DisplayText&gt;&lt;style face="superscript"&gt;12&lt;/style&gt;&lt;/DisplayText&gt;&lt;record&gt;&lt;rec-number&gt;3849&lt;/rec-number&gt;&lt;foreign-keys&gt;&lt;key app="EN" db-id="50szzevsltsxs4et00mpxaph2wpxp99rfvz2" timestamp="1739029520" guid="5c47716b-8bd9-49df-a068-fb26c3040be8"&gt;3849&lt;/key&gt;&lt;/foreign-keys&gt;&lt;ref-type name="Journal Article"&gt;17&lt;/ref-type&gt;&lt;contributors&gt;&lt;authors&gt;&lt;author&gt;Cui, Hongping&lt;/author&gt;&lt;author&gt;Wang, Ying&lt;/author&gt;&lt;author&gt;Wang, Weiwen&lt;/author&gt;&lt;author&gt;Liu, Chongchong&lt;/author&gt;&lt;/authors&gt;&lt;/contributors&gt;&lt;titles&gt;&lt;title&gt;Rural households&amp;apos; livelihood transitions in China: processes, drivers and outcomes&lt;/title&gt;&lt;secondary-title&gt;China Agricultural Economic Review&lt;/secondary-title&gt;&lt;/titles&gt;&lt;periodical&gt;&lt;full-title&gt;China Agricultural Economic Review&lt;/full-title&gt;&lt;/periodical&gt;&lt;pages&gt;171-190&lt;/pages&gt;&lt;volume&gt;17&lt;/volume&gt;&lt;number&gt;1&lt;/number&gt;&lt;dates&gt;&lt;year&gt;2025&lt;/year&gt;&lt;/dates&gt;&lt;publisher&gt;Emerald Publishing Limited&lt;/publisher&gt;&lt;isbn&gt;1756-137X, 1756-1388&lt;/isbn&gt;&lt;urls&gt;&lt;related-urls&gt;&lt;url&gt;https://doi.org/10.1108/CAER-11-2023-0346&lt;/url&gt;&lt;/related-urls&gt;&lt;/urls&gt;&lt;electronic-resource-num&gt;10.1108/CAER-11-2023-0346&lt;/electronic-resource-num&gt;&lt;access-date&gt;2025/01/27&lt;/access-date&gt;&lt;/record&gt;&lt;/Cite&gt;&lt;/EndNote&gt;</w:instrText>
      </w:r>
      <w:r w:rsidR="000D6CFD" w:rsidRPr="00BB65B8">
        <w:rPr>
          <w:rFonts w:asciiTheme="majorBidi" w:eastAsia="黑体" w:hAnsiTheme="majorBidi" w:cstheme="majorBidi"/>
          <w:sz w:val="21"/>
          <w:szCs w:val="21"/>
        </w:rPr>
        <w:fldChar w:fldCharType="separate"/>
      </w:r>
      <w:r w:rsidR="003D4639" w:rsidRPr="00BB65B8">
        <w:rPr>
          <w:rFonts w:asciiTheme="majorBidi" w:eastAsia="黑体" w:hAnsiTheme="majorBidi" w:cstheme="majorBidi"/>
          <w:noProof/>
          <w:sz w:val="21"/>
          <w:szCs w:val="21"/>
          <w:vertAlign w:val="superscript"/>
        </w:rPr>
        <w:t>12</w:t>
      </w:r>
      <w:r w:rsidR="000D6CFD" w:rsidRPr="00BB65B8">
        <w:rPr>
          <w:rFonts w:asciiTheme="majorBidi" w:eastAsia="黑体" w:hAnsiTheme="majorBidi" w:cstheme="majorBidi"/>
          <w:sz w:val="21"/>
          <w:szCs w:val="21"/>
        </w:rPr>
        <w:fldChar w:fldCharType="end"/>
      </w:r>
      <w:r w:rsidR="00076C5F" w:rsidRPr="00BB65B8">
        <w:rPr>
          <w:rFonts w:asciiTheme="majorBidi" w:eastAsia="黑体" w:hAnsiTheme="majorBidi" w:cstheme="majorBidi"/>
          <w:sz w:val="21"/>
          <w:szCs w:val="21"/>
        </w:rPr>
        <w:t xml:space="preserve"> (</w:t>
      </w:r>
      <w:r w:rsidR="00076C5F" w:rsidRPr="005C6733">
        <w:rPr>
          <w:rFonts w:asciiTheme="majorBidi" w:eastAsia="黑体" w:hAnsiTheme="majorBidi" w:cstheme="majorBidi"/>
          <w:b/>
          <w:bCs/>
          <w:sz w:val="21"/>
          <w:szCs w:val="21"/>
        </w:rPr>
        <w:t>Table A1</w:t>
      </w:r>
      <w:r w:rsidR="00076C5F" w:rsidRPr="00BB65B8">
        <w:rPr>
          <w:rFonts w:asciiTheme="majorBidi" w:eastAsia="黑体" w:hAnsiTheme="majorBidi" w:cstheme="majorBidi"/>
          <w:sz w:val="21"/>
          <w:szCs w:val="21"/>
        </w:rPr>
        <w:t>)</w:t>
      </w:r>
      <w:r w:rsidR="003F5D80" w:rsidRPr="00BB65B8">
        <w:rPr>
          <w:rFonts w:asciiTheme="majorBidi" w:eastAsia="黑体" w:hAnsiTheme="majorBidi" w:cstheme="majorBidi"/>
          <w:sz w:val="21"/>
          <w:szCs w:val="21"/>
        </w:rPr>
        <w:t>.</w:t>
      </w:r>
    </w:p>
    <w:p w14:paraId="1C00D866" w14:textId="77777777" w:rsidR="005E021E" w:rsidRPr="00BB65B8" w:rsidRDefault="005E021E" w:rsidP="00D05018">
      <w:pPr>
        <w:tabs>
          <w:tab w:val="left" w:pos="1470"/>
        </w:tabs>
        <w:spacing w:line="360" w:lineRule="auto"/>
        <w:jc w:val="left"/>
        <w:rPr>
          <w:rFonts w:asciiTheme="majorBidi" w:eastAsia="黑体" w:hAnsiTheme="majorBidi" w:cstheme="majorBidi"/>
          <w:sz w:val="21"/>
          <w:szCs w:val="21"/>
        </w:rPr>
      </w:pPr>
    </w:p>
    <w:p w14:paraId="280AB4B9" w14:textId="5BEAA7F8" w:rsidR="00D1323F" w:rsidRPr="005C6733" w:rsidRDefault="00D1323F" w:rsidP="00D05018">
      <w:pPr>
        <w:tabs>
          <w:tab w:val="left" w:pos="1470"/>
        </w:tabs>
        <w:spacing w:line="360" w:lineRule="auto"/>
        <w:jc w:val="left"/>
        <w:rPr>
          <w:rFonts w:asciiTheme="majorBidi" w:eastAsia="黑体" w:hAnsiTheme="majorBidi" w:cstheme="majorBidi"/>
          <w:b/>
          <w:bCs/>
          <w:sz w:val="21"/>
          <w:szCs w:val="21"/>
        </w:rPr>
      </w:pPr>
      <w:r w:rsidRPr="005C6733">
        <w:rPr>
          <w:rFonts w:asciiTheme="majorBidi" w:eastAsia="黑体" w:hAnsiTheme="majorBidi" w:cstheme="majorBidi"/>
          <w:b/>
          <w:bCs/>
          <w:sz w:val="21"/>
          <w:szCs w:val="21"/>
        </w:rPr>
        <w:t>Tabe A1</w:t>
      </w:r>
      <w:r w:rsidR="00631598">
        <w:rPr>
          <w:rFonts w:asciiTheme="majorBidi" w:hAnsiTheme="majorBidi" w:cstheme="majorBidi" w:hint="eastAsia"/>
          <w:b/>
          <w:bCs/>
          <w:sz w:val="21"/>
          <w:szCs w:val="21"/>
        </w:rPr>
        <w:t>:</w:t>
      </w:r>
      <w:r w:rsidR="00F70275" w:rsidRPr="005C6733">
        <w:rPr>
          <w:rFonts w:asciiTheme="majorBidi" w:eastAsia="黑体" w:hAnsiTheme="majorBidi" w:cstheme="majorBidi"/>
          <w:b/>
          <w:bCs/>
          <w:sz w:val="21"/>
          <w:szCs w:val="21"/>
        </w:rPr>
        <w:t xml:space="preserve"> </w:t>
      </w:r>
      <w:r w:rsidR="00076C5F" w:rsidRPr="005C6733">
        <w:rPr>
          <w:rFonts w:asciiTheme="majorBidi" w:eastAsia="黑体" w:hAnsiTheme="majorBidi" w:cstheme="majorBidi"/>
          <w:b/>
          <w:bCs/>
          <w:sz w:val="21"/>
          <w:szCs w:val="21"/>
        </w:rPr>
        <w:t>Livelihood types of rural household samples from 2010 to 2020.</w:t>
      </w:r>
    </w:p>
    <w:tbl>
      <w:tblPr>
        <w:tblW w:w="7140" w:type="dxa"/>
        <w:jc w:val="center"/>
        <w:tblLook w:val="04A0" w:firstRow="1" w:lastRow="0" w:firstColumn="1" w:lastColumn="0" w:noHBand="0" w:noVBand="1"/>
      </w:tblPr>
      <w:tblGrid>
        <w:gridCol w:w="2100"/>
        <w:gridCol w:w="2100"/>
        <w:gridCol w:w="2940"/>
      </w:tblGrid>
      <w:tr w:rsidR="00D1323F" w:rsidRPr="00BB65B8" w14:paraId="59B46B56" w14:textId="77777777" w:rsidTr="00817575">
        <w:trPr>
          <w:trHeight w:val="300"/>
          <w:jc w:val="center"/>
        </w:trPr>
        <w:tc>
          <w:tcPr>
            <w:tcW w:w="2100" w:type="dxa"/>
            <w:tcBorders>
              <w:top w:val="single" w:sz="8" w:space="0" w:color="auto"/>
              <w:left w:val="nil"/>
              <w:bottom w:val="single" w:sz="8" w:space="0" w:color="auto"/>
              <w:right w:val="nil"/>
            </w:tcBorders>
            <w:shd w:val="clear" w:color="000000" w:fill="FFFFFF"/>
            <w:noWrap/>
            <w:vAlign w:val="bottom"/>
            <w:hideMark/>
          </w:tcPr>
          <w:p w14:paraId="5BF754CA" w14:textId="16216116"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Livelihood</w:t>
            </w:r>
            <w:r w:rsidR="00267206" w:rsidRPr="00BB65B8">
              <w:rPr>
                <w:rFonts w:asciiTheme="majorBidi" w:eastAsia="等线" w:hAnsiTheme="majorBidi" w:cstheme="majorBidi"/>
                <w:color w:val="000000"/>
                <w:kern w:val="0"/>
                <w:sz w:val="21"/>
                <w:szCs w:val="21"/>
                <w14:ligatures w14:val="none"/>
              </w:rPr>
              <w:t>s</w:t>
            </w:r>
            <w:r w:rsidRPr="00BB65B8">
              <w:rPr>
                <w:rFonts w:asciiTheme="majorBidi" w:eastAsia="等线" w:hAnsiTheme="majorBidi" w:cstheme="majorBidi"/>
                <w:color w:val="000000"/>
                <w:kern w:val="0"/>
                <w:sz w:val="21"/>
                <w:szCs w:val="21"/>
                <w14:ligatures w14:val="none"/>
              </w:rPr>
              <w:t xml:space="preserve"> in 2010</w:t>
            </w:r>
          </w:p>
        </w:tc>
        <w:tc>
          <w:tcPr>
            <w:tcW w:w="2100" w:type="dxa"/>
            <w:tcBorders>
              <w:top w:val="single" w:sz="8" w:space="0" w:color="auto"/>
              <w:left w:val="nil"/>
              <w:bottom w:val="single" w:sz="8" w:space="0" w:color="auto"/>
              <w:right w:val="nil"/>
            </w:tcBorders>
            <w:shd w:val="clear" w:color="000000" w:fill="FFFFFF"/>
            <w:noWrap/>
            <w:vAlign w:val="bottom"/>
            <w:hideMark/>
          </w:tcPr>
          <w:p w14:paraId="3A7CAE63" w14:textId="19965400"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Livelihood</w:t>
            </w:r>
            <w:r w:rsidR="00267206" w:rsidRPr="00BB65B8">
              <w:rPr>
                <w:rFonts w:asciiTheme="majorBidi" w:eastAsia="等线" w:hAnsiTheme="majorBidi" w:cstheme="majorBidi"/>
                <w:color w:val="000000"/>
                <w:kern w:val="0"/>
                <w:sz w:val="21"/>
                <w:szCs w:val="21"/>
                <w14:ligatures w14:val="none"/>
              </w:rPr>
              <w:t>s</w:t>
            </w:r>
            <w:r w:rsidRPr="00BB65B8">
              <w:rPr>
                <w:rFonts w:asciiTheme="majorBidi" w:eastAsia="等线" w:hAnsiTheme="majorBidi" w:cstheme="majorBidi"/>
                <w:color w:val="000000"/>
                <w:kern w:val="0"/>
                <w:sz w:val="21"/>
                <w:szCs w:val="21"/>
                <w14:ligatures w14:val="none"/>
              </w:rPr>
              <w:t xml:space="preserve"> in 2020</w:t>
            </w:r>
          </w:p>
        </w:tc>
        <w:tc>
          <w:tcPr>
            <w:tcW w:w="2940" w:type="dxa"/>
            <w:tcBorders>
              <w:top w:val="single" w:sz="8" w:space="0" w:color="auto"/>
              <w:left w:val="nil"/>
              <w:bottom w:val="single" w:sz="8" w:space="0" w:color="auto"/>
              <w:right w:val="nil"/>
            </w:tcBorders>
            <w:shd w:val="clear" w:color="DDEBF7" w:fill="FFFFFF"/>
            <w:noWrap/>
            <w:vAlign w:val="center"/>
            <w:hideMark/>
          </w:tcPr>
          <w:p w14:paraId="5C3AE01C"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Number of households</w:t>
            </w:r>
          </w:p>
        </w:tc>
      </w:tr>
      <w:tr w:rsidR="00D1323F" w:rsidRPr="00BB65B8" w14:paraId="024E1FD5"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7986A1EC"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 Dom.</w:t>
            </w:r>
          </w:p>
        </w:tc>
        <w:tc>
          <w:tcPr>
            <w:tcW w:w="2100" w:type="dxa"/>
            <w:tcBorders>
              <w:top w:val="nil"/>
              <w:left w:val="nil"/>
              <w:bottom w:val="nil"/>
              <w:right w:val="nil"/>
            </w:tcBorders>
            <w:shd w:val="clear" w:color="000000" w:fill="FFFFFF"/>
            <w:noWrap/>
            <w:vAlign w:val="bottom"/>
            <w:hideMark/>
          </w:tcPr>
          <w:p w14:paraId="3CFED937"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 Dom.</w:t>
            </w:r>
          </w:p>
        </w:tc>
        <w:tc>
          <w:tcPr>
            <w:tcW w:w="2940" w:type="dxa"/>
            <w:tcBorders>
              <w:top w:val="nil"/>
              <w:left w:val="nil"/>
              <w:bottom w:val="nil"/>
              <w:right w:val="nil"/>
            </w:tcBorders>
            <w:shd w:val="clear" w:color="000000" w:fill="FFFFFF"/>
            <w:noWrap/>
            <w:vAlign w:val="center"/>
            <w:hideMark/>
          </w:tcPr>
          <w:p w14:paraId="17DFDDD6"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104</w:t>
            </w:r>
          </w:p>
        </w:tc>
      </w:tr>
      <w:tr w:rsidR="00D1323F" w:rsidRPr="00BB65B8" w14:paraId="25DE4274"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0A27CDA1"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 Dom.</w:t>
            </w:r>
          </w:p>
        </w:tc>
        <w:tc>
          <w:tcPr>
            <w:tcW w:w="2100" w:type="dxa"/>
            <w:tcBorders>
              <w:top w:val="nil"/>
              <w:left w:val="nil"/>
              <w:bottom w:val="nil"/>
              <w:right w:val="nil"/>
            </w:tcBorders>
            <w:shd w:val="clear" w:color="000000" w:fill="FFFFFF"/>
            <w:noWrap/>
            <w:vAlign w:val="bottom"/>
            <w:hideMark/>
          </w:tcPr>
          <w:p w14:paraId="34084327"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Agri.+Non-Agri</w:t>
            </w:r>
          </w:p>
        </w:tc>
        <w:tc>
          <w:tcPr>
            <w:tcW w:w="2940" w:type="dxa"/>
            <w:tcBorders>
              <w:top w:val="nil"/>
              <w:left w:val="nil"/>
              <w:bottom w:val="nil"/>
              <w:right w:val="nil"/>
            </w:tcBorders>
            <w:shd w:val="clear" w:color="000000" w:fill="FFFFFF"/>
            <w:noWrap/>
            <w:vAlign w:val="center"/>
            <w:hideMark/>
          </w:tcPr>
          <w:p w14:paraId="3C04F957"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99</w:t>
            </w:r>
          </w:p>
        </w:tc>
      </w:tr>
      <w:tr w:rsidR="00D1323F" w:rsidRPr="00BB65B8" w14:paraId="1CA34EDF"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5AA83501"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 Dom.</w:t>
            </w:r>
          </w:p>
        </w:tc>
        <w:tc>
          <w:tcPr>
            <w:tcW w:w="2100" w:type="dxa"/>
            <w:tcBorders>
              <w:top w:val="nil"/>
              <w:left w:val="nil"/>
              <w:bottom w:val="nil"/>
              <w:right w:val="nil"/>
            </w:tcBorders>
            <w:shd w:val="clear" w:color="000000" w:fill="FFFFFF"/>
            <w:noWrap/>
            <w:vAlign w:val="bottom"/>
            <w:hideMark/>
          </w:tcPr>
          <w:p w14:paraId="0206518A"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Non.Agri.+Agri</w:t>
            </w:r>
          </w:p>
        </w:tc>
        <w:tc>
          <w:tcPr>
            <w:tcW w:w="2940" w:type="dxa"/>
            <w:tcBorders>
              <w:top w:val="nil"/>
              <w:left w:val="nil"/>
              <w:bottom w:val="nil"/>
              <w:right w:val="nil"/>
            </w:tcBorders>
            <w:shd w:val="clear" w:color="000000" w:fill="FFFFFF"/>
            <w:noWrap/>
            <w:vAlign w:val="center"/>
            <w:hideMark/>
          </w:tcPr>
          <w:p w14:paraId="4772DD5F"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146</w:t>
            </w:r>
          </w:p>
        </w:tc>
      </w:tr>
      <w:tr w:rsidR="00D1323F" w:rsidRPr="00BB65B8" w14:paraId="079D7640"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401584D2"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 Dom.</w:t>
            </w:r>
          </w:p>
        </w:tc>
        <w:tc>
          <w:tcPr>
            <w:tcW w:w="2100" w:type="dxa"/>
            <w:tcBorders>
              <w:top w:val="nil"/>
              <w:left w:val="nil"/>
              <w:bottom w:val="nil"/>
              <w:right w:val="nil"/>
            </w:tcBorders>
            <w:shd w:val="clear" w:color="000000" w:fill="FFFFFF"/>
            <w:noWrap/>
            <w:vAlign w:val="bottom"/>
            <w:hideMark/>
          </w:tcPr>
          <w:p w14:paraId="149554E4"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 -Agri. Dom.</w:t>
            </w:r>
          </w:p>
        </w:tc>
        <w:tc>
          <w:tcPr>
            <w:tcW w:w="2940" w:type="dxa"/>
            <w:tcBorders>
              <w:top w:val="nil"/>
              <w:left w:val="nil"/>
              <w:bottom w:val="nil"/>
              <w:right w:val="nil"/>
            </w:tcBorders>
            <w:shd w:val="clear" w:color="000000" w:fill="FFFFFF"/>
            <w:noWrap/>
            <w:vAlign w:val="center"/>
            <w:hideMark/>
          </w:tcPr>
          <w:p w14:paraId="3FE6782F"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560</w:t>
            </w:r>
          </w:p>
        </w:tc>
      </w:tr>
      <w:tr w:rsidR="00D1323F" w:rsidRPr="00BB65B8" w14:paraId="697E8FE5"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3ECE1A31"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Agri.+Non-Agri</w:t>
            </w:r>
          </w:p>
        </w:tc>
        <w:tc>
          <w:tcPr>
            <w:tcW w:w="2100" w:type="dxa"/>
            <w:tcBorders>
              <w:top w:val="nil"/>
              <w:left w:val="nil"/>
              <w:bottom w:val="nil"/>
              <w:right w:val="nil"/>
            </w:tcBorders>
            <w:shd w:val="clear" w:color="000000" w:fill="FFFFFF"/>
            <w:noWrap/>
            <w:vAlign w:val="bottom"/>
            <w:hideMark/>
          </w:tcPr>
          <w:p w14:paraId="03CF9256"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 Dom.</w:t>
            </w:r>
          </w:p>
        </w:tc>
        <w:tc>
          <w:tcPr>
            <w:tcW w:w="2940" w:type="dxa"/>
            <w:tcBorders>
              <w:top w:val="nil"/>
              <w:left w:val="nil"/>
              <w:bottom w:val="nil"/>
              <w:right w:val="nil"/>
            </w:tcBorders>
            <w:shd w:val="clear" w:color="000000" w:fill="FFFFFF"/>
            <w:noWrap/>
            <w:vAlign w:val="center"/>
            <w:hideMark/>
          </w:tcPr>
          <w:p w14:paraId="4D2D9A20"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78</w:t>
            </w:r>
          </w:p>
        </w:tc>
      </w:tr>
      <w:tr w:rsidR="00D1323F" w:rsidRPr="00BB65B8" w14:paraId="6489DFA8"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37632EF7"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Agri.+Non-Agri</w:t>
            </w:r>
          </w:p>
        </w:tc>
        <w:tc>
          <w:tcPr>
            <w:tcW w:w="2100" w:type="dxa"/>
            <w:tcBorders>
              <w:top w:val="nil"/>
              <w:left w:val="nil"/>
              <w:bottom w:val="nil"/>
              <w:right w:val="nil"/>
            </w:tcBorders>
            <w:shd w:val="clear" w:color="000000" w:fill="FFFFFF"/>
            <w:noWrap/>
            <w:vAlign w:val="bottom"/>
            <w:hideMark/>
          </w:tcPr>
          <w:p w14:paraId="730D8D59"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Agri.+Non-Agri</w:t>
            </w:r>
          </w:p>
        </w:tc>
        <w:tc>
          <w:tcPr>
            <w:tcW w:w="2940" w:type="dxa"/>
            <w:tcBorders>
              <w:top w:val="nil"/>
              <w:left w:val="nil"/>
              <w:bottom w:val="nil"/>
              <w:right w:val="nil"/>
            </w:tcBorders>
            <w:shd w:val="clear" w:color="000000" w:fill="FFFFFF"/>
            <w:noWrap/>
            <w:vAlign w:val="center"/>
            <w:hideMark/>
          </w:tcPr>
          <w:p w14:paraId="69F48471"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104</w:t>
            </w:r>
          </w:p>
        </w:tc>
      </w:tr>
      <w:tr w:rsidR="00D1323F" w:rsidRPr="00BB65B8" w14:paraId="11CD9C0E"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18560C7F"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Agri.+Non-Agri</w:t>
            </w:r>
          </w:p>
        </w:tc>
        <w:tc>
          <w:tcPr>
            <w:tcW w:w="2100" w:type="dxa"/>
            <w:tcBorders>
              <w:top w:val="nil"/>
              <w:left w:val="nil"/>
              <w:bottom w:val="nil"/>
              <w:right w:val="nil"/>
            </w:tcBorders>
            <w:shd w:val="clear" w:color="000000" w:fill="FFFFFF"/>
            <w:noWrap/>
            <w:vAlign w:val="bottom"/>
            <w:hideMark/>
          </w:tcPr>
          <w:p w14:paraId="382A1D28"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Non.Agri.+Agri</w:t>
            </w:r>
          </w:p>
        </w:tc>
        <w:tc>
          <w:tcPr>
            <w:tcW w:w="2940" w:type="dxa"/>
            <w:tcBorders>
              <w:top w:val="nil"/>
              <w:left w:val="nil"/>
              <w:bottom w:val="nil"/>
              <w:right w:val="nil"/>
            </w:tcBorders>
            <w:shd w:val="clear" w:color="000000" w:fill="FFFFFF"/>
            <w:noWrap/>
            <w:vAlign w:val="center"/>
            <w:hideMark/>
          </w:tcPr>
          <w:p w14:paraId="42AD6A23"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131</w:t>
            </w:r>
          </w:p>
        </w:tc>
      </w:tr>
      <w:tr w:rsidR="00D1323F" w:rsidRPr="00BB65B8" w14:paraId="4FAF7202"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17E888AD"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Agri.+Non-Agri</w:t>
            </w:r>
          </w:p>
        </w:tc>
        <w:tc>
          <w:tcPr>
            <w:tcW w:w="2100" w:type="dxa"/>
            <w:tcBorders>
              <w:top w:val="nil"/>
              <w:left w:val="nil"/>
              <w:bottom w:val="nil"/>
              <w:right w:val="nil"/>
            </w:tcBorders>
            <w:shd w:val="clear" w:color="000000" w:fill="FFFFFF"/>
            <w:noWrap/>
            <w:vAlign w:val="bottom"/>
            <w:hideMark/>
          </w:tcPr>
          <w:p w14:paraId="4ED0022E"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 -Agri. Dom.</w:t>
            </w:r>
          </w:p>
        </w:tc>
        <w:tc>
          <w:tcPr>
            <w:tcW w:w="2940" w:type="dxa"/>
            <w:tcBorders>
              <w:top w:val="nil"/>
              <w:left w:val="nil"/>
              <w:bottom w:val="nil"/>
              <w:right w:val="nil"/>
            </w:tcBorders>
            <w:shd w:val="clear" w:color="000000" w:fill="FFFFFF"/>
            <w:noWrap/>
            <w:vAlign w:val="center"/>
            <w:hideMark/>
          </w:tcPr>
          <w:p w14:paraId="1CF0746E"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626</w:t>
            </w:r>
          </w:p>
        </w:tc>
      </w:tr>
      <w:tr w:rsidR="00D1323F" w:rsidRPr="00BB65B8" w14:paraId="6F60BBAF"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18B58C99"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Non.Agri.+Agri</w:t>
            </w:r>
          </w:p>
        </w:tc>
        <w:tc>
          <w:tcPr>
            <w:tcW w:w="2100" w:type="dxa"/>
            <w:tcBorders>
              <w:top w:val="nil"/>
              <w:left w:val="nil"/>
              <w:bottom w:val="nil"/>
              <w:right w:val="nil"/>
            </w:tcBorders>
            <w:shd w:val="clear" w:color="000000" w:fill="FFFFFF"/>
            <w:noWrap/>
            <w:vAlign w:val="bottom"/>
            <w:hideMark/>
          </w:tcPr>
          <w:p w14:paraId="07DF8335"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 Dom.</w:t>
            </w:r>
          </w:p>
        </w:tc>
        <w:tc>
          <w:tcPr>
            <w:tcW w:w="2940" w:type="dxa"/>
            <w:tcBorders>
              <w:top w:val="nil"/>
              <w:left w:val="nil"/>
              <w:bottom w:val="nil"/>
              <w:right w:val="nil"/>
            </w:tcBorders>
            <w:shd w:val="clear" w:color="000000" w:fill="FFFFFF"/>
            <w:noWrap/>
            <w:vAlign w:val="center"/>
            <w:hideMark/>
          </w:tcPr>
          <w:p w14:paraId="24B92F85"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87</w:t>
            </w:r>
          </w:p>
        </w:tc>
      </w:tr>
      <w:tr w:rsidR="00D1323F" w:rsidRPr="00BB65B8" w14:paraId="3C42AF07"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6D0D1584"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Non.Agri.+Agri</w:t>
            </w:r>
          </w:p>
        </w:tc>
        <w:tc>
          <w:tcPr>
            <w:tcW w:w="2100" w:type="dxa"/>
            <w:tcBorders>
              <w:top w:val="nil"/>
              <w:left w:val="nil"/>
              <w:bottom w:val="nil"/>
              <w:right w:val="nil"/>
            </w:tcBorders>
            <w:shd w:val="clear" w:color="000000" w:fill="FFFFFF"/>
            <w:noWrap/>
            <w:vAlign w:val="bottom"/>
            <w:hideMark/>
          </w:tcPr>
          <w:p w14:paraId="29FF6D5A"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Agri.+Non-Agri</w:t>
            </w:r>
          </w:p>
        </w:tc>
        <w:tc>
          <w:tcPr>
            <w:tcW w:w="2940" w:type="dxa"/>
            <w:tcBorders>
              <w:top w:val="nil"/>
              <w:left w:val="nil"/>
              <w:bottom w:val="nil"/>
              <w:right w:val="nil"/>
            </w:tcBorders>
            <w:shd w:val="clear" w:color="000000" w:fill="FFFFFF"/>
            <w:noWrap/>
            <w:vAlign w:val="center"/>
            <w:hideMark/>
          </w:tcPr>
          <w:p w14:paraId="4712EE09"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108</w:t>
            </w:r>
          </w:p>
        </w:tc>
      </w:tr>
      <w:tr w:rsidR="00D1323F" w:rsidRPr="00BB65B8" w14:paraId="01ED18B6"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65417EA0"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Non.Agri.+Agri</w:t>
            </w:r>
          </w:p>
        </w:tc>
        <w:tc>
          <w:tcPr>
            <w:tcW w:w="2100" w:type="dxa"/>
            <w:tcBorders>
              <w:top w:val="nil"/>
              <w:left w:val="nil"/>
              <w:bottom w:val="nil"/>
              <w:right w:val="nil"/>
            </w:tcBorders>
            <w:shd w:val="clear" w:color="000000" w:fill="FFFFFF"/>
            <w:noWrap/>
            <w:vAlign w:val="bottom"/>
            <w:hideMark/>
          </w:tcPr>
          <w:p w14:paraId="1CA3AD39"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Non.Agri.+Agri</w:t>
            </w:r>
          </w:p>
        </w:tc>
        <w:tc>
          <w:tcPr>
            <w:tcW w:w="2940" w:type="dxa"/>
            <w:tcBorders>
              <w:top w:val="nil"/>
              <w:left w:val="nil"/>
              <w:bottom w:val="nil"/>
              <w:right w:val="nil"/>
            </w:tcBorders>
            <w:shd w:val="clear" w:color="000000" w:fill="FFFFFF"/>
            <w:noWrap/>
            <w:vAlign w:val="center"/>
            <w:hideMark/>
          </w:tcPr>
          <w:p w14:paraId="4E39292A"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188</w:t>
            </w:r>
          </w:p>
        </w:tc>
      </w:tr>
      <w:tr w:rsidR="00D1323F" w:rsidRPr="00BB65B8" w14:paraId="4983013B"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7FD9B988"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Non.Agri.+Agri</w:t>
            </w:r>
          </w:p>
        </w:tc>
        <w:tc>
          <w:tcPr>
            <w:tcW w:w="2100" w:type="dxa"/>
            <w:tcBorders>
              <w:top w:val="nil"/>
              <w:left w:val="nil"/>
              <w:bottom w:val="nil"/>
              <w:right w:val="nil"/>
            </w:tcBorders>
            <w:shd w:val="clear" w:color="000000" w:fill="FFFFFF"/>
            <w:noWrap/>
            <w:vAlign w:val="bottom"/>
            <w:hideMark/>
          </w:tcPr>
          <w:p w14:paraId="5EAF982F"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 -Agri. Dom.</w:t>
            </w:r>
          </w:p>
        </w:tc>
        <w:tc>
          <w:tcPr>
            <w:tcW w:w="2940" w:type="dxa"/>
            <w:tcBorders>
              <w:top w:val="nil"/>
              <w:left w:val="nil"/>
              <w:bottom w:val="nil"/>
              <w:right w:val="nil"/>
            </w:tcBorders>
            <w:shd w:val="clear" w:color="000000" w:fill="FFFFFF"/>
            <w:noWrap/>
            <w:vAlign w:val="center"/>
            <w:hideMark/>
          </w:tcPr>
          <w:p w14:paraId="116E24B5"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884</w:t>
            </w:r>
          </w:p>
        </w:tc>
      </w:tr>
      <w:tr w:rsidR="00D1323F" w:rsidRPr="00BB65B8" w14:paraId="581FBFE8"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41D3073B"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 -Agri. Dom.</w:t>
            </w:r>
          </w:p>
        </w:tc>
        <w:tc>
          <w:tcPr>
            <w:tcW w:w="2100" w:type="dxa"/>
            <w:tcBorders>
              <w:top w:val="nil"/>
              <w:left w:val="nil"/>
              <w:bottom w:val="nil"/>
              <w:right w:val="nil"/>
            </w:tcBorders>
            <w:shd w:val="clear" w:color="000000" w:fill="FFFFFF"/>
            <w:noWrap/>
            <w:vAlign w:val="bottom"/>
            <w:hideMark/>
          </w:tcPr>
          <w:p w14:paraId="57C93142"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 Dom.</w:t>
            </w:r>
          </w:p>
        </w:tc>
        <w:tc>
          <w:tcPr>
            <w:tcW w:w="2940" w:type="dxa"/>
            <w:tcBorders>
              <w:top w:val="nil"/>
              <w:left w:val="nil"/>
              <w:bottom w:val="nil"/>
              <w:right w:val="nil"/>
            </w:tcBorders>
            <w:shd w:val="clear" w:color="000000" w:fill="FFFFFF"/>
            <w:noWrap/>
            <w:vAlign w:val="center"/>
            <w:hideMark/>
          </w:tcPr>
          <w:p w14:paraId="5C738E1C"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128</w:t>
            </w:r>
          </w:p>
        </w:tc>
      </w:tr>
      <w:tr w:rsidR="00D1323F" w:rsidRPr="00BB65B8" w14:paraId="2AE67461"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55120B29"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 -Agri. Dom.</w:t>
            </w:r>
          </w:p>
        </w:tc>
        <w:tc>
          <w:tcPr>
            <w:tcW w:w="2100" w:type="dxa"/>
            <w:tcBorders>
              <w:top w:val="nil"/>
              <w:left w:val="nil"/>
              <w:bottom w:val="nil"/>
              <w:right w:val="nil"/>
            </w:tcBorders>
            <w:shd w:val="clear" w:color="000000" w:fill="FFFFFF"/>
            <w:noWrap/>
            <w:vAlign w:val="bottom"/>
            <w:hideMark/>
          </w:tcPr>
          <w:p w14:paraId="3043029B"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Agri.+Non-Agri</w:t>
            </w:r>
          </w:p>
        </w:tc>
        <w:tc>
          <w:tcPr>
            <w:tcW w:w="2940" w:type="dxa"/>
            <w:tcBorders>
              <w:top w:val="nil"/>
              <w:left w:val="nil"/>
              <w:bottom w:val="nil"/>
              <w:right w:val="nil"/>
            </w:tcBorders>
            <w:shd w:val="clear" w:color="000000" w:fill="FFFFFF"/>
            <w:noWrap/>
            <w:vAlign w:val="center"/>
            <w:hideMark/>
          </w:tcPr>
          <w:p w14:paraId="15C7BE91"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118</w:t>
            </w:r>
          </w:p>
        </w:tc>
      </w:tr>
      <w:tr w:rsidR="00D1323F" w:rsidRPr="00BB65B8" w14:paraId="337759A5" w14:textId="77777777" w:rsidTr="00817575">
        <w:trPr>
          <w:trHeight w:val="285"/>
          <w:jc w:val="center"/>
        </w:trPr>
        <w:tc>
          <w:tcPr>
            <w:tcW w:w="2100" w:type="dxa"/>
            <w:tcBorders>
              <w:top w:val="nil"/>
              <w:left w:val="nil"/>
              <w:bottom w:val="nil"/>
              <w:right w:val="nil"/>
            </w:tcBorders>
            <w:shd w:val="clear" w:color="000000" w:fill="FFFFFF"/>
            <w:noWrap/>
            <w:vAlign w:val="bottom"/>
            <w:hideMark/>
          </w:tcPr>
          <w:p w14:paraId="660B6D73"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 -Agri. Dom.</w:t>
            </w:r>
          </w:p>
        </w:tc>
        <w:tc>
          <w:tcPr>
            <w:tcW w:w="2100" w:type="dxa"/>
            <w:tcBorders>
              <w:top w:val="nil"/>
              <w:left w:val="nil"/>
              <w:bottom w:val="nil"/>
              <w:right w:val="nil"/>
            </w:tcBorders>
            <w:shd w:val="clear" w:color="000000" w:fill="FFFFFF"/>
            <w:noWrap/>
            <w:vAlign w:val="bottom"/>
            <w:hideMark/>
          </w:tcPr>
          <w:p w14:paraId="5F72C82A"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Non.Agri.+Agri</w:t>
            </w:r>
          </w:p>
        </w:tc>
        <w:tc>
          <w:tcPr>
            <w:tcW w:w="2940" w:type="dxa"/>
            <w:tcBorders>
              <w:top w:val="nil"/>
              <w:left w:val="nil"/>
              <w:bottom w:val="nil"/>
              <w:right w:val="nil"/>
            </w:tcBorders>
            <w:shd w:val="clear" w:color="000000" w:fill="FFFFFF"/>
            <w:noWrap/>
            <w:vAlign w:val="center"/>
            <w:hideMark/>
          </w:tcPr>
          <w:p w14:paraId="5175E8F8"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194</w:t>
            </w:r>
          </w:p>
        </w:tc>
      </w:tr>
      <w:tr w:rsidR="00D1323F" w:rsidRPr="00BB65B8" w14:paraId="3EA06A6C" w14:textId="77777777" w:rsidTr="00817575">
        <w:trPr>
          <w:trHeight w:val="300"/>
          <w:jc w:val="center"/>
        </w:trPr>
        <w:tc>
          <w:tcPr>
            <w:tcW w:w="2100" w:type="dxa"/>
            <w:tcBorders>
              <w:top w:val="nil"/>
              <w:left w:val="nil"/>
              <w:bottom w:val="single" w:sz="8" w:space="0" w:color="auto"/>
              <w:right w:val="nil"/>
            </w:tcBorders>
            <w:shd w:val="clear" w:color="000000" w:fill="FFFFFF"/>
            <w:noWrap/>
            <w:vAlign w:val="bottom"/>
            <w:hideMark/>
          </w:tcPr>
          <w:p w14:paraId="04B6E9D5"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 -Agri. Dom.</w:t>
            </w:r>
          </w:p>
        </w:tc>
        <w:tc>
          <w:tcPr>
            <w:tcW w:w="2100" w:type="dxa"/>
            <w:tcBorders>
              <w:top w:val="nil"/>
              <w:left w:val="nil"/>
              <w:bottom w:val="single" w:sz="8" w:space="0" w:color="auto"/>
              <w:right w:val="nil"/>
            </w:tcBorders>
            <w:shd w:val="clear" w:color="000000" w:fill="FFFFFF"/>
            <w:noWrap/>
            <w:vAlign w:val="bottom"/>
            <w:hideMark/>
          </w:tcPr>
          <w:p w14:paraId="78355084" w14:textId="77777777" w:rsidR="00D1323F" w:rsidRPr="00BB65B8" w:rsidRDefault="00D1323F"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 -Agri. Dom.</w:t>
            </w:r>
          </w:p>
        </w:tc>
        <w:tc>
          <w:tcPr>
            <w:tcW w:w="2940" w:type="dxa"/>
            <w:tcBorders>
              <w:top w:val="nil"/>
              <w:left w:val="nil"/>
              <w:bottom w:val="single" w:sz="8" w:space="0" w:color="auto"/>
              <w:right w:val="nil"/>
            </w:tcBorders>
            <w:shd w:val="clear" w:color="000000" w:fill="FFFFFF"/>
            <w:noWrap/>
            <w:vAlign w:val="center"/>
            <w:hideMark/>
          </w:tcPr>
          <w:p w14:paraId="305EC460" w14:textId="77777777" w:rsidR="00D1323F" w:rsidRPr="00BB65B8" w:rsidRDefault="00D1323F" w:rsidP="00D05018">
            <w:pPr>
              <w:keepNext/>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1107</w:t>
            </w:r>
          </w:p>
        </w:tc>
      </w:tr>
    </w:tbl>
    <w:p w14:paraId="1905122D" w14:textId="2F7B2F44" w:rsidR="00911FBC" w:rsidRPr="00BB65B8" w:rsidRDefault="00911FBC" w:rsidP="00D05018">
      <w:pPr>
        <w:pStyle w:val="a7"/>
        <w:tabs>
          <w:tab w:val="left" w:pos="1470"/>
        </w:tabs>
        <w:spacing w:line="360" w:lineRule="auto"/>
        <w:ind w:firstLineChars="0" w:firstLine="0"/>
        <w:jc w:val="left"/>
        <w:rPr>
          <w:rFonts w:asciiTheme="majorBidi" w:eastAsia="黑体" w:hAnsiTheme="majorBidi" w:cstheme="majorBidi"/>
          <w:sz w:val="21"/>
          <w:szCs w:val="21"/>
        </w:rPr>
      </w:pPr>
      <w:r w:rsidRPr="00BB65B8">
        <w:rPr>
          <w:rFonts w:asciiTheme="majorBidi" w:eastAsia="黑体" w:hAnsiTheme="majorBidi" w:cstheme="majorBidi"/>
          <w:sz w:val="21"/>
          <w:szCs w:val="21"/>
        </w:rPr>
        <w:lastRenderedPageBreak/>
        <w:t>Furthermore, we used a transition matrix algorithm to identify four types of livelihood transition for rural households from 2010 to 2020: Farming Stable (FS), indicating a main dependence on agricultural income; Re-agrariani</w:t>
      </w:r>
      <w:r w:rsidR="00227179" w:rsidRPr="00BB65B8">
        <w:rPr>
          <w:rFonts w:asciiTheme="majorBidi" w:eastAsia="黑体" w:hAnsiTheme="majorBidi" w:cstheme="majorBidi"/>
          <w:sz w:val="21"/>
          <w:szCs w:val="21"/>
        </w:rPr>
        <w:t>z</w:t>
      </w:r>
      <w:r w:rsidRPr="00BB65B8">
        <w:rPr>
          <w:rFonts w:asciiTheme="majorBidi" w:eastAsia="黑体" w:hAnsiTheme="majorBidi" w:cstheme="majorBidi"/>
          <w:sz w:val="21"/>
          <w:szCs w:val="21"/>
        </w:rPr>
        <w:t>ed (RA): households' income shifted from non-agricultural to mainly agricultural. De-agrariani</w:t>
      </w:r>
      <w:r w:rsidR="00227179" w:rsidRPr="00BB65B8">
        <w:rPr>
          <w:rFonts w:asciiTheme="majorBidi" w:eastAsia="黑体" w:hAnsiTheme="majorBidi" w:cstheme="majorBidi"/>
          <w:sz w:val="21"/>
          <w:szCs w:val="21"/>
        </w:rPr>
        <w:t>z</w:t>
      </w:r>
      <w:r w:rsidRPr="00BB65B8">
        <w:rPr>
          <w:rFonts w:asciiTheme="majorBidi" w:eastAsia="黑体" w:hAnsiTheme="majorBidi" w:cstheme="majorBidi"/>
          <w:sz w:val="21"/>
          <w:szCs w:val="21"/>
        </w:rPr>
        <w:t>ed (DA) households experienced a transition from agricultural to non-agricultural income. Non-Farming Stable (NFS) households were mainly dependent on non-agricultural income</w:t>
      </w:r>
      <w:r w:rsidR="000969C2" w:rsidRPr="00BB65B8">
        <w:rPr>
          <w:rFonts w:asciiTheme="majorBidi" w:eastAsia="黑体" w:hAnsiTheme="majorBidi" w:cstheme="majorBidi"/>
          <w:sz w:val="21"/>
          <w:szCs w:val="21"/>
        </w:rPr>
        <w:t xml:space="preserve"> (</w:t>
      </w:r>
      <w:r w:rsidR="000969C2" w:rsidRPr="005C6733">
        <w:rPr>
          <w:rFonts w:asciiTheme="majorBidi" w:eastAsia="黑体" w:hAnsiTheme="majorBidi" w:cstheme="majorBidi"/>
          <w:b/>
          <w:bCs/>
          <w:sz w:val="21"/>
          <w:szCs w:val="21"/>
        </w:rPr>
        <w:t>Table A2</w:t>
      </w:r>
      <w:r w:rsidR="000969C2" w:rsidRPr="00BB65B8">
        <w:rPr>
          <w:rFonts w:asciiTheme="majorBidi" w:eastAsia="黑体" w:hAnsiTheme="majorBidi" w:cstheme="majorBidi"/>
          <w:sz w:val="21"/>
          <w:szCs w:val="21"/>
        </w:rPr>
        <w:t>)</w:t>
      </w:r>
      <w:r w:rsidRPr="00BB65B8">
        <w:rPr>
          <w:rFonts w:asciiTheme="majorBidi" w:eastAsia="黑体" w:hAnsiTheme="majorBidi" w:cstheme="majorBidi"/>
          <w:sz w:val="21"/>
          <w:szCs w:val="21"/>
        </w:rPr>
        <w:t>.</w:t>
      </w:r>
    </w:p>
    <w:p w14:paraId="26F9ABCC" w14:textId="77777777" w:rsidR="00911FBC" w:rsidRPr="00BB65B8" w:rsidRDefault="00911FBC" w:rsidP="00D05018">
      <w:pPr>
        <w:pStyle w:val="a7"/>
        <w:tabs>
          <w:tab w:val="left" w:pos="1470"/>
        </w:tabs>
        <w:spacing w:line="360" w:lineRule="auto"/>
        <w:ind w:firstLineChars="0" w:firstLine="0"/>
        <w:jc w:val="left"/>
        <w:rPr>
          <w:rFonts w:asciiTheme="majorBidi" w:eastAsia="黑体" w:hAnsiTheme="majorBidi" w:cstheme="majorBidi"/>
          <w:sz w:val="21"/>
          <w:szCs w:val="21"/>
        </w:rPr>
      </w:pPr>
    </w:p>
    <w:p w14:paraId="78D03199" w14:textId="6436B2D3" w:rsidR="00322549" w:rsidRPr="005C6733" w:rsidRDefault="00463DE3" w:rsidP="00D05018">
      <w:pPr>
        <w:pStyle w:val="a7"/>
        <w:tabs>
          <w:tab w:val="left" w:pos="1470"/>
        </w:tabs>
        <w:spacing w:line="360" w:lineRule="auto"/>
        <w:ind w:firstLineChars="0" w:firstLine="0"/>
        <w:jc w:val="left"/>
        <w:rPr>
          <w:rFonts w:asciiTheme="majorBidi" w:eastAsia="黑体" w:hAnsiTheme="majorBidi" w:cstheme="majorBidi"/>
          <w:b/>
          <w:bCs/>
          <w:sz w:val="21"/>
          <w:szCs w:val="21"/>
        </w:rPr>
      </w:pPr>
      <w:r w:rsidRPr="005C6733">
        <w:rPr>
          <w:rFonts w:asciiTheme="majorBidi" w:eastAsia="黑体" w:hAnsiTheme="majorBidi" w:cstheme="majorBidi"/>
          <w:b/>
          <w:bCs/>
          <w:sz w:val="21"/>
          <w:szCs w:val="21"/>
        </w:rPr>
        <w:t>Tabe A</w:t>
      </w:r>
      <w:r w:rsidR="00D1323F" w:rsidRPr="005C6733">
        <w:rPr>
          <w:rFonts w:asciiTheme="majorBidi" w:eastAsia="黑体" w:hAnsiTheme="majorBidi" w:cstheme="majorBidi"/>
          <w:b/>
          <w:bCs/>
          <w:sz w:val="21"/>
          <w:szCs w:val="21"/>
        </w:rPr>
        <w:t>2</w:t>
      </w:r>
      <w:r w:rsidR="00631598">
        <w:rPr>
          <w:rFonts w:asciiTheme="majorBidi" w:hAnsiTheme="majorBidi" w:cstheme="majorBidi" w:hint="eastAsia"/>
          <w:b/>
          <w:bCs/>
          <w:sz w:val="21"/>
          <w:szCs w:val="21"/>
        </w:rPr>
        <w:t>:</w:t>
      </w:r>
      <w:r w:rsidR="00793BE0" w:rsidRPr="005C6733">
        <w:rPr>
          <w:rFonts w:asciiTheme="majorBidi" w:eastAsia="黑体" w:hAnsiTheme="majorBidi" w:cstheme="majorBidi"/>
          <w:b/>
          <w:bCs/>
          <w:sz w:val="21"/>
          <w:szCs w:val="21"/>
        </w:rPr>
        <w:t xml:space="preserve"> </w:t>
      </w:r>
      <w:r w:rsidR="00322549" w:rsidRPr="005C6733">
        <w:rPr>
          <w:rFonts w:asciiTheme="majorBidi" w:eastAsia="黑体" w:hAnsiTheme="majorBidi" w:cstheme="majorBidi"/>
          <w:b/>
          <w:bCs/>
          <w:sz w:val="21"/>
          <w:szCs w:val="21"/>
        </w:rPr>
        <w:t xml:space="preserve">Classification of the four livelihood types after their mutual changes </w:t>
      </w:r>
      <w:r w:rsidR="00625DFC" w:rsidRPr="005C6733">
        <w:rPr>
          <w:rFonts w:asciiTheme="majorBidi" w:eastAsia="黑体" w:hAnsiTheme="majorBidi" w:cstheme="majorBidi"/>
          <w:b/>
          <w:bCs/>
          <w:sz w:val="21"/>
          <w:szCs w:val="21"/>
        </w:rPr>
        <w:t xml:space="preserve">in </w:t>
      </w:r>
      <w:r w:rsidR="00322549" w:rsidRPr="005C6733">
        <w:rPr>
          <w:rFonts w:asciiTheme="majorBidi" w:eastAsia="黑体" w:hAnsiTheme="majorBidi" w:cstheme="majorBidi"/>
          <w:b/>
          <w:bCs/>
          <w:sz w:val="21"/>
          <w:szCs w:val="21"/>
        </w:rPr>
        <w:t>2010</w:t>
      </w:r>
      <w:r w:rsidR="00625DFC" w:rsidRPr="005C6733">
        <w:rPr>
          <w:rFonts w:asciiTheme="majorBidi" w:eastAsia="黑体" w:hAnsiTheme="majorBidi" w:cstheme="majorBidi"/>
          <w:b/>
          <w:bCs/>
          <w:sz w:val="21"/>
          <w:szCs w:val="21"/>
        </w:rPr>
        <w:t>-</w:t>
      </w:r>
      <w:r w:rsidR="00322549" w:rsidRPr="005C6733">
        <w:rPr>
          <w:rFonts w:asciiTheme="majorBidi" w:eastAsia="黑体" w:hAnsiTheme="majorBidi" w:cstheme="majorBidi"/>
          <w:b/>
          <w:bCs/>
          <w:sz w:val="21"/>
          <w:szCs w:val="21"/>
        </w:rPr>
        <w:t>2020.</w:t>
      </w:r>
    </w:p>
    <w:tbl>
      <w:tblPr>
        <w:tblW w:w="5000" w:type="pct"/>
        <w:jc w:val="center"/>
        <w:tblLayout w:type="fixed"/>
        <w:tblLook w:val="04A0" w:firstRow="1" w:lastRow="0" w:firstColumn="1" w:lastColumn="0" w:noHBand="0" w:noVBand="1"/>
      </w:tblPr>
      <w:tblGrid>
        <w:gridCol w:w="1559"/>
        <w:gridCol w:w="2409"/>
        <w:gridCol w:w="2836"/>
        <w:gridCol w:w="1502"/>
      </w:tblGrid>
      <w:tr w:rsidR="00144543" w:rsidRPr="00BB65B8" w14:paraId="32BFE5F5" w14:textId="77777777" w:rsidTr="00817575">
        <w:trPr>
          <w:trHeight w:val="315"/>
          <w:jc w:val="center"/>
        </w:trPr>
        <w:tc>
          <w:tcPr>
            <w:tcW w:w="938" w:type="pct"/>
            <w:tcBorders>
              <w:top w:val="single" w:sz="8" w:space="0" w:color="auto"/>
              <w:left w:val="nil"/>
              <w:bottom w:val="single" w:sz="8" w:space="0" w:color="auto"/>
              <w:right w:val="nil"/>
            </w:tcBorders>
            <w:shd w:val="clear" w:color="000000" w:fill="FFFFFF"/>
            <w:noWrap/>
            <w:vAlign w:val="center"/>
            <w:hideMark/>
          </w:tcPr>
          <w:p w14:paraId="43A81B95"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Abbreviation</w:t>
            </w:r>
          </w:p>
        </w:tc>
        <w:tc>
          <w:tcPr>
            <w:tcW w:w="1450" w:type="pct"/>
            <w:tcBorders>
              <w:top w:val="single" w:sz="8" w:space="0" w:color="auto"/>
              <w:left w:val="nil"/>
              <w:bottom w:val="single" w:sz="8" w:space="0" w:color="auto"/>
              <w:right w:val="nil"/>
            </w:tcBorders>
            <w:shd w:val="clear" w:color="DDEBF7" w:fill="FFFFFF"/>
            <w:noWrap/>
            <w:vAlign w:val="center"/>
            <w:hideMark/>
          </w:tcPr>
          <w:p w14:paraId="2336FA93"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Types of livelihood changes</w:t>
            </w:r>
          </w:p>
        </w:tc>
        <w:tc>
          <w:tcPr>
            <w:tcW w:w="1707" w:type="pct"/>
            <w:tcBorders>
              <w:top w:val="single" w:sz="8" w:space="0" w:color="auto"/>
              <w:left w:val="nil"/>
              <w:bottom w:val="single" w:sz="8" w:space="0" w:color="auto"/>
              <w:right w:val="nil"/>
            </w:tcBorders>
            <w:shd w:val="clear" w:color="DDEBF7" w:fill="FFFFFF"/>
            <w:noWrap/>
            <w:vAlign w:val="center"/>
            <w:hideMark/>
          </w:tcPr>
          <w:p w14:paraId="0F378BE8" w14:textId="3D6D95EA" w:rsidR="00144543" w:rsidRPr="00BB65B8" w:rsidRDefault="00BD04AE"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Description</w:t>
            </w:r>
          </w:p>
        </w:tc>
        <w:tc>
          <w:tcPr>
            <w:tcW w:w="904" w:type="pct"/>
            <w:tcBorders>
              <w:top w:val="single" w:sz="8" w:space="0" w:color="auto"/>
              <w:left w:val="nil"/>
              <w:bottom w:val="single" w:sz="8" w:space="0" w:color="auto"/>
              <w:right w:val="nil"/>
            </w:tcBorders>
            <w:shd w:val="clear" w:color="DDEBF7" w:fill="FFFFFF"/>
            <w:noWrap/>
            <w:vAlign w:val="center"/>
            <w:hideMark/>
          </w:tcPr>
          <w:p w14:paraId="60FF0717"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Number of households</w:t>
            </w:r>
          </w:p>
        </w:tc>
      </w:tr>
      <w:tr w:rsidR="00144543" w:rsidRPr="00BB65B8" w14:paraId="67AC62DC" w14:textId="77777777" w:rsidTr="00817575">
        <w:trPr>
          <w:trHeight w:val="600"/>
          <w:jc w:val="center"/>
        </w:trPr>
        <w:tc>
          <w:tcPr>
            <w:tcW w:w="938" w:type="pct"/>
            <w:tcBorders>
              <w:top w:val="nil"/>
              <w:left w:val="nil"/>
              <w:bottom w:val="nil"/>
              <w:right w:val="nil"/>
            </w:tcBorders>
            <w:shd w:val="clear" w:color="000000" w:fill="FFFFFF"/>
            <w:noWrap/>
            <w:vAlign w:val="center"/>
            <w:hideMark/>
          </w:tcPr>
          <w:p w14:paraId="06E5B15D"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FS</w:t>
            </w:r>
          </w:p>
        </w:tc>
        <w:tc>
          <w:tcPr>
            <w:tcW w:w="1450" w:type="pct"/>
            <w:tcBorders>
              <w:top w:val="nil"/>
              <w:left w:val="nil"/>
              <w:bottom w:val="nil"/>
              <w:right w:val="nil"/>
            </w:tcBorders>
            <w:shd w:val="clear" w:color="000000" w:fill="FFFFFF"/>
            <w:vAlign w:val="center"/>
            <w:hideMark/>
          </w:tcPr>
          <w:p w14:paraId="34D1E998"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Farming Stable</w:t>
            </w:r>
          </w:p>
        </w:tc>
        <w:tc>
          <w:tcPr>
            <w:tcW w:w="1707" w:type="pct"/>
            <w:tcBorders>
              <w:top w:val="nil"/>
              <w:left w:val="nil"/>
              <w:bottom w:val="nil"/>
              <w:right w:val="nil"/>
            </w:tcBorders>
            <w:shd w:val="clear" w:color="000000" w:fill="FFFFFF"/>
            <w:vAlign w:val="center"/>
            <w:hideMark/>
          </w:tcPr>
          <w:p w14:paraId="73FB3785"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Mainly dependent on agricultural income</w:t>
            </w:r>
          </w:p>
        </w:tc>
        <w:tc>
          <w:tcPr>
            <w:tcW w:w="904" w:type="pct"/>
            <w:tcBorders>
              <w:top w:val="nil"/>
              <w:left w:val="nil"/>
              <w:bottom w:val="nil"/>
              <w:right w:val="nil"/>
            </w:tcBorders>
            <w:shd w:val="clear" w:color="000000" w:fill="FFFFFF"/>
            <w:noWrap/>
            <w:vAlign w:val="center"/>
            <w:hideMark/>
          </w:tcPr>
          <w:p w14:paraId="078DD837"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208</w:t>
            </w:r>
          </w:p>
        </w:tc>
      </w:tr>
      <w:tr w:rsidR="00144543" w:rsidRPr="00BB65B8" w14:paraId="74CA828D" w14:textId="77777777" w:rsidTr="00817575">
        <w:trPr>
          <w:trHeight w:val="900"/>
          <w:jc w:val="center"/>
        </w:trPr>
        <w:tc>
          <w:tcPr>
            <w:tcW w:w="938" w:type="pct"/>
            <w:tcBorders>
              <w:top w:val="nil"/>
              <w:left w:val="nil"/>
              <w:bottom w:val="nil"/>
              <w:right w:val="nil"/>
            </w:tcBorders>
            <w:shd w:val="clear" w:color="000000" w:fill="FFFFFF"/>
            <w:noWrap/>
            <w:vAlign w:val="center"/>
            <w:hideMark/>
          </w:tcPr>
          <w:p w14:paraId="5B598A8E"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RA</w:t>
            </w:r>
          </w:p>
        </w:tc>
        <w:tc>
          <w:tcPr>
            <w:tcW w:w="1450" w:type="pct"/>
            <w:tcBorders>
              <w:top w:val="nil"/>
              <w:left w:val="nil"/>
              <w:bottom w:val="nil"/>
              <w:right w:val="nil"/>
            </w:tcBorders>
            <w:shd w:val="clear" w:color="000000" w:fill="FFFFFF"/>
            <w:vAlign w:val="center"/>
            <w:hideMark/>
          </w:tcPr>
          <w:p w14:paraId="1525545D"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Re-agrarianized</w:t>
            </w:r>
          </w:p>
        </w:tc>
        <w:tc>
          <w:tcPr>
            <w:tcW w:w="1707" w:type="pct"/>
            <w:tcBorders>
              <w:top w:val="nil"/>
              <w:left w:val="nil"/>
              <w:bottom w:val="nil"/>
              <w:right w:val="nil"/>
            </w:tcBorders>
            <w:shd w:val="clear" w:color="000000" w:fill="FFFFFF"/>
            <w:vAlign w:val="center"/>
            <w:hideMark/>
          </w:tcPr>
          <w:p w14:paraId="5422210A"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Income shifted from non-agricultural to mainly agricultural</w:t>
            </w:r>
          </w:p>
        </w:tc>
        <w:tc>
          <w:tcPr>
            <w:tcW w:w="904" w:type="pct"/>
            <w:tcBorders>
              <w:top w:val="nil"/>
              <w:left w:val="nil"/>
              <w:bottom w:val="nil"/>
              <w:right w:val="nil"/>
            </w:tcBorders>
            <w:shd w:val="clear" w:color="000000" w:fill="FFFFFF"/>
            <w:noWrap/>
            <w:vAlign w:val="center"/>
            <w:hideMark/>
          </w:tcPr>
          <w:p w14:paraId="3C5A71BF"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713</w:t>
            </w:r>
          </w:p>
        </w:tc>
      </w:tr>
      <w:tr w:rsidR="00144543" w:rsidRPr="00BB65B8" w14:paraId="5492527C" w14:textId="77777777" w:rsidTr="00817575">
        <w:trPr>
          <w:trHeight w:val="1200"/>
          <w:jc w:val="center"/>
        </w:trPr>
        <w:tc>
          <w:tcPr>
            <w:tcW w:w="938" w:type="pct"/>
            <w:tcBorders>
              <w:top w:val="nil"/>
              <w:left w:val="nil"/>
              <w:bottom w:val="nil"/>
              <w:right w:val="nil"/>
            </w:tcBorders>
            <w:shd w:val="clear" w:color="000000" w:fill="FFFFFF"/>
            <w:noWrap/>
            <w:vAlign w:val="center"/>
            <w:hideMark/>
          </w:tcPr>
          <w:p w14:paraId="17FF5715"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DA</w:t>
            </w:r>
          </w:p>
        </w:tc>
        <w:tc>
          <w:tcPr>
            <w:tcW w:w="1450" w:type="pct"/>
            <w:tcBorders>
              <w:top w:val="nil"/>
              <w:left w:val="nil"/>
              <w:bottom w:val="nil"/>
              <w:right w:val="nil"/>
            </w:tcBorders>
            <w:shd w:val="clear" w:color="000000" w:fill="FFFFFF"/>
            <w:vAlign w:val="center"/>
            <w:hideMark/>
          </w:tcPr>
          <w:p w14:paraId="39BC7DD9"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De-agrarianized</w:t>
            </w:r>
          </w:p>
        </w:tc>
        <w:tc>
          <w:tcPr>
            <w:tcW w:w="1707" w:type="pct"/>
            <w:tcBorders>
              <w:top w:val="nil"/>
              <w:left w:val="nil"/>
              <w:bottom w:val="nil"/>
              <w:right w:val="nil"/>
            </w:tcBorders>
            <w:shd w:val="clear" w:color="000000" w:fill="FFFFFF"/>
            <w:vAlign w:val="center"/>
            <w:hideMark/>
          </w:tcPr>
          <w:p w14:paraId="0F34B0AC"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Transition from agricultural income to non-agricultural income</w:t>
            </w:r>
          </w:p>
        </w:tc>
        <w:tc>
          <w:tcPr>
            <w:tcW w:w="904" w:type="pct"/>
            <w:tcBorders>
              <w:top w:val="nil"/>
              <w:left w:val="nil"/>
              <w:bottom w:val="nil"/>
              <w:right w:val="nil"/>
            </w:tcBorders>
            <w:shd w:val="clear" w:color="000000" w:fill="FFFFFF"/>
            <w:noWrap/>
            <w:vAlign w:val="center"/>
            <w:hideMark/>
          </w:tcPr>
          <w:p w14:paraId="736A6ADB"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2446</w:t>
            </w:r>
          </w:p>
        </w:tc>
      </w:tr>
      <w:tr w:rsidR="00144543" w:rsidRPr="00BB65B8" w14:paraId="4E57F1DC" w14:textId="77777777" w:rsidTr="00817575">
        <w:trPr>
          <w:trHeight w:val="915"/>
          <w:jc w:val="center"/>
        </w:trPr>
        <w:tc>
          <w:tcPr>
            <w:tcW w:w="938" w:type="pct"/>
            <w:tcBorders>
              <w:top w:val="nil"/>
              <w:left w:val="nil"/>
              <w:bottom w:val="single" w:sz="8" w:space="0" w:color="auto"/>
              <w:right w:val="nil"/>
            </w:tcBorders>
            <w:shd w:val="clear" w:color="000000" w:fill="FFFFFF"/>
            <w:noWrap/>
            <w:vAlign w:val="center"/>
            <w:hideMark/>
          </w:tcPr>
          <w:p w14:paraId="0C7353DD"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NFS</w:t>
            </w:r>
          </w:p>
        </w:tc>
        <w:tc>
          <w:tcPr>
            <w:tcW w:w="1450" w:type="pct"/>
            <w:tcBorders>
              <w:top w:val="nil"/>
              <w:left w:val="nil"/>
              <w:bottom w:val="single" w:sz="8" w:space="0" w:color="auto"/>
              <w:right w:val="nil"/>
            </w:tcBorders>
            <w:shd w:val="clear" w:color="000000" w:fill="FFFFFF"/>
            <w:vAlign w:val="center"/>
            <w:hideMark/>
          </w:tcPr>
          <w:p w14:paraId="3F64FF94"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Non-Farming Stable</w:t>
            </w:r>
          </w:p>
        </w:tc>
        <w:tc>
          <w:tcPr>
            <w:tcW w:w="1707" w:type="pct"/>
            <w:tcBorders>
              <w:top w:val="nil"/>
              <w:left w:val="nil"/>
              <w:bottom w:val="single" w:sz="8" w:space="0" w:color="auto"/>
              <w:right w:val="nil"/>
            </w:tcBorders>
            <w:shd w:val="clear" w:color="000000" w:fill="FFFFFF"/>
            <w:vAlign w:val="center"/>
            <w:hideMark/>
          </w:tcPr>
          <w:p w14:paraId="20ADB6BF" w14:textId="77777777" w:rsidR="00144543" w:rsidRPr="00BB65B8" w:rsidRDefault="00144543" w:rsidP="00D05018">
            <w:pPr>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Mainly dependent on non-agricultural income</w:t>
            </w:r>
          </w:p>
        </w:tc>
        <w:tc>
          <w:tcPr>
            <w:tcW w:w="904" w:type="pct"/>
            <w:tcBorders>
              <w:top w:val="nil"/>
              <w:left w:val="nil"/>
              <w:bottom w:val="single" w:sz="8" w:space="0" w:color="auto"/>
              <w:right w:val="nil"/>
            </w:tcBorders>
            <w:shd w:val="clear" w:color="000000" w:fill="FFFFFF"/>
            <w:noWrap/>
            <w:vAlign w:val="center"/>
            <w:hideMark/>
          </w:tcPr>
          <w:p w14:paraId="43487908" w14:textId="77777777" w:rsidR="00144543" w:rsidRPr="00BB65B8" w:rsidRDefault="00144543" w:rsidP="00D05018">
            <w:pPr>
              <w:keepNext/>
              <w:widowControl/>
              <w:tabs>
                <w:tab w:val="left" w:pos="1470"/>
              </w:tabs>
              <w:spacing w:line="360" w:lineRule="auto"/>
              <w:jc w:val="left"/>
              <w:rPr>
                <w:rFonts w:asciiTheme="majorBidi" w:eastAsia="等线" w:hAnsiTheme="majorBidi" w:cstheme="majorBidi"/>
                <w:color w:val="000000"/>
                <w:kern w:val="0"/>
                <w:sz w:val="21"/>
                <w:szCs w:val="21"/>
                <w14:ligatures w14:val="none"/>
              </w:rPr>
            </w:pPr>
            <w:r w:rsidRPr="00BB65B8">
              <w:rPr>
                <w:rFonts w:asciiTheme="majorBidi" w:eastAsia="等线" w:hAnsiTheme="majorBidi" w:cstheme="majorBidi"/>
                <w:color w:val="000000"/>
                <w:kern w:val="0"/>
                <w:sz w:val="21"/>
                <w:szCs w:val="21"/>
                <w14:ligatures w14:val="none"/>
              </w:rPr>
              <w:t>1295</w:t>
            </w:r>
          </w:p>
        </w:tc>
      </w:tr>
    </w:tbl>
    <w:p w14:paraId="6B750028" w14:textId="77777777" w:rsidR="00C1364F" w:rsidRPr="00BB65B8" w:rsidRDefault="00C1364F" w:rsidP="00D05018">
      <w:pPr>
        <w:spacing w:line="360" w:lineRule="auto"/>
        <w:jc w:val="left"/>
        <w:rPr>
          <w:rFonts w:asciiTheme="majorBidi" w:hAnsiTheme="majorBidi" w:cstheme="majorBidi"/>
          <w:sz w:val="21"/>
          <w:szCs w:val="21"/>
        </w:rPr>
      </w:pPr>
    </w:p>
    <w:p w14:paraId="76963BF7" w14:textId="6AE5A0D2" w:rsidR="002D0D8A" w:rsidRPr="00BB65B8" w:rsidRDefault="002D0D8A" w:rsidP="00D05018">
      <w:pPr>
        <w:pStyle w:val="3"/>
        <w:numPr>
          <w:ilvl w:val="2"/>
          <w:numId w:val="2"/>
        </w:numPr>
        <w:spacing w:line="360" w:lineRule="auto"/>
        <w:jc w:val="left"/>
        <w:rPr>
          <w:rFonts w:asciiTheme="majorBidi" w:hAnsiTheme="majorBidi" w:cstheme="majorBidi"/>
          <w:sz w:val="21"/>
          <w:szCs w:val="21"/>
        </w:rPr>
      </w:pPr>
      <w:r w:rsidRPr="00BB65B8">
        <w:rPr>
          <w:rFonts w:asciiTheme="majorBidi" w:hAnsiTheme="majorBidi" w:cstheme="majorBidi"/>
          <w:sz w:val="21"/>
          <w:szCs w:val="21"/>
        </w:rPr>
        <w:t xml:space="preserve">The definition of </w:t>
      </w:r>
      <w:r w:rsidR="00A90ABA" w:rsidRPr="00BB65B8">
        <w:rPr>
          <w:rFonts w:asciiTheme="majorBidi" w:hAnsiTheme="majorBidi" w:cstheme="majorBidi"/>
          <w:sz w:val="21"/>
          <w:szCs w:val="21"/>
        </w:rPr>
        <w:t>quality of life</w:t>
      </w:r>
    </w:p>
    <w:p w14:paraId="2D97C19F" w14:textId="48E72E8E" w:rsidR="00C1364F" w:rsidRPr="00BB65B8" w:rsidRDefault="00C1364F" w:rsidP="00D05018">
      <w:pPr>
        <w:pStyle w:val="a7"/>
        <w:tabs>
          <w:tab w:val="left" w:pos="1470"/>
        </w:tabs>
        <w:spacing w:line="360" w:lineRule="auto"/>
        <w:ind w:firstLineChars="0" w:firstLine="0"/>
        <w:jc w:val="left"/>
        <w:rPr>
          <w:rFonts w:asciiTheme="majorBidi" w:eastAsia="黑体" w:hAnsiTheme="majorBidi" w:cstheme="majorBidi"/>
          <w:sz w:val="21"/>
          <w:szCs w:val="21"/>
        </w:rPr>
      </w:pPr>
      <w:r w:rsidRPr="00BB65B8">
        <w:rPr>
          <w:rFonts w:asciiTheme="majorBidi" w:eastAsia="黑体" w:hAnsiTheme="majorBidi" w:cstheme="majorBidi"/>
          <w:sz w:val="21"/>
          <w:szCs w:val="21"/>
        </w:rPr>
        <w:t xml:space="preserve">The proportion of food consumption expenditure in total consumption expenditure is used to express the Engel coefficient. The inverse of the Engel coefficient (IEC) indicates that positive changes indicate higher quality of life and more urbanized lifestyles for rural households </w:t>
      </w:r>
      <w:r w:rsidRPr="00BB65B8">
        <w:rPr>
          <w:rFonts w:asciiTheme="majorBidi" w:hAnsiTheme="majorBidi" w:cstheme="majorBidi"/>
          <w:sz w:val="21"/>
          <w:szCs w:val="21"/>
        </w:rPr>
        <w:fldChar w:fldCharType="begin">
          <w:fldData xml:space="preserve">PEVuZE5vdGU+PENpdGU+PEF1dGhvcj5XYW5nPC9BdXRob3I+PFllYXI+MjAyMzwvWWVhcj48UmVj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=
</w:fldData>
        </w:fldChar>
      </w:r>
      <w:r w:rsidR="003D4639" w:rsidRPr="00BB65B8">
        <w:rPr>
          <w:rFonts w:asciiTheme="majorBidi" w:hAnsiTheme="majorBidi" w:cstheme="majorBidi"/>
          <w:sz w:val="21"/>
          <w:szCs w:val="21"/>
        </w:rPr>
        <w:instrText xml:space="preserve"> ADDIN EN.CITE </w:instrText>
      </w:r>
      <w:r w:rsidR="003D4639" w:rsidRPr="00BB65B8">
        <w:rPr>
          <w:rFonts w:asciiTheme="majorBidi" w:hAnsiTheme="majorBidi" w:cstheme="majorBidi"/>
          <w:sz w:val="21"/>
          <w:szCs w:val="21"/>
        </w:rPr>
        <w:fldChar w:fldCharType="begin">
          <w:fldData xml:space="preserve">PEVuZE5vdGU+PENpdGU+PEF1dGhvcj5XYW5nPC9BdXRob3I+PFllYXI+MjAyMzwvWWVhcj48UmVj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=
</w:fldData>
        </w:fldChar>
      </w:r>
      <w:r w:rsidR="003D4639" w:rsidRPr="00BB65B8">
        <w:rPr>
          <w:rFonts w:asciiTheme="majorBidi" w:hAnsiTheme="majorBidi" w:cstheme="majorBidi"/>
          <w:sz w:val="21"/>
          <w:szCs w:val="21"/>
        </w:rPr>
        <w:instrText xml:space="preserve"> ADDIN EN.CITE.DATA </w:instrText>
      </w:r>
      <w:r w:rsidR="003D4639" w:rsidRPr="00BB65B8">
        <w:rPr>
          <w:rFonts w:asciiTheme="majorBidi" w:hAnsiTheme="majorBidi" w:cstheme="majorBidi"/>
          <w:sz w:val="21"/>
          <w:szCs w:val="21"/>
        </w:rPr>
      </w:r>
      <w:r w:rsidR="003D4639" w:rsidRPr="00BB65B8">
        <w:rPr>
          <w:rFonts w:asciiTheme="majorBidi" w:hAnsiTheme="majorBidi" w:cstheme="majorBidi"/>
          <w:sz w:val="21"/>
          <w:szCs w:val="21"/>
        </w:rPr>
        <w:fldChar w:fldCharType="end"/>
      </w:r>
      <w:r w:rsidRPr="00BB65B8">
        <w:rPr>
          <w:rFonts w:asciiTheme="majorBidi" w:hAnsiTheme="majorBidi" w:cstheme="majorBidi"/>
          <w:sz w:val="21"/>
          <w:szCs w:val="21"/>
        </w:rPr>
      </w:r>
      <w:r w:rsidRPr="00BB65B8">
        <w:rPr>
          <w:rFonts w:asciiTheme="majorBidi" w:hAnsiTheme="majorBidi" w:cstheme="majorBidi"/>
          <w:sz w:val="21"/>
          <w:szCs w:val="21"/>
        </w:rPr>
        <w:fldChar w:fldCharType="separate"/>
      </w:r>
      <w:r w:rsidR="003D4639" w:rsidRPr="00BB65B8">
        <w:rPr>
          <w:rFonts w:asciiTheme="majorBidi" w:hAnsiTheme="majorBidi" w:cstheme="majorBidi"/>
          <w:noProof/>
          <w:sz w:val="21"/>
          <w:szCs w:val="21"/>
          <w:vertAlign w:val="superscript"/>
        </w:rPr>
        <w:t>13-15</w:t>
      </w:r>
      <w:r w:rsidRPr="00BB65B8">
        <w:rPr>
          <w:rFonts w:asciiTheme="majorBidi" w:hAnsiTheme="majorBidi" w:cstheme="majorBidi"/>
          <w:sz w:val="21"/>
          <w:szCs w:val="21"/>
        </w:rPr>
        <w:fldChar w:fldCharType="end"/>
      </w:r>
      <w:r w:rsidRPr="00BB65B8">
        <w:rPr>
          <w:rFonts w:asciiTheme="majorBidi" w:eastAsia="黑体" w:hAnsiTheme="majorBidi" w:cstheme="majorBidi"/>
          <w:sz w:val="21"/>
          <w:szCs w:val="21"/>
        </w:rPr>
        <w:t>.</w:t>
      </w:r>
    </w:p>
    <w:p w14:paraId="3F548A1B" w14:textId="0783EF03" w:rsidR="003F5D80" w:rsidRPr="00BB65B8" w:rsidRDefault="003F5D80" w:rsidP="00D05018">
      <w:pPr>
        <w:pStyle w:val="2"/>
        <w:numPr>
          <w:ilvl w:val="1"/>
          <w:numId w:val="2"/>
        </w:numPr>
        <w:tabs>
          <w:tab w:val="left" w:pos="1470"/>
        </w:tabs>
        <w:spacing w:line="360" w:lineRule="auto"/>
        <w:jc w:val="left"/>
        <w:rPr>
          <w:rFonts w:asciiTheme="majorBidi" w:hAnsiTheme="majorBidi"/>
          <w:sz w:val="21"/>
          <w:szCs w:val="21"/>
        </w:rPr>
      </w:pPr>
      <w:r w:rsidRPr="00BB65B8">
        <w:rPr>
          <w:rFonts w:asciiTheme="majorBidi" w:hAnsiTheme="majorBidi"/>
          <w:sz w:val="21"/>
          <w:szCs w:val="21"/>
        </w:rPr>
        <w:lastRenderedPageBreak/>
        <w:t>Statistical analysis</w:t>
      </w:r>
    </w:p>
    <w:p w14:paraId="37994054" w14:textId="3D50E073" w:rsidR="003E3F9A" w:rsidRPr="00BB65B8" w:rsidRDefault="003E3F9A" w:rsidP="00D05018">
      <w:pPr>
        <w:pStyle w:val="3"/>
        <w:numPr>
          <w:ilvl w:val="2"/>
          <w:numId w:val="2"/>
        </w:numPr>
        <w:spacing w:line="360" w:lineRule="auto"/>
        <w:jc w:val="left"/>
        <w:rPr>
          <w:rFonts w:asciiTheme="majorBidi" w:hAnsiTheme="majorBidi" w:cstheme="majorBidi"/>
          <w:sz w:val="21"/>
          <w:szCs w:val="21"/>
        </w:rPr>
      </w:pPr>
      <w:r w:rsidRPr="00BB65B8">
        <w:rPr>
          <w:rFonts w:asciiTheme="majorBidi" w:hAnsiTheme="majorBidi" w:cstheme="majorBidi"/>
          <w:sz w:val="21"/>
          <w:szCs w:val="21"/>
        </w:rPr>
        <w:t>Test for homogeneity of variances</w:t>
      </w:r>
    </w:p>
    <w:p w14:paraId="29430A59" w14:textId="48035726" w:rsidR="003F5D80" w:rsidRPr="00BB65B8" w:rsidRDefault="003F5D80" w:rsidP="00D05018">
      <w:pPr>
        <w:tabs>
          <w:tab w:val="left" w:pos="1470"/>
        </w:tabs>
        <w:spacing w:line="360" w:lineRule="auto"/>
        <w:jc w:val="left"/>
        <w:rPr>
          <w:rFonts w:asciiTheme="majorBidi" w:eastAsia="黑体" w:hAnsiTheme="majorBidi" w:cstheme="majorBidi"/>
          <w:sz w:val="21"/>
          <w:szCs w:val="21"/>
        </w:rPr>
      </w:pPr>
      <w:r w:rsidRPr="00BB65B8">
        <w:rPr>
          <w:rFonts w:asciiTheme="majorBidi" w:eastAsia="黑体" w:hAnsiTheme="majorBidi" w:cstheme="majorBidi"/>
          <w:sz w:val="21"/>
          <w:szCs w:val="21"/>
        </w:rPr>
        <w:t>Testing for homogeneity or heterogeneity of variance is critical for determining whether to use parametric or non-parametric methods in subsequent analyses of differences. In this study, Levene’s test was used to assess the homogeneity of variance. If the test result is not significant, it indicates homogeneity of variance, and parametric ANOVA is applied for variance analysis. Conversely, if the result is significant, it suggests heterogeneity of variance, and non-parametric methods are employed for subsequent difference tests.</w:t>
      </w:r>
    </w:p>
    <w:p w14:paraId="310EDF08" w14:textId="0226E27C" w:rsidR="003E3F9A" w:rsidRPr="00BB65B8" w:rsidRDefault="003E3F9A" w:rsidP="00D05018">
      <w:pPr>
        <w:pStyle w:val="3"/>
        <w:numPr>
          <w:ilvl w:val="2"/>
          <w:numId w:val="2"/>
        </w:numPr>
        <w:spacing w:line="360" w:lineRule="auto"/>
        <w:jc w:val="left"/>
        <w:rPr>
          <w:rFonts w:asciiTheme="majorBidi" w:hAnsiTheme="majorBidi" w:cstheme="majorBidi"/>
          <w:sz w:val="21"/>
          <w:szCs w:val="21"/>
        </w:rPr>
      </w:pPr>
      <w:r w:rsidRPr="00BB65B8">
        <w:rPr>
          <w:rFonts w:asciiTheme="majorBidi" w:hAnsiTheme="majorBidi" w:cstheme="majorBidi"/>
          <w:sz w:val="21"/>
          <w:szCs w:val="21"/>
        </w:rPr>
        <w:t xml:space="preserve">Multiple </w:t>
      </w:r>
      <w:r w:rsidR="00FC5AB0" w:rsidRPr="00BB65B8">
        <w:rPr>
          <w:rFonts w:asciiTheme="majorBidi" w:hAnsiTheme="majorBidi" w:cstheme="majorBidi"/>
          <w:sz w:val="21"/>
          <w:szCs w:val="21"/>
        </w:rPr>
        <w:t>groups</w:t>
      </w:r>
      <w:r w:rsidRPr="00BB65B8">
        <w:rPr>
          <w:rFonts w:asciiTheme="majorBidi" w:hAnsiTheme="majorBidi" w:cstheme="majorBidi"/>
          <w:sz w:val="21"/>
          <w:szCs w:val="21"/>
        </w:rPr>
        <w:t xml:space="preserve"> and pairwise tests</w:t>
      </w:r>
    </w:p>
    <w:p w14:paraId="3C746F94" w14:textId="753BAA6C" w:rsidR="003F5D80" w:rsidRPr="009F5CCE" w:rsidRDefault="003F5D80" w:rsidP="009F5CCE">
      <w:pPr>
        <w:tabs>
          <w:tab w:val="left" w:pos="1470"/>
        </w:tabs>
        <w:spacing w:line="360" w:lineRule="auto"/>
        <w:jc w:val="left"/>
        <w:rPr>
          <w:rFonts w:asciiTheme="majorBidi" w:eastAsia="黑体" w:hAnsiTheme="majorBidi" w:cstheme="majorBidi"/>
          <w:sz w:val="21"/>
          <w:szCs w:val="21"/>
        </w:rPr>
      </w:pPr>
      <w:r w:rsidRPr="00BB65B8">
        <w:rPr>
          <w:rFonts w:asciiTheme="majorBidi" w:eastAsia="黑体" w:hAnsiTheme="majorBidi" w:cstheme="majorBidi"/>
          <w:sz w:val="21"/>
          <w:szCs w:val="21"/>
        </w:rPr>
        <w:t xml:space="preserve">The Kruskal-Wallis test and Dunn's test are commonly used non-parametric methods to compare the effects of different driving factors on vegetation change </w:t>
      </w:r>
      <w:r w:rsidR="00F37DFD" w:rsidRPr="00BB65B8">
        <w:rPr>
          <w:rFonts w:asciiTheme="majorBidi" w:eastAsia="黑体" w:hAnsiTheme="majorBidi" w:cstheme="majorBidi"/>
          <w:sz w:val="21"/>
          <w:szCs w:val="21"/>
        </w:rPr>
        <w:fldChar w:fldCharType="begin"/>
      </w:r>
      <w:r w:rsidR="003D4639" w:rsidRPr="00BB65B8">
        <w:rPr>
          <w:rFonts w:asciiTheme="majorBidi" w:eastAsia="黑体" w:hAnsiTheme="majorBidi" w:cstheme="majorBidi"/>
          <w:sz w:val="21"/>
          <w:szCs w:val="21"/>
        </w:rPr>
        <w:instrText xml:space="preserve"> ADDIN EN.CITE &lt;EndNote&gt;&lt;Cite&gt;&lt;Author&gt;Hu&lt;/Author&gt;&lt;Year&gt;2024&lt;/Year&gt;&lt;RecNum&gt;3995&lt;/RecNum&gt;&lt;DisplayText&gt;&lt;style face="superscript"&gt;16&lt;/style&gt;&lt;/DisplayText&gt;&lt;record&gt;&lt;rec-number&gt;3995&lt;/rec-number&gt;&lt;foreign-keys&gt;&lt;key app="EN" db-id="50szzevsltsxs4et00mpxaph2wpxp99rfvz2" timestamp="1748306202" guid="94a8e1aa-6379-4fbd-ac76-a3d811b2c49e"&gt;3995&lt;/key&gt;&lt;/foreign-keys&gt;&lt;ref-type name="Journal Article"&gt;17&lt;/ref-type&gt;&lt;contributors&gt;&lt;authors&gt;&lt;author&gt;Hu, Tao&lt;/author&gt;&lt;author&gt;Peng, Jian&lt;/author&gt;&lt;author&gt;Qiu, Sijing&lt;/author&gt;&lt;author&gt;Dong, Jianquan&lt;/author&gt;&lt;author&gt;Hu, Yi’na&lt;/author&gt;&lt;author&gt;Lin, Yifan&lt;/author&gt;&lt;author&gt;Xia, Pei&lt;/author&gt;&lt;/authors&gt;&lt;/contributors&gt;&lt;titles&gt;&lt;title&gt;Social-ecological heterogeneity drove contrasting tree cover restoration in South China Karst&lt;/title&gt;&lt;secondary-title&gt;Communications Earth &amp;amp; Environment&lt;/secondary-title&gt;&lt;/titles&gt;&lt;periodical&gt;&lt;full-title&gt;Communications Earth &amp;amp; Environment&lt;/full-title&gt;&lt;/periodical&gt;&lt;pages&gt;484&lt;/pages&gt;&lt;volume&gt;5&lt;/volume&gt;&lt;number&gt;1&lt;/number&gt;&lt;dates&gt;&lt;year&gt;2024&lt;/year&gt;&lt;pub-dates&gt;&lt;date&gt;2024/09/04&lt;/date&gt;&lt;/pub-dates&gt;&lt;/dates&gt;&lt;isbn&gt;2662-4435&lt;/isbn&gt;&lt;urls&gt;&lt;related-urls&gt;&lt;url&gt;https://doi.org/10.1038/s43247-024-01641-y&lt;/url&gt;&lt;/related-urls&gt;&lt;/urls&gt;&lt;electronic-resource-num&gt;10.1038/s43247-024-01641-y&lt;/electronic-resource-num&gt;&lt;/record&gt;&lt;/Cite&gt;&lt;/EndNote&gt;</w:instrText>
      </w:r>
      <w:r w:rsidR="00F37DFD" w:rsidRPr="00BB65B8">
        <w:rPr>
          <w:rFonts w:asciiTheme="majorBidi" w:eastAsia="黑体" w:hAnsiTheme="majorBidi" w:cstheme="majorBidi"/>
          <w:sz w:val="21"/>
          <w:szCs w:val="21"/>
        </w:rPr>
        <w:fldChar w:fldCharType="separate"/>
      </w:r>
      <w:r w:rsidR="003D4639" w:rsidRPr="00BB65B8">
        <w:rPr>
          <w:rFonts w:asciiTheme="majorBidi" w:eastAsia="黑体" w:hAnsiTheme="majorBidi" w:cstheme="majorBidi"/>
          <w:noProof/>
          <w:sz w:val="21"/>
          <w:szCs w:val="21"/>
          <w:vertAlign w:val="superscript"/>
        </w:rPr>
        <w:t>16</w:t>
      </w:r>
      <w:r w:rsidR="00F37DFD" w:rsidRPr="00BB65B8">
        <w:rPr>
          <w:rFonts w:asciiTheme="majorBidi" w:eastAsia="黑体" w:hAnsiTheme="majorBidi" w:cstheme="majorBidi"/>
          <w:sz w:val="21"/>
          <w:szCs w:val="21"/>
        </w:rPr>
        <w:fldChar w:fldCharType="end"/>
      </w:r>
      <w:r w:rsidRPr="00BB65B8">
        <w:rPr>
          <w:rFonts w:asciiTheme="majorBidi" w:eastAsia="黑体" w:hAnsiTheme="majorBidi" w:cstheme="majorBidi"/>
          <w:sz w:val="21"/>
          <w:szCs w:val="21"/>
        </w:rPr>
        <w:t xml:space="preserve">. The Kruskal-Wallis test evaluates whether multiple factors are from the same group. If </w:t>
      </w:r>
      <w:r w:rsidRPr="00BB65B8">
        <w:rPr>
          <w:rFonts w:ascii="Cambria Math" w:eastAsia="黑体" w:hAnsi="Cambria Math" w:cs="Cambria Math"/>
          <w:sz w:val="21"/>
          <w:szCs w:val="21"/>
        </w:rPr>
        <w:t>𝑝</w:t>
      </w:r>
      <w:r w:rsidRPr="00BB65B8">
        <w:rPr>
          <w:rFonts w:asciiTheme="majorBidi" w:eastAsia="黑体" w:hAnsiTheme="majorBidi" w:cstheme="majorBidi"/>
          <w:sz w:val="21"/>
          <w:szCs w:val="21"/>
        </w:rPr>
        <w:t xml:space="preserve">≥0.05, it indicates no significant differences between groups. If </w:t>
      </w:r>
      <w:r w:rsidRPr="00BB65B8">
        <w:rPr>
          <w:rFonts w:ascii="Cambria Math" w:eastAsia="黑体" w:hAnsi="Cambria Math" w:cs="Cambria Math"/>
          <w:sz w:val="21"/>
          <w:szCs w:val="21"/>
        </w:rPr>
        <w:t>𝑝</w:t>
      </w:r>
      <w:r w:rsidRPr="00BB65B8">
        <w:rPr>
          <w:rFonts w:asciiTheme="majorBidi" w:eastAsia="黑体" w:hAnsiTheme="majorBidi" w:cstheme="majorBidi"/>
          <w:sz w:val="21"/>
          <w:szCs w:val="21"/>
        </w:rPr>
        <w:t xml:space="preserve">&lt;0.05, the null hypothesis is rejected, indicating that at least two groups differ. To identify specific pairwise differences, Dunn's test is used, which considers unequal sample sizes and heterogeneity of variance. The Benjamini-Hochberg method adjusts significance levels for multiple comparisons. These analyses were performed using the kruskal.test and </w:t>
      </w:r>
      <w:r w:rsidR="004B17CF" w:rsidRPr="00BB65B8">
        <w:rPr>
          <w:rFonts w:asciiTheme="majorBidi" w:eastAsia="黑体" w:hAnsiTheme="majorBidi" w:cstheme="majorBidi"/>
          <w:sz w:val="21"/>
          <w:szCs w:val="21"/>
        </w:rPr>
        <w:t>Dunn. Test</w:t>
      </w:r>
      <w:r w:rsidRPr="00BB65B8">
        <w:rPr>
          <w:rFonts w:asciiTheme="majorBidi" w:eastAsia="黑体" w:hAnsiTheme="majorBidi" w:cstheme="majorBidi"/>
          <w:sz w:val="21"/>
          <w:szCs w:val="21"/>
        </w:rPr>
        <w:t xml:space="preserve"> functions in R.</w:t>
      </w:r>
    </w:p>
    <w:p w14:paraId="56186E01" w14:textId="3DACA592" w:rsidR="00FC5AB0" w:rsidRPr="00BB65B8" w:rsidRDefault="00FC5AB0" w:rsidP="00D05018">
      <w:pPr>
        <w:pStyle w:val="1"/>
        <w:spacing w:line="360" w:lineRule="auto"/>
        <w:jc w:val="left"/>
        <w:rPr>
          <w:rFonts w:asciiTheme="majorBidi" w:hAnsiTheme="majorBidi" w:cstheme="majorBidi"/>
          <w:sz w:val="21"/>
          <w:szCs w:val="21"/>
        </w:rPr>
      </w:pPr>
      <w:r w:rsidRPr="00BB65B8">
        <w:rPr>
          <w:rFonts w:asciiTheme="majorBidi" w:hAnsiTheme="majorBidi" w:cstheme="majorBidi"/>
          <w:sz w:val="21"/>
          <w:szCs w:val="21"/>
        </w:rPr>
        <w:t>References</w:t>
      </w:r>
    </w:p>
    <w:p w14:paraId="485480B2" w14:textId="77777777" w:rsidR="00EA084B" w:rsidRPr="00BB65B8" w:rsidRDefault="003F5D80" w:rsidP="00D05018">
      <w:pPr>
        <w:pStyle w:val="EndNoteBibliography"/>
        <w:ind w:left="720" w:hanging="720"/>
        <w:jc w:val="left"/>
        <w:rPr>
          <w:rFonts w:asciiTheme="majorBidi" w:hAnsiTheme="majorBidi" w:cstheme="majorBidi"/>
        </w:rPr>
      </w:pPr>
      <w:r w:rsidRPr="00BB65B8">
        <w:rPr>
          <w:rFonts w:asciiTheme="majorBidi" w:hAnsiTheme="majorBidi" w:cstheme="majorBidi"/>
          <w:sz w:val="21"/>
          <w:szCs w:val="21"/>
        </w:rPr>
        <w:fldChar w:fldCharType="begin"/>
      </w:r>
      <w:r w:rsidRPr="00631598">
        <w:rPr>
          <w:rFonts w:asciiTheme="majorBidi" w:hAnsiTheme="majorBidi" w:cstheme="majorBidi"/>
          <w:sz w:val="21"/>
          <w:szCs w:val="21"/>
        </w:rPr>
        <w:instrText xml:space="preserve"> ADDIN EN.REFLIST </w:instrText>
      </w:r>
      <w:r w:rsidRPr="00BB65B8">
        <w:rPr>
          <w:rFonts w:asciiTheme="majorBidi" w:hAnsiTheme="majorBidi" w:cstheme="majorBidi"/>
          <w:sz w:val="21"/>
          <w:szCs w:val="21"/>
        </w:rPr>
        <w:fldChar w:fldCharType="separate"/>
      </w:r>
      <w:r w:rsidR="00EA084B" w:rsidRPr="00BB65B8">
        <w:rPr>
          <w:rFonts w:asciiTheme="majorBidi" w:hAnsiTheme="majorBidi" w:cstheme="majorBidi"/>
        </w:rPr>
        <w:t>1</w:t>
      </w:r>
      <w:r w:rsidR="00EA084B" w:rsidRPr="00BB65B8">
        <w:rPr>
          <w:rFonts w:asciiTheme="majorBidi" w:hAnsiTheme="majorBidi" w:cstheme="majorBidi"/>
        </w:rPr>
        <w:tab/>
        <w:t>Li, X.</w:t>
      </w:r>
      <w:r w:rsidR="00EA084B" w:rsidRPr="00BB65B8">
        <w:rPr>
          <w:rFonts w:asciiTheme="majorBidi" w:hAnsiTheme="majorBidi" w:cstheme="majorBidi"/>
          <w:i/>
        </w:rPr>
        <w:t xml:space="preserve"> et al.</w:t>
      </w:r>
      <w:r w:rsidR="00EA084B" w:rsidRPr="00BB65B8">
        <w:rPr>
          <w:rFonts w:asciiTheme="majorBidi" w:hAnsiTheme="majorBidi" w:cstheme="majorBidi"/>
        </w:rPr>
        <w:t xml:space="preserve"> Mapping global urban boundaries from the global artificial impervious area (GAIA) data. </w:t>
      </w:r>
      <w:r w:rsidR="00EA084B" w:rsidRPr="00BB65B8">
        <w:rPr>
          <w:rFonts w:asciiTheme="majorBidi" w:hAnsiTheme="majorBidi" w:cstheme="majorBidi"/>
          <w:i/>
        </w:rPr>
        <w:t>Environmental Research Letters</w:t>
      </w:r>
      <w:r w:rsidR="00EA084B" w:rsidRPr="00BB65B8">
        <w:rPr>
          <w:rFonts w:asciiTheme="majorBidi" w:hAnsiTheme="majorBidi" w:cstheme="majorBidi"/>
        </w:rPr>
        <w:t xml:space="preserve"> </w:t>
      </w:r>
      <w:r w:rsidR="00EA084B" w:rsidRPr="00BB65B8">
        <w:rPr>
          <w:rFonts w:asciiTheme="majorBidi" w:hAnsiTheme="majorBidi" w:cstheme="majorBidi"/>
          <w:b/>
        </w:rPr>
        <w:t>15</w:t>
      </w:r>
      <w:r w:rsidR="00EA084B" w:rsidRPr="00BB65B8">
        <w:rPr>
          <w:rFonts w:asciiTheme="majorBidi" w:hAnsiTheme="majorBidi" w:cstheme="majorBidi"/>
        </w:rPr>
        <w:t>, 094044, doi:10.1088/1748-9326/ab9be3 (2020).</w:t>
      </w:r>
    </w:p>
    <w:p w14:paraId="047D25ED" w14:textId="77777777"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t>2</w:t>
      </w:r>
      <w:r w:rsidRPr="00BB65B8">
        <w:rPr>
          <w:rFonts w:asciiTheme="majorBidi" w:hAnsiTheme="majorBidi" w:cstheme="majorBidi"/>
        </w:rPr>
        <w:tab/>
        <w:t>Schiavina, M.</w:t>
      </w:r>
      <w:r w:rsidRPr="00BB65B8">
        <w:rPr>
          <w:rFonts w:asciiTheme="majorBidi" w:hAnsiTheme="majorBidi" w:cstheme="majorBidi"/>
          <w:i/>
        </w:rPr>
        <w:t xml:space="preserve"> et al.</w:t>
      </w:r>
      <w:r w:rsidRPr="00BB65B8">
        <w:rPr>
          <w:rFonts w:asciiTheme="majorBidi" w:hAnsiTheme="majorBidi" w:cstheme="majorBidi"/>
        </w:rPr>
        <w:t xml:space="preserve"> GHSL Data Package 2022. (2022).</w:t>
      </w:r>
    </w:p>
    <w:p w14:paraId="3AD6FF9A" w14:textId="77777777"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t>3</w:t>
      </w:r>
      <w:r w:rsidRPr="00BB65B8">
        <w:rPr>
          <w:rFonts w:asciiTheme="majorBidi" w:hAnsiTheme="majorBidi" w:cstheme="majorBidi"/>
        </w:rPr>
        <w:tab/>
        <w:t xml:space="preserve">Cattaneo, A., Nelson, A. &amp; McMenomy, T. Global mapping of urban-rural catchment areas reveals unequal access to services. </w:t>
      </w:r>
      <w:r w:rsidRPr="00BB65B8">
        <w:rPr>
          <w:rFonts w:asciiTheme="majorBidi" w:hAnsiTheme="majorBidi" w:cstheme="majorBidi"/>
          <w:i/>
        </w:rPr>
        <w:t>P Natl Acad Sci USA</w:t>
      </w:r>
      <w:r w:rsidRPr="00BB65B8">
        <w:rPr>
          <w:rFonts w:asciiTheme="majorBidi" w:hAnsiTheme="majorBidi" w:cstheme="majorBidi"/>
        </w:rPr>
        <w:t xml:space="preserve"> </w:t>
      </w:r>
      <w:r w:rsidRPr="00BB65B8">
        <w:rPr>
          <w:rFonts w:asciiTheme="majorBidi" w:hAnsiTheme="majorBidi" w:cstheme="majorBidi"/>
          <w:b/>
        </w:rPr>
        <w:t>118</w:t>
      </w:r>
      <w:r w:rsidRPr="00BB65B8">
        <w:rPr>
          <w:rFonts w:asciiTheme="majorBidi" w:hAnsiTheme="majorBidi" w:cstheme="majorBidi"/>
        </w:rPr>
        <w:t>, doi:10.1073/pnas.2011990118 (2021).</w:t>
      </w:r>
    </w:p>
    <w:p w14:paraId="63A61C34" w14:textId="77777777"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t>4</w:t>
      </w:r>
      <w:r w:rsidRPr="00BB65B8">
        <w:rPr>
          <w:rFonts w:asciiTheme="majorBidi" w:hAnsiTheme="majorBidi" w:cstheme="majorBidi"/>
        </w:rPr>
        <w:tab/>
        <w:t>Weiss, D. J.</w:t>
      </w:r>
      <w:r w:rsidRPr="00BB65B8">
        <w:rPr>
          <w:rFonts w:asciiTheme="majorBidi" w:hAnsiTheme="majorBidi" w:cstheme="majorBidi"/>
          <w:i/>
        </w:rPr>
        <w:t xml:space="preserve"> et al.</w:t>
      </w:r>
      <w:r w:rsidRPr="00BB65B8">
        <w:rPr>
          <w:rFonts w:asciiTheme="majorBidi" w:hAnsiTheme="majorBidi" w:cstheme="majorBidi"/>
        </w:rPr>
        <w:t xml:space="preserve"> Global maps of travel time to healthcare facilities. </w:t>
      </w:r>
      <w:r w:rsidRPr="00BB65B8">
        <w:rPr>
          <w:rFonts w:asciiTheme="majorBidi" w:hAnsiTheme="majorBidi" w:cstheme="majorBidi"/>
          <w:i/>
        </w:rPr>
        <w:t>Nature Medicine</w:t>
      </w:r>
      <w:r w:rsidRPr="00BB65B8">
        <w:rPr>
          <w:rFonts w:asciiTheme="majorBidi" w:hAnsiTheme="majorBidi" w:cstheme="majorBidi"/>
        </w:rPr>
        <w:t xml:space="preserve"> </w:t>
      </w:r>
      <w:r w:rsidRPr="00BB65B8">
        <w:rPr>
          <w:rFonts w:asciiTheme="majorBidi" w:hAnsiTheme="majorBidi" w:cstheme="majorBidi"/>
          <w:b/>
        </w:rPr>
        <w:t>26</w:t>
      </w:r>
      <w:r w:rsidRPr="00BB65B8">
        <w:rPr>
          <w:rFonts w:asciiTheme="majorBidi" w:hAnsiTheme="majorBidi" w:cstheme="majorBidi"/>
        </w:rPr>
        <w:t>, 1835-1838, doi:10.1038/s41591-020-1059-1 (2020).</w:t>
      </w:r>
    </w:p>
    <w:p w14:paraId="4C686C2B" w14:textId="77777777"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t>5</w:t>
      </w:r>
      <w:r w:rsidRPr="00BB65B8">
        <w:rPr>
          <w:rFonts w:asciiTheme="majorBidi" w:hAnsiTheme="majorBidi" w:cstheme="majorBidi"/>
        </w:rPr>
        <w:tab/>
        <w:t xml:space="preserve">Xu, Y., Ho, H. C., Knudby, A. &amp; He, M. Comparative assessment of gridded population data sets for complex topography: a study of Southwest China. </w:t>
      </w:r>
      <w:r w:rsidRPr="00BB65B8">
        <w:rPr>
          <w:rFonts w:asciiTheme="majorBidi" w:hAnsiTheme="majorBidi" w:cstheme="majorBidi"/>
          <w:i/>
        </w:rPr>
        <w:t>Population and Environment</w:t>
      </w:r>
      <w:r w:rsidRPr="00BB65B8">
        <w:rPr>
          <w:rFonts w:asciiTheme="majorBidi" w:hAnsiTheme="majorBidi" w:cstheme="majorBidi"/>
        </w:rPr>
        <w:t xml:space="preserve"> </w:t>
      </w:r>
      <w:r w:rsidRPr="00BB65B8">
        <w:rPr>
          <w:rFonts w:asciiTheme="majorBidi" w:hAnsiTheme="majorBidi" w:cstheme="majorBidi"/>
          <w:b/>
        </w:rPr>
        <w:t>42</w:t>
      </w:r>
      <w:r w:rsidRPr="00BB65B8">
        <w:rPr>
          <w:rFonts w:asciiTheme="majorBidi" w:hAnsiTheme="majorBidi" w:cstheme="majorBidi"/>
        </w:rPr>
        <w:t>, 360-378, doi:10.1007/s11111-020-00366-2 (2021).</w:t>
      </w:r>
    </w:p>
    <w:p w14:paraId="7A880E2E" w14:textId="77777777"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lastRenderedPageBreak/>
        <w:t>6</w:t>
      </w:r>
      <w:r w:rsidRPr="00BB65B8">
        <w:rPr>
          <w:rFonts w:asciiTheme="majorBidi" w:hAnsiTheme="majorBidi" w:cstheme="majorBidi"/>
        </w:rPr>
        <w:tab/>
        <w:t>Karagiorgos, K.</w:t>
      </w:r>
      <w:r w:rsidRPr="00BB65B8">
        <w:rPr>
          <w:rFonts w:asciiTheme="majorBidi" w:hAnsiTheme="majorBidi" w:cstheme="majorBidi"/>
          <w:i/>
        </w:rPr>
        <w:t xml:space="preserve"> et al.</w:t>
      </w:r>
      <w:r w:rsidRPr="00BB65B8">
        <w:rPr>
          <w:rFonts w:asciiTheme="majorBidi" w:hAnsiTheme="majorBidi" w:cstheme="majorBidi"/>
        </w:rPr>
        <w:t xml:space="preserve"> Global population datasets overestimate flood exposure in Sweden. </w:t>
      </w:r>
      <w:r w:rsidRPr="00BB65B8">
        <w:rPr>
          <w:rFonts w:asciiTheme="majorBidi" w:hAnsiTheme="majorBidi" w:cstheme="majorBidi"/>
          <w:i/>
        </w:rPr>
        <w:t>Scientific Reports</w:t>
      </w:r>
      <w:r w:rsidRPr="00BB65B8">
        <w:rPr>
          <w:rFonts w:asciiTheme="majorBidi" w:hAnsiTheme="majorBidi" w:cstheme="majorBidi"/>
        </w:rPr>
        <w:t xml:space="preserve"> </w:t>
      </w:r>
      <w:r w:rsidRPr="00BB65B8">
        <w:rPr>
          <w:rFonts w:asciiTheme="majorBidi" w:hAnsiTheme="majorBidi" w:cstheme="majorBidi"/>
          <w:b/>
        </w:rPr>
        <w:t>14</w:t>
      </w:r>
      <w:r w:rsidRPr="00BB65B8">
        <w:rPr>
          <w:rFonts w:asciiTheme="majorBidi" w:hAnsiTheme="majorBidi" w:cstheme="majorBidi"/>
        </w:rPr>
        <w:t>, 20410, doi:10.1038/s41598-024-71330-5 (2024).</w:t>
      </w:r>
    </w:p>
    <w:p w14:paraId="6CCC58CB" w14:textId="77777777"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t>7</w:t>
      </w:r>
      <w:r w:rsidRPr="00BB65B8">
        <w:rPr>
          <w:rFonts w:asciiTheme="majorBidi" w:hAnsiTheme="majorBidi" w:cstheme="majorBidi"/>
        </w:rPr>
        <w:tab/>
        <w:t>Yin, X.</w:t>
      </w:r>
      <w:r w:rsidRPr="00BB65B8">
        <w:rPr>
          <w:rFonts w:asciiTheme="majorBidi" w:hAnsiTheme="majorBidi" w:cstheme="majorBidi"/>
          <w:i/>
        </w:rPr>
        <w:t xml:space="preserve"> et al.</w:t>
      </w:r>
      <w:r w:rsidRPr="00BB65B8">
        <w:rPr>
          <w:rFonts w:asciiTheme="majorBidi" w:hAnsiTheme="majorBidi" w:cstheme="majorBidi"/>
        </w:rPr>
        <w:t xml:space="preserve"> Which Gridded Population Data Product Is Better? Evidences from Mainland Southeast Asia (MSEA). </w:t>
      </w:r>
      <w:r w:rsidRPr="00BB65B8">
        <w:rPr>
          <w:rFonts w:asciiTheme="majorBidi" w:hAnsiTheme="majorBidi" w:cstheme="majorBidi"/>
          <w:i/>
        </w:rPr>
        <w:t>ISPRS International Journal of Geo-Information</w:t>
      </w:r>
      <w:r w:rsidRPr="00BB65B8">
        <w:rPr>
          <w:rFonts w:asciiTheme="majorBidi" w:hAnsiTheme="majorBidi" w:cstheme="majorBidi"/>
        </w:rPr>
        <w:t xml:space="preserve"> </w:t>
      </w:r>
      <w:r w:rsidRPr="00BB65B8">
        <w:rPr>
          <w:rFonts w:asciiTheme="majorBidi" w:hAnsiTheme="majorBidi" w:cstheme="majorBidi"/>
          <w:b/>
        </w:rPr>
        <w:t>10</w:t>
      </w:r>
      <w:r w:rsidRPr="00BB65B8">
        <w:rPr>
          <w:rFonts w:asciiTheme="majorBidi" w:hAnsiTheme="majorBidi" w:cstheme="majorBidi"/>
        </w:rPr>
        <w:t xml:space="preserve"> (2021).</w:t>
      </w:r>
    </w:p>
    <w:p w14:paraId="4810BD5B" w14:textId="77777777"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t>8</w:t>
      </w:r>
      <w:r w:rsidRPr="00BB65B8">
        <w:rPr>
          <w:rFonts w:asciiTheme="majorBidi" w:hAnsiTheme="majorBidi" w:cstheme="majorBidi"/>
        </w:rPr>
        <w:tab/>
        <w:t xml:space="preserve">Láng-Ritter, J., Keskinen, M. &amp; Tenkanen, H. Global gridded population datasets systematically underrepresent rural population. </w:t>
      </w:r>
      <w:r w:rsidRPr="00BB65B8">
        <w:rPr>
          <w:rFonts w:asciiTheme="majorBidi" w:hAnsiTheme="majorBidi" w:cstheme="majorBidi"/>
          <w:i/>
        </w:rPr>
        <w:t>Nature Communications</w:t>
      </w:r>
      <w:r w:rsidRPr="00BB65B8">
        <w:rPr>
          <w:rFonts w:asciiTheme="majorBidi" w:hAnsiTheme="majorBidi" w:cstheme="majorBidi"/>
        </w:rPr>
        <w:t xml:space="preserve"> </w:t>
      </w:r>
      <w:r w:rsidRPr="00BB65B8">
        <w:rPr>
          <w:rFonts w:asciiTheme="majorBidi" w:hAnsiTheme="majorBidi" w:cstheme="majorBidi"/>
          <w:b/>
        </w:rPr>
        <w:t>16</w:t>
      </w:r>
      <w:r w:rsidRPr="00BB65B8">
        <w:rPr>
          <w:rFonts w:asciiTheme="majorBidi" w:hAnsiTheme="majorBidi" w:cstheme="majorBidi"/>
        </w:rPr>
        <w:t>, 2170, doi:10.1038/s41467-025-56906-7 (2025).</w:t>
      </w:r>
    </w:p>
    <w:p w14:paraId="57FD420B" w14:textId="77777777"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t>9</w:t>
      </w:r>
      <w:r w:rsidRPr="00BB65B8">
        <w:rPr>
          <w:rFonts w:asciiTheme="majorBidi" w:hAnsiTheme="majorBidi" w:cstheme="majorBidi"/>
        </w:rPr>
        <w:tab/>
        <w:t>Tu, Y.</w:t>
      </w:r>
      <w:r w:rsidRPr="00BB65B8">
        <w:rPr>
          <w:rFonts w:asciiTheme="majorBidi" w:hAnsiTheme="majorBidi" w:cstheme="majorBidi"/>
          <w:i/>
        </w:rPr>
        <w:t xml:space="preserve"> et al.</w:t>
      </w:r>
      <w:r w:rsidRPr="00BB65B8">
        <w:rPr>
          <w:rFonts w:asciiTheme="majorBidi" w:hAnsiTheme="majorBidi" w:cstheme="majorBidi"/>
        </w:rPr>
        <w:t xml:space="preserve"> A 30</w:t>
      </w:r>
      <w:r w:rsidRPr="00BB65B8">
        <w:rPr>
          <w:rFonts w:asciiTheme="majorBidi" w:eastAsia="MS Gothic" w:hAnsiTheme="majorBidi" w:cstheme="majorBidi"/>
        </w:rPr>
        <w:t> </w:t>
      </w:r>
      <w:r w:rsidRPr="00BB65B8">
        <w:rPr>
          <w:rFonts w:asciiTheme="majorBidi" w:hAnsiTheme="majorBidi" w:cstheme="majorBidi"/>
        </w:rPr>
        <w:t xml:space="preserve">m annual cropland dataset of China from 1986 to 2021. </w:t>
      </w:r>
      <w:r w:rsidRPr="00BB65B8">
        <w:rPr>
          <w:rFonts w:asciiTheme="majorBidi" w:hAnsiTheme="majorBidi" w:cstheme="majorBidi"/>
          <w:i/>
        </w:rPr>
        <w:t>Earth Syst. Sci. Data</w:t>
      </w:r>
      <w:r w:rsidRPr="00BB65B8">
        <w:rPr>
          <w:rFonts w:asciiTheme="majorBidi" w:hAnsiTheme="majorBidi" w:cstheme="majorBidi"/>
        </w:rPr>
        <w:t xml:space="preserve"> </w:t>
      </w:r>
      <w:r w:rsidRPr="00BB65B8">
        <w:rPr>
          <w:rFonts w:asciiTheme="majorBidi" w:hAnsiTheme="majorBidi" w:cstheme="majorBidi"/>
          <w:b/>
        </w:rPr>
        <w:t>16</w:t>
      </w:r>
      <w:r w:rsidRPr="00BB65B8">
        <w:rPr>
          <w:rFonts w:asciiTheme="majorBidi" w:hAnsiTheme="majorBidi" w:cstheme="majorBidi"/>
        </w:rPr>
        <w:t>, 2297-2316, doi:10.5194/essd-16-2297-2024 (2024).</w:t>
      </w:r>
    </w:p>
    <w:p w14:paraId="58BD1B79" w14:textId="77777777"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t>10</w:t>
      </w:r>
      <w:r w:rsidRPr="00BB65B8">
        <w:rPr>
          <w:rFonts w:asciiTheme="majorBidi" w:hAnsiTheme="majorBidi" w:cstheme="majorBidi"/>
        </w:rPr>
        <w:tab/>
        <w:t>Injong, R.</w:t>
      </w:r>
      <w:r w:rsidRPr="00BB65B8">
        <w:rPr>
          <w:rFonts w:asciiTheme="majorBidi" w:hAnsiTheme="majorBidi" w:cstheme="majorBidi"/>
          <w:i/>
        </w:rPr>
        <w:t xml:space="preserve"> et al.</w:t>
      </w:r>
      <w:r w:rsidRPr="00BB65B8">
        <w:rPr>
          <w:rFonts w:asciiTheme="majorBidi" w:hAnsiTheme="majorBidi" w:cstheme="majorBidi"/>
        </w:rPr>
        <w:t xml:space="preserve"> On the Levy-Walk Nature of Human Mobility. </w:t>
      </w:r>
      <w:r w:rsidRPr="00BB65B8">
        <w:rPr>
          <w:rFonts w:asciiTheme="majorBidi" w:hAnsiTheme="majorBidi" w:cstheme="majorBidi"/>
          <w:i/>
        </w:rPr>
        <w:t>IEEE/ACM Transactions on Networking</w:t>
      </w:r>
      <w:r w:rsidRPr="00BB65B8">
        <w:rPr>
          <w:rFonts w:asciiTheme="majorBidi" w:hAnsiTheme="majorBidi" w:cstheme="majorBidi"/>
        </w:rPr>
        <w:t xml:space="preserve"> </w:t>
      </w:r>
      <w:r w:rsidRPr="00BB65B8">
        <w:rPr>
          <w:rFonts w:asciiTheme="majorBidi" w:hAnsiTheme="majorBidi" w:cstheme="majorBidi"/>
          <w:b/>
        </w:rPr>
        <w:t>19</w:t>
      </w:r>
      <w:r w:rsidRPr="00BB65B8">
        <w:rPr>
          <w:rFonts w:asciiTheme="majorBidi" w:hAnsiTheme="majorBidi" w:cstheme="majorBidi"/>
        </w:rPr>
        <w:t>, 630-643, doi:10.1109/TNET.2011.2120618 (2011).</w:t>
      </w:r>
    </w:p>
    <w:p w14:paraId="041993E6" w14:textId="3FCCFBB8"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t>11</w:t>
      </w:r>
      <w:r w:rsidRPr="00BB65B8">
        <w:rPr>
          <w:rFonts w:asciiTheme="majorBidi" w:hAnsiTheme="majorBidi" w:cstheme="majorBidi"/>
        </w:rPr>
        <w:tab/>
        <w:t>Institute of Social Science Survey, P. U. (ed Peking University Institute of Social Science Survey) (Peking University Open Research Data Platform, Peking University, Beijing, 2015).</w:t>
      </w:r>
    </w:p>
    <w:p w14:paraId="406DA2C1" w14:textId="77777777"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t>12</w:t>
      </w:r>
      <w:r w:rsidRPr="00BB65B8">
        <w:rPr>
          <w:rFonts w:asciiTheme="majorBidi" w:hAnsiTheme="majorBidi" w:cstheme="majorBidi"/>
        </w:rPr>
        <w:tab/>
        <w:t xml:space="preserve">Cui, H., Wang, Y., Wang, W. &amp; Liu, C. Rural households' livelihood transitions in China: processes, drivers and outcomes. </w:t>
      </w:r>
      <w:r w:rsidRPr="00BB65B8">
        <w:rPr>
          <w:rFonts w:asciiTheme="majorBidi" w:hAnsiTheme="majorBidi" w:cstheme="majorBidi"/>
          <w:i/>
        </w:rPr>
        <w:t>China Agricultural Economic Review</w:t>
      </w:r>
      <w:r w:rsidRPr="00BB65B8">
        <w:rPr>
          <w:rFonts w:asciiTheme="majorBidi" w:hAnsiTheme="majorBidi" w:cstheme="majorBidi"/>
        </w:rPr>
        <w:t xml:space="preserve"> </w:t>
      </w:r>
      <w:r w:rsidRPr="00BB65B8">
        <w:rPr>
          <w:rFonts w:asciiTheme="majorBidi" w:hAnsiTheme="majorBidi" w:cstheme="majorBidi"/>
          <w:b/>
        </w:rPr>
        <w:t>17</w:t>
      </w:r>
      <w:r w:rsidRPr="00BB65B8">
        <w:rPr>
          <w:rFonts w:asciiTheme="majorBidi" w:hAnsiTheme="majorBidi" w:cstheme="majorBidi"/>
        </w:rPr>
        <w:t>, 171-190, doi:10.1108/CAER-11-2023-0346 (2025).</w:t>
      </w:r>
    </w:p>
    <w:p w14:paraId="64C481AA" w14:textId="7A04F50A"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t>13</w:t>
      </w:r>
      <w:r w:rsidRPr="00BB65B8">
        <w:rPr>
          <w:rFonts w:asciiTheme="majorBidi" w:hAnsiTheme="majorBidi" w:cstheme="majorBidi"/>
        </w:rPr>
        <w:tab/>
        <w:t>Wang, Z.</w:t>
      </w:r>
      <w:r w:rsidRPr="00BB65B8">
        <w:rPr>
          <w:rFonts w:asciiTheme="majorBidi" w:hAnsiTheme="majorBidi" w:cstheme="majorBidi"/>
          <w:i/>
        </w:rPr>
        <w:t xml:space="preserve"> et al.</w:t>
      </w:r>
      <w:r w:rsidRPr="00BB65B8">
        <w:rPr>
          <w:rFonts w:asciiTheme="majorBidi" w:hAnsiTheme="majorBidi" w:cstheme="majorBidi"/>
        </w:rPr>
        <w:t xml:space="preserve"> Escaping social–ecological traps through ecological restoration and socioeconomic development in China's Loess Plateau. </w:t>
      </w:r>
      <w:r w:rsidRPr="00BB65B8">
        <w:rPr>
          <w:rFonts w:asciiTheme="majorBidi" w:hAnsiTheme="majorBidi" w:cstheme="majorBidi"/>
          <w:i/>
        </w:rPr>
        <w:t>People and Nature</w:t>
      </w:r>
      <w:r w:rsidRPr="00BB65B8">
        <w:rPr>
          <w:rFonts w:asciiTheme="majorBidi" w:hAnsiTheme="majorBidi" w:cstheme="majorBidi"/>
        </w:rPr>
        <w:t xml:space="preserve"> </w:t>
      </w:r>
      <w:r w:rsidRPr="00BB65B8">
        <w:rPr>
          <w:rFonts w:asciiTheme="majorBidi" w:hAnsiTheme="majorBidi" w:cstheme="majorBidi"/>
          <w:b/>
        </w:rPr>
        <w:t>5</w:t>
      </w:r>
      <w:r w:rsidRPr="00BB65B8">
        <w:rPr>
          <w:rFonts w:asciiTheme="majorBidi" w:hAnsiTheme="majorBidi" w:cstheme="majorBidi"/>
        </w:rPr>
        <w:t>, 1364-1379, doi:</w:t>
      </w:r>
      <w:hyperlink r:id="rId17" w:history="1">
        <w:r w:rsidRPr="00BB65B8">
          <w:rPr>
            <w:rStyle w:val="ad"/>
            <w:rFonts w:asciiTheme="majorBidi" w:hAnsiTheme="majorBidi" w:cstheme="majorBidi"/>
          </w:rPr>
          <w:t>https://doi.org/10.1002/pan3.10513</w:t>
        </w:r>
      </w:hyperlink>
      <w:r w:rsidRPr="00BB65B8">
        <w:rPr>
          <w:rFonts w:asciiTheme="majorBidi" w:hAnsiTheme="majorBidi" w:cstheme="majorBidi"/>
        </w:rPr>
        <w:t xml:space="preserve"> (2023).</w:t>
      </w:r>
    </w:p>
    <w:p w14:paraId="74A6400E" w14:textId="423B86F7"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t>14</w:t>
      </w:r>
      <w:r w:rsidRPr="00BB65B8">
        <w:rPr>
          <w:rFonts w:asciiTheme="majorBidi" w:hAnsiTheme="majorBidi" w:cstheme="majorBidi"/>
        </w:rPr>
        <w:tab/>
        <w:t xml:space="preserve">Ritchie, H. </w:t>
      </w:r>
      <w:r w:rsidRPr="00BB65B8">
        <w:rPr>
          <w:rFonts w:asciiTheme="majorBidi" w:hAnsiTheme="majorBidi" w:cstheme="majorBidi"/>
          <w:i/>
        </w:rPr>
        <w:t>Engel's Law: Richer people spend more money on food, but it makes up a smaller share of their income</w:t>
      </w:r>
      <w:r w:rsidRPr="00BB65B8">
        <w:rPr>
          <w:rFonts w:asciiTheme="majorBidi" w:hAnsiTheme="majorBidi" w:cstheme="majorBidi"/>
        </w:rPr>
        <w:t>, &lt;</w:t>
      </w:r>
      <w:hyperlink r:id="rId18" w:history="1">
        <w:r w:rsidRPr="00BB65B8">
          <w:rPr>
            <w:rStyle w:val="ad"/>
            <w:rFonts w:asciiTheme="majorBidi" w:hAnsiTheme="majorBidi" w:cstheme="majorBidi"/>
          </w:rPr>
          <w:t>https://ourworldindata.org/engels-law-food-spending</w:t>
        </w:r>
      </w:hyperlink>
      <w:r w:rsidRPr="00BB65B8">
        <w:rPr>
          <w:rFonts w:asciiTheme="majorBidi" w:hAnsiTheme="majorBidi" w:cstheme="majorBidi"/>
        </w:rPr>
        <w:t>&gt; (2023).</w:t>
      </w:r>
    </w:p>
    <w:p w14:paraId="44B86B08" w14:textId="486517C5"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t>15</w:t>
      </w:r>
      <w:r w:rsidRPr="00BB65B8">
        <w:rPr>
          <w:rFonts w:asciiTheme="majorBidi" w:hAnsiTheme="majorBidi" w:cstheme="majorBidi"/>
        </w:rPr>
        <w:tab/>
        <w:t xml:space="preserve">Yang, M., Zhang, X., Zhang, Y. &amp; Fath, B. D. Consistence of structural changes in food nitrogen consumption between rural and urban residents in the context of rapid urbanization. </w:t>
      </w:r>
      <w:r w:rsidRPr="00BB65B8">
        <w:rPr>
          <w:rFonts w:asciiTheme="majorBidi" w:hAnsiTheme="majorBidi" w:cstheme="majorBidi"/>
          <w:i/>
        </w:rPr>
        <w:t>Ecological Modelling</w:t>
      </w:r>
      <w:r w:rsidRPr="00BB65B8">
        <w:rPr>
          <w:rFonts w:asciiTheme="majorBidi" w:hAnsiTheme="majorBidi" w:cstheme="majorBidi"/>
        </w:rPr>
        <w:t xml:space="preserve"> </w:t>
      </w:r>
      <w:r w:rsidRPr="00BB65B8">
        <w:rPr>
          <w:rFonts w:asciiTheme="majorBidi" w:hAnsiTheme="majorBidi" w:cstheme="majorBidi"/>
          <w:b/>
        </w:rPr>
        <w:t>471</w:t>
      </w:r>
      <w:r w:rsidRPr="00BB65B8">
        <w:rPr>
          <w:rFonts w:asciiTheme="majorBidi" w:hAnsiTheme="majorBidi" w:cstheme="majorBidi"/>
        </w:rPr>
        <w:t>, 110057, doi:</w:t>
      </w:r>
      <w:hyperlink r:id="rId19" w:history="1">
        <w:r w:rsidRPr="00BB65B8">
          <w:rPr>
            <w:rStyle w:val="ad"/>
            <w:rFonts w:asciiTheme="majorBidi" w:hAnsiTheme="majorBidi" w:cstheme="majorBidi"/>
          </w:rPr>
          <w:t>https://doi.org/10.1016/j.ecolmodel.2022.110057</w:t>
        </w:r>
      </w:hyperlink>
      <w:r w:rsidRPr="00BB65B8">
        <w:rPr>
          <w:rFonts w:asciiTheme="majorBidi" w:hAnsiTheme="majorBidi" w:cstheme="majorBidi"/>
        </w:rPr>
        <w:t xml:space="preserve"> (2022).</w:t>
      </w:r>
    </w:p>
    <w:p w14:paraId="7883D9BD" w14:textId="77777777" w:rsidR="00EA084B" w:rsidRPr="00BB65B8" w:rsidRDefault="00EA084B" w:rsidP="00D05018">
      <w:pPr>
        <w:pStyle w:val="EndNoteBibliography"/>
        <w:ind w:left="720" w:hanging="720"/>
        <w:jc w:val="left"/>
        <w:rPr>
          <w:rFonts w:asciiTheme="majorBidi" w:hAnsiTheme="majorBidi" w:cstheme="majorBidi"/>
        </w:rPr>
      </w:pPr>
      <w:r w:rsidRPr="00BB65B8">
        <w:rPr>
          <w:rFonts w:asciiTheme="majorBidi" w:hAnsiTheme="majorBidi" w:cstheme="majorBidi"/>
        </w:rPr>
        <w:t>16</w:t>
      </w:r>
      <w:r w:rsidRPr="00BB65B8">
        <w:rPr>
          <w:rFonts w:asciiTheme="majorBidi" w:hAnsiTheme="majorBidi" w:cstheme="majorBidi"/>
        </w:rPr>
        <w:tab/>
        <w:t>Hu, T.</w:t>
      </w:r>
      <w:r w:rsidRPr="00BB65B8">
        <w:rPr>
          <w:rFonts w:asciiTheme="majorBidi" w:hAnsiTheme="majorBidi" w:cstheme="majorBidi"/>
          <w:i/>
        </w:rPr>
        <w:t xml:space="preserve"> et al.</w:t>
      </w:r>
      <w:r w:rsidRPr="00BB65B8">
        <w:rPr>
          <w:rFonts w:asciiTheme="majorBidi" w:hAnsiTheme="majorBidi" w:cstheme="majorBidi"/>
        </w:rPr>
        <w:t xml:space="preserve"> Social-ecological heterogeneity drove contrasting tree cover restoration in South China Karst. </w:t>
      </w:r>
      <w:r w:rsidRPr="00BB65B8">
        <w:rPr>
          <w:rFonts w:asciiTheme="majorBidi" w:hAnsiTheme="majorBidi" w:cstheme="majorBidi"/>
          <w:i/>
        </w:rPr>
        <w:t>Communications Earth &amp; Environment</w:t>
      </w:r>
      <w:r w:rsidRPr="00BB65B8">
        <w:rPr>
          <w:rFonts w:asciiTheme="majorBidi" w:hAnsiTheme="majorBidi" w:cstheme="majorBidi"/>
        </w:rPr>
        <w:t xml:space="preserve"> </w:t>
      </w:r>
      <w:r w:rsidRPr="00BB65B8">
        <w:rPr>
          <w:rFonts w:asciiTheme="majorBidi" w:hAnsiTheme="majorBidi" w:cstheme="majorBidi"/>
          <w:b/>
        </w:rPr>
        <w:t>5</w:t>
      </w:r>
      <w:r w:rsidRPr="00BB65B8">
        <w:rPr>
          <w:rFonts w:asciiTheme="majorBidi" w:hAnsiTheme="majorBidi" w:cstheme="majorBidi"/>
        </w:rPr>
        <w:t>, 484, doi:10.1038/s43247-024-01641-y (2024).</w:t>
      </w:r>
    </w:p>
    <w:p w14:paraId="2005F201" w14:textId="3CE678BE" w:rsidR="00335F8D" w:rsidRPr="00BB65B8" w:rsidRDefault="003F5D80" w:rsidP="00D05018">
      <w:pPr>
        <w:tabs>
          <w:tab w:val="left" w:pos="1470"/>
        </w:tabs>
        <w:spacing w:line="360" w:lineRule="auto"/>
        <w:jc w:val="left"/>
        <w:rPr>
          <w:rFonts w:asciiTheme="majorBidi" w:hAnsiTheme="majorBidi" w:cstheme="majorBidi"/>
          <w:sz w:val="21"/>
          <w:szCs w:val="21"/>
        </w:rPr>
      </w:pPr>
      <w:r w:rsidRPr="00BB65B8">
        <w:rPr>
          <w:rFonts w:asciiTheme="majorBidi" w:hAnsiTheme="majorBidi" w:cstheme="majorBidi"/>
          <w:sz w:val="21"/>
          <w:szCs w:val="21"/>
        </w:rPr>
        <w:fldChar w:fldCharType="end"/>
      </w:r>
    </w:p>
    <w:sectPr w:rsidR="00335F8D" w:rsidRPr="00BB65B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87709" w14:textId="77777777" w:rsidR="0064118F" w:rsidRDefault="0064118F" w:rsidP="003F5D80">
      <w:pPr>
        <w:rPr>
          <w:rFonts w:hint="eastAsia"/>
        </w:rPr>
      </w:pPr>
      <w:r>
        <w:separator/>
      </w:r>
    </w:p>
  </w:endnote>
  <w:endnote w:type="continuationSeparator" w:id="0">
    <w:p w14:paraId="4B60023C" w14:textId="77777777" w:rsidR="0064118F" w:rsidRDefault="0064118F" w:rsidP="003F5D8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86A7C" w14:textId="77777777" w:rsidR="0064118F" w:rsidRDefault="0064118F" w:rsidP="003F5D80">
      <w:pPr>
        <w:rPr>
          <w:rFonts w:hint="eastAsia"/>
        </w:rPr>
      </w:pPr>
      <w:r>
        <w:separator/>
      </w:r>
    </w:p>
  </w:footnote>
  <w:footnote w:type="continuationSeparator" w:id="0">
    <w:p w14:paraId="694FBC90" w14:textId="77777777" w:rsidR="0064118F" w:rsidRDefault="0064118F" w:rsidP="003F5D80">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D0747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46C5478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637837419">
    <w:abstractNumId w:val="1"/>
  </w:num>
  <w:num w:numId="2" w16cid:durableId="992216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szzevsltsxs4et00mpxaph2wpxp99rfvz2&quot;&gt;牦牛的文献库&lt;record-ids&gt;&lt;item&gt;447&lt;/item&gt;&lt;item&gt;1903&lt;/item&gt;&lt;item&gt;2129&lt;/item&gt;&lt;item&gt;2235&lt;/item&gt;&lt;item&gt;3849&lt;/item&gt;&lt;item&gt;3995&lt;/item&gt;&lt;item&gt;3999&lt;/item&gt;&lt;item&gt;4067&lt;/item&gt;&lt;item&gt;4098&lt;/item&gt;&lt;item&gt;4100&lt;/item&gt;&lt;item&gt;4102&lt;/item&gt;&lt;item&gt;4104&lt;/item&gt;&lt;item&gt;4106&lt;/item&gt;&lt;item&gt;4107&lt;/item&gt;&lt;item&gt;4109&lt;/item&gt;&lt;item&gt;4110&lt;/item&gt;&lt;/record-ids&gt;&lt;/item&gt;&lt;/Libraries&gt;"/>
  </w:docVars>
  <w:rsids>
    <w:rsidRoot w:val="0021708C"/>
    <w:rsid w:val="00000B8D"/>
    <w:rsid w:val="00007033"/>
    <w:rsid w:val="00010BA2"/>
    <w:rsid w:val="00011E93"/>
    <w:rsid w:val="00012E00"/>
    <w:rsid w:val="0001756C"/>
    <w:rsid w:val="00040BDA"/>
    <w:rsid w:val="00051BED"/>
    <w:rsid w:val="00057242"/>
    <w:rsid w:val="00064954"/>
    <w:rsid w:val="00072020"/>
    <w:rsid w:val="00072042"/>
    <w:rsid w:val="000757F9"/>
    <w:rsid w:val="00076C5F"/>
    <w:rsid w:val="000850DC"/>
    <w:rsid w:val="00095C4E"/>
    <w:rsid w:val="000969C2"/>
    <w:rsid w:val="000A637D"/>
    <w:rsid w:val="000C001B"/>
    <w:rsid w:val="000C30F6"/>
    <w:rsid w:val="000C4338"/>
    <w:rsid w:val="000D1E62"/>
    <w:rsid w:val="000D3B69"/>
    <w:rsid w:val="000D4F95"/>
    <w:rsid w:val="000D657F"/>
    <w:rsid w:val="000D6CFD"/>
    <w:rsid w:val="000D7741"/>
    <w:rsid w:val="000E1994"/>
    <w:rsid w:val="00103FBE"/>
    <w:rsid w:val="001332C1"/>
    <w:rsid w:val="00144543"/>
    <w:rsid w:val="00151BE9"/>
    <w:rsid w:val="0015450E"/>
    <w:rsid w:val="00170685"/>
    <w:rsid w:val="00170CE7"/>
    <w:rsid w:val="00174513"/>
    <w:rsid w:val="001779D6"/>
    <w:rsid w:val="00180CDD"/>
    <w:rsid w:val="00184FBF"/>
    <w:rsid w:val="001A0EA3"/>
    <w:rsid w:val="001A1B20"/>
    <w:rsid w:val="001A2918"/>
    <w:rsid w:val="001A7FD9"/>
    <w:rsid w:val="001B587E"/>
    <w:rsid w:val="001E6C57"/>
    <w:rsid w:val="001F06C7"/>
    <w:rsid w:val="00200808"/>
    <w:rsid w:val="00200EDE"/>
    <w:rsid w:val="0021708C"/>
    <w:rsid w:val="00222454"/>
    <w:rsid w:val="00224A5C"/>
    <w:rsid w:val="00226C75"/>
    <w:rsid w:val="00227179"/>
    <w:rsid w:val="002379A1"/>
    <w:rsid w:val="002404AE"/>
    <w:rsid w:val="0024543A"/>
    <w:rsid w:val="00246AA3"/>
    <w:rsid w:val="00267206"/>
    <w:rsid w:val="00270CBC"/>
    <w:rsid w:val="002745D4"/>
    <w:rsid w:val="00291C61"/>
    <w:rsid w:val="00292E65"/>
    <w:rsid w:val="00294D4B"/>
    <w:rsid w:val="002A2859"/>
    <w:rsid w:val="002A36B8"/>
    <w:rsid w:val="002A5026"/>
    <w:rsid w:val="002B1BFB"/>
    <w:rsid w:val="002B46C8"/>
    <w:rsid w:val="002B6061"/>
    <w:rsid w:val="002B700A"/>
    <w:rsid w:val="002C322C"/>
    <w:rsid w:val="002D0D8A"/>
    <w:rsid w:val="002F4CAE"/>
    <w:rsid w:val="0030228B"/>
    <w:rsid w:val="00303D14"/>
    <w:rsid w:val="003133F1"/>
    <w:rsid w:val="00316CB6"/>
    <w:rsid w:val="00322549"/>
    <w:rsid w:val="00334D96"/>
    <w:rsid w:val="00335F8D"/>
    <w:rsid w:val="00343C35"/>
    <w:rsid w:val="00355FB1"/>
    <w:rsid w:val="00373AF1"/>
    <w:rsid w:val="00387A84"/>
    <w:rsid w:val="003A7EB7"/>
    <w:rsid w:val="003D1F4C"/>
    <w:rsid w:val="003D4639"/>
    <w:rsid w:val="003D5353"/>
    <w:rsid w:val="003E358D"/>
    <w:rsid w:val="003E394A"/>
    <w:rsid w:val="003E3F9A"/>
    <w:rsid w:val="003E4976"/>
    <w:rsid w:val="003F3E84"/>
    <w:rsid w:val="003F5656"/>
    <w:rsid w:val="003F5D80"/>
    <w:rsid w:val="0040043C"/>
    <w:rsid w:val="00417CDD"/>
    <w:rsid w:val="00423190"/>
    <w:rsid w:val="00423C37"/>
    <w:rsid w:val="00426EF4"/>
    <w:rsid w:val="00434436"/>
    <w:rsid w:val="004407AA"/>
    <w:rsid w:val="004418D5"/>
    <w:rsid w:val="00442298"/>
    <w:rsid w:val="00450768"/>
    <w:rsid w:val="00457E05"/>
    <w:rsid w:val="00461519"/>
    <w:rsid w:val="00463DE3"/>
    <w:rsid w:val="00471330"/>
    <w:rsid w:val="004729DF"/>
    <w:rsid w:val="00474F5D"/>
    <w:rsid w:val="00483260"/>
    <w:rsid w:val="0048551A"/>
    <w:rsid w:val="004A732D"/>
    <w:rsid w:val="004B065F"/>
    <w:rsid w:val="004B17CF"/>
    <w:rsid w:val="004B58B8"/>
    <w:rsid w:val="004B6D47"/>
    <w:rsid w:val="004C547F"/>
    <w:rsid w:val="004C54C0"/>
    <w:rsid w:val="004E5446"/>
    <w:rsid w:val="004F349C"/>
    <w:rsid w:val="00503A69"/>
    <w:rsid w:val="00503BF4"/>
    <w:rsid w:val="005044CC"/>
    <w:rsid w:val="00525F43"/>
    <w:rsid w:val="0053075F"/>
    <w:rsid w:val="005310AD"/>
    <w:rsid w:val="00540977"/>
    <w:rsid w:val="00547377"/>
    <w:rsid w:val="00570098"/>
    <w:rsid w:val="00573745"/>
    <w:rsid w:val="0059710B"/>
    <w:rsid w:val="005A1AA0"/>
    <w:rsid w:val="005B0FAE"/>
    <w:rsid w:val="005B3537"/>
    <w:rsid w:val="005C6733"/>
    <w:rsid w:val="005C6FCB"/>
    <w:rsid w:val="005D250C"/>
    <w:rsid w:val="005D75F1"/>
    <w:rsid w:val="005E021E"/>
    <w:rsid w:val="005F4121"/>
    <w:rsid w:val="005F5F22"/>
    <w:rsid w:val="00603CA8"/>
    <w:rsid w:val="00606084"/>
    <w:rsid w:val="00620DE9"/>
    <w:rsid w:val="00623763"/>
    <w:rsid w:val="00625DFC"/>
    <w:rsid w:val="00631598"/>
    <w:rsid w:val="0063602E"/>
    <w:rsid w:val="0064118F"/>
    <w:rsid w:val="006526DF"/>
    <w:rsid w:val="00667DF5"/>
    <w:rsid w:val="00681F19"/>
    <w:rsid w:val="006846F7"/>
    <w:rsid w:val="0069231D"/>
    <w:rsid w:val="00694D16"/>
    <w:rsid w:val="006B199C"/>
    <w:rsid w:val="006D7FAA"/>
    <w:rsid w:val="006F0C70"/>
    <w:rsid w:val="0070266B"/>
    <w:rsid w:val="007045F3"/>
    <w:rsid w:val="0070740B"/>
    <w:rsid w:val="00707951"/>
    <w:rsid w:val="007215DC"/>
    <w:rsid w:val="007337AF"/>
    <w:rsid w:val="00742405"/>
    <w:rsid w:val="0074625D"/>
    <w:rsid w:val="0074783C"/>
    <w:rsid w:val="00747D22"/>
    <w:rsid w:val="00757021"/>
    <w:rsid w:val="00761316"/>
    <w:rsid w:val="007811BA"/>
    <w:rsid w:val="007862A4"/>
    <w:rsid w:val="00793BE0"/>
    <w:rsid w:val="0079649B"/>
    <w:rsid w:val="007A5A5D"/>
    <w:rsid w:val="007C1C60"/>
    <w:rsid w:val="007C4FCD"/>
    <w:rsid w:val="007D01FD"/>
    <w:rsid w:val="007D18B8"/>
    <w:rsid w:val="007D1BC1"/>
    <w:rsid w:val="007D33EF"/>
    <w:rsid w:val="007E1FC9"/>
    <w:rsid w:val="007E4CD7"/>
    <w:rsid w:val="007F3972"/>
    <w:rsid w:val="00806919"/>
    <w:rsid w:val="00814C74"/>
    <w:rsid w:val="00817575"/>
    <w:rsid w:val="00820590"/>
    <w:rsid w:val="00840142"/>
    <w:rsid w:val="00843C08"/>
    <w:rsid w:val="008457C9"/>
    <w:rsid w:val="00855593"/>
    <w:rsid w:val="00862A82"/>
    <w:rsid w:val="00867340"/>
    <w:rsid w:val="00872AEC"/>
    <w:rsid w:val="00874451"/>
    <w:rsid w:val="00885AD2"/>
    <w:rsid w:val="00894058"/>
    <w:rsid w:val="00894A8E"/>
    <w:rsid w:val="00895F71"/>
    <w:rsid w:val="008B07C8"/>
    <w:rsid w:val="008B4306"/>
    <w:rsid w:val="008C14AB"/>
    <w:rsid w:val="0090030B"/>
    <w:rsid w:val="009043CB"/>
    <w:rsid w:val="00911FBC"/>
    <w:rsid w:val="00913464"/>
    <w:rsid w:val="00914432"/>
    <w:rsid w:val="0092056C"/>
    <w:rsid w:val="00920BE2"/>
    <w:rsid w:val="0092160B"/>
    <w:rsid w:val="00925E9C"/>
    <w:rsid w:val="009414F3"/>
    <w:rsid w:val="0094346C"/>
    <w:rsid w:val="0095134A"/>
    <w:rsid w:val="00962B35"/>
    <w:rsid w:val="00962F8B"/>
    <w:rsid w:val="00980343"/>
    <w:rsid w:val="00985139"/>
    <w:rsid w:val="00986A75"/>
    <w:rsid w:val="00986C0D"/>
    <w:rsid w:val="00994B72"/>
    <w:rsid w:val="009A1B24"/>
    <w:rsid w:val="009A5BA3"/>
    <w:rsid w:val="009B09D7"/>
    <w:rsid w:val="009B313B"/>
    <w:rsid w:val="009C0018"/>
    <w:rsid w:val="009C2052"/>
    <w:rsid w:val="009D49BA"/>
    <w:rsid w:val="009E12FA"/>
    <w:rsid w:val="009F5CCE"/>
    <w:rsid w:val="009F7168"/>
    <w:rsid w:val="00A06A61"/>
    <w:rsid w:val="00A12890"/>
    <w:rsid w:val="00A3087C"/>
    <w:rsid w:val="00A346A6"/>
    <w:rsid w:val="00A35901"/>
    <w:rsid w:val="00A37238"/>
    <w:rsid w:val="00A4073F"/>
    <w:rsid w:val="00A43CAF"/>
    <w:rsid w:val="00A64CCB"/>
    <w:rsid w:val="00A90ABA"/>
    <w:rsid w:val="00AA7BE7"/>
    <w:rsid w:val="00AB4E1D"/>
    <w:rsid w:val="00AB7718"/>
    <w:rsid w:val="00AC0622"/>
    <w:rsid w:val="00AC4CB2"/>
    <w:rsid w:val="00AC7658"/>
    <w:rsid w:val="00AE643E"/>
    <w:rsid w:val="00AF3EFD"/>
    <w:rsid w:val="00AF52C8"/>
    <w:rsid w:val="00B0040B"/>
    <w:rsid w:val="00B02F1F"/>
    <w:rsid w:val="00B25733"/>
    <w:rsid w:val="00B41EB5"/>
    <w:rsid w:val="00B61335"/>
    <w:rsid w:val="00B6756A"/>
    <w:rsid w:val="00B850F1"/>
    <w:rsid w:val="00B94650"/>
    <w:rsid w:val="00B9628F"/>
    <w:rsid w:val="00BA6F33"/>
    <w:rsid w:val="00BB0FAA"/>
    <w:rsid w:val="00BB3391"/>
    <w:rsid w:val="00BB65B8"/>
    <w:rsid w:val="00BC05F1"/>
    <w:rsid w:val="00BC17CF"/>
    <w:rsid w:val="00BD04AE"/>
    <w:rsid w:val="00BD4FEB"/>
    <w:rsid w:val="00BE087B"/>
    <w:rsid w:val="00BE4181"/>
    <w:rsid w:val="00C1364F"/>
    <w:rsid w:val="00C30664"/>
    <w:rsid w:val="00C347A7"/>
    <w:rsid w:val="00C623FC"/>
    <w:rsid w:val="00C857E1"/>
    <w:rsid w:val="00C97CFF"/>
    <w:rsid w:val="00CA1562"/>
    <w:rsid w:val="00CA2D38"/>
    <w:rsid w:val="00CB30E9"/>
    <w:rsid w:val="00CC0D35"/>
    <w:rsid w:val="00CC1FC7"/>
    <w:rsid w:val="00CD0A9D"/>
    <w:rsid w:val="00CE4055"/>
    <w:rsid w:val="00CE481A"/>
    <w:rsid w:val="00CE629D"/>
    <w:rsid w:val="00CF255D"/>
    <w:rsid w:val="00CF34D5"/>
    <w:rsid w:val="00CF401E"/>
    <w:rsid w:val="00CF60E4"/>
    <w:rsid w:val="00D0056A"/>
    <w:rsid w:val="00D05018"/>
    <w:rsid w:val="00D0785D"/>
    <w:rsid w:val="00D07B84"/>
    <w:rsid w:val="00D1323F"/>
    <w:rsid w:val="00D2581D"/>
    <w:rsid w:val="00D25D5D"/>
    <w:rsid w:val="00D426BE"/>
    <w:rsid w:val="00D43EEF"/>
    <w:rsid w:val="00D57980"/>
    <w:rsid w:val="00D628AF"/>
    <w:rsid w:val="00D63988"/>
    <w:rsid w:val="00D67325"/>
    <w:rsid w:val="00D95B70"/>
    <w:rsid w:val="00DB326F"/>
    <w:rsid w:val="00DB4750"/>
    <w:rsid w:val="00DB5E23"/>
    <w:rsid w:val="00DB7AC5"/>
    <w:rsid w:val="00DC0096"/>
    <w:rsid w:val="00DC3013"/>
    <w:rsid w:val="00DC680E"/>
    <w:rsid w:val="00DD665D"/>
    <w:rsid w:val="00DE2F3A"/>
    <w:rsid w:val="00DE603D"/>
    <w:rsid w:val="00DE7791"/>
    <w:rsid w:val="00DF7FA4"/>
    <w:rsid w:val="00E062FF"/>
    <w:rsid w:val="00E200FC"/>
    <w:rsid w:val="00E24CE4"/>
    <w:rsid w:val="00E52A8F"/>
    <w:rsid w:val="00E60589"/>
    <w:rsid w:val="00E81BD6"/>
    <w:rsid w:val="00E83E0D"/>
    <w:rsid w:val="00E85293"/>
    <w:rsid w:val="00E92CB5"/>
    <w:rsid w:val="00E94021"/>
    <w:rsid w:val="00E9532E"/>
    <w:rsid w:val="00EA084B"/>
    <w:rsid w:val="00EA3468"/>
    <w:rsid w:val="00EB4FEE"/>
    <w:rsid w:val="00EC1D0E"/>
    <w:rsid w:val="00EC501F"/>
    <w:rsid w:val="00ED68BB"/>
    <w:rsid w:val="00EE3FAD"/>
    <w:rsid w:val="00EE4DD4"/>
    <w:rsid w:val="00EE7373"/>
    <w:rsid w:val="00F208CA"/>
    <w:rsid w:val="00F22425"/>
    <w:rsid w:val="00F25655"/>
    <w:rsid w:val="00F34003"/>
    <w:rsid w:val="00F37DFD"/>
    <w:rsid w:val="00F6039C"/>
    <w:rsid w:val="00F60430"/>
    <w:rsid w:val="00F64D0D"/>
    <w:rsid w:val="00F70275"/>
    <w:rsid w:val="00F73CA8"/>
    <w:rsid w:val="00F86085"/>
    <w:rsid w:val="00F90384"/>
    <w:rsid w:val="00F92C68"/>
    <w:rsid w:val="00FA131E"/>
    <w:rsid w:val="00FA1362"/>
    <w:rsid w:val="00FB14D7"/>
    <w:rsid w:val="00FB73FC"/>
    <w:rsid w:val="00FB7935"/>
    <w:rsid w:val="00FC0A09"/>
    <w:rsid w:val="00FC17A2"/>
    <w:rsid w:val="00FC21E4"/>
    <w:rsid w:val="00FC5AB0"/>
    <w:rsid w:val="00FE3DA4"/>
    <w:rsid w:val="00FE65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1B65C47"/>
  <w14:defaultImageDpi w14:val="32767"/>
  <w15:chartTrackingRefBased/>
  <w15:docId w15:val="{6028CEFF-C9C2-4B6E-85F9-B41B4F094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313B"/>
    <w:pPr>
      <w:widowControl w:val="0"/>
      <w:jc w:val="both"/>
    </w:pPr>
  </w:style>
  <w:style w:type="paragraph" w:styleId="1">
    <w:name w:val="heading 1"/>
    <w:basedOn w:val="a"/>
    <w:next w:val="a"/>
    <w:link w:val="10"/>
    <w:uiPriority w:val="9"/>
    <w:qFormat/>
    <w:rsid w:val="006526D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F5D8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6756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5D80"/>
    <w:pPr>
      <w:tabs>
        <w:tab w:val="center" w:pos="4153"/>
        <w:tab w:val="right" w:pos="8306"/>
      </w:tabs>
      <w:snapToGrid w:val="0"/>
      <w:jc w:val="center"/>
    </w:pPr>
    <w:rPr>
      <w:sz w:val="18"/>
      <w:szCs w:val="18"/>
    </w:rPr>
  </w:style>
  <w:style w:type="character" w:customStyle="1" w:styleId="a4">
    <w:name w:val="页眉 字符"/>
    <w:basedOn w:val="a0"/>
    <w:link w:val="a3"/>
    <w:uiPriority w:val="99"/>
    <w:rsid w:val="003F5D80"/>
    <w:rPr>
      <w:sz w:val="18"/>
      <w:szCs w:val="18"/>
    </w:rPr>
  </w:style>
  <w:style w:type="paragraph" w:styleId="a5">
    <w:name w:val="footer"/>
    <w:basedOn w:val="a"/>
    <w:link w:val="a6"/>
    <w:uiPriority w:val="99"/>
    <w:unhideWhenUsed/>
    <w:rsid w:val="003F5D80"/>
    <w:pPr>
      <w:tabs>
        <w:tab w:val="center" w:pos="4153"/>
        <w:tab w:val="right" w:pos="8306"/>
      </w:tabs>
      <w:snapToGrid w:val="0"/>
      <w:jc w:val="left"/>
    </w:pPr>
    <w:rPr>
      <w:sz w:val="18"/>
      <w:szCs w:val="18"/>
    </w:rPr>
  </w:style>
  <w:style w:type="character" w:customStyle="1" w:styleId="a6">
    <w:name w:val="页脚 字符"/>
    <w:basedOn w:val="a0"/>
    <w:link w:val="a5"/>
    <w:uiPriority w:val="99"/>
    <w:rsid w:val="003F5D80"/>
    <w:rPr>
      <w:sz w:val="18"/>
      <w:szCs w:val="18"/>
    </w:rPr>
  </w:style>
  <w:style w:type="character" w:customStyle="1" w:styleId="20">
    <w:name w:val="标题 2 字符"/>
    <w:basedOn w:val="a0"/>
    <w:link w:val="2"/>
    <w:uiPriority w:val="9"/>
    <w:rsid w:val="003F5D80"/>
    <w:rPr>
      <w:rFonts w:asciiTheme="majorHAnsi" w:eastAsiaTheme="majorEastAsia" w:hAnsiTheme="majorHAnsi" w:cstheme="majorBidi"/>
      <w:b/>
      <w:bCs/>
      <w:sz w:val="32"/>
      <w:szCs w:val="32"/>
    </w:rPr>
  </w:style>
  <w:style w:type="paragraph" w:styleId="a7">
    <w:name w:val="List Paragraph"/>
    <w:basedOn w:val="a"/>
    <w:link w:val="a8"/>
    <w:uiPriority w:val="34"/>
    <w:qFormat/>
    <w:rsid w:val="003F5D80"/>
    <w:pPr>
      <w:ind w:firstLineChars="200" w:firstLine="420"/>
    </w:pPr>
  </w:style>
  <w:style w:type="character" w:customStyle="1" w:styleId="a8">
    <w:name w:val="列表段落 字符"/>
    <w:basedOn w:val="a0"/>
    <w:link w:val="a7"/>
    <w:uiPriority w:val="34"/>
    <w:rsid w:val="003F5D80"/>
  </w:style>
  <w:style w:type="paragraph" w:customStyle="1" w:styleId="EndNoteBibliographyTitle">
    <w:name w:val="EndNote Bibliography Title"/>
    <w:basedOn w:val="a"/>
    <w:link w:val="EndNoteBibliographyTitle0"/>
    <w:rsid w:val="003F5D80"/>
    <w:pPr>
      <w:jc w:val="center"/>
    </w:pPr>
    <w:rPr>
      <w:rFonts w:ascii="等线" w:eastAsia="等线" w:hAnsi="等线"/>
      <w:noProof/>
    </w:rPr>
  </w:style>
  <w:style w:type="character" w:customStyle="1" w:styleId="EndNoteBibliographyTitle0">
    <w:name w:val="EndNote Bibliography Title 字符"/>
    <w:basedOn w:val="a8"/>
    <w:link w:val="EndNoteBibliographyTitle"/>
    <w:rsid w:val="003F5D80"/>
    <w:rPr>
      <w:rFonts w:ascii="等线" w:eastAsia="等线" w:hAnsi="等线"/>
      <w:noProof/>
    </w:rPr>
  </w:style>
  <w:style w:type="paragraph" w:customStyle="1" w:styleId="EndNoteBibliography">
    <w:name w:val="EndNote Bibliography"/>
    <w:basedOn w:val="a"/>
    <w:link w:val="EndNoteBibliography0"/>
    <w:rsid w:val="003F5D80"/>
    <w:rPr>
      <w:rFonts w:ascii="等线" w:eastAsia="等线" w:hAnsi="等线"/>
      <w:noProof/>
    </w:rPr>
  </w:style>
  <w:style w:type="character" w:customStyle="1" w:styleId="EndNoteBibliography0">
    <w:name w:val="EndNote Bibliography 字符"/>
    <w:basedOn w:val="a8"/>
    <w:link w:val="EndNoteBibliography"/>
    <w:rsid w:val="003F5D80"/>
    <w:rPr>
      <w:rFonts w:ascii="等线" w:eastAsia="等线" w:hAnsi="等线"/>
      <w:noProof/>
    </w:rPr>
  </w:style>
  <w:style w:type="paragraph" w:styleId="a9">
    <w:name w:val="No Spacing"/>
    <w:link w:val="aa"/>
    <w:uiPriority w:val="1"/>
    <w:qFormat/>
    <w:rsid w:val="00303D14"/>
    <w:pPr>
      <w:widowControl w:val="0"/>
      <w:jc w:val="both"/>
    </w:pPr>
  </w:style>
  <w:style w:type="character" w:customStyle="1" w:styleId="aa">
    <w:name w:val="无间隔 字符"/>
    <w:basedOn w:val="a0"/>
    <w:link w:val="a9"/>
    <w:uiPriority w:val="1"/>
    <w:rsid w:val="00303D14"/>
  </w:style>
  <w:style w:type="character" w:customStyle="1" w:styleId="10">
    <w:name w:val="标题 1 字符"/>
    <w:basedOn w:val="a0"/>
    <w:link w:val="1"/>
    <w:uiPriority w:val="9"/>
    <w:rsid w:val="006526DF"/>
    <w:rPr>
      <w:b/>
      <w:bCs/>
      <w:kern w:val="44"/>
      <w:sz w:val="44"/>
      <w:szCs w:val="44"/>
    </w:rPr>
  </w:style>
  <w:style w:type="paragraph" w:styleId="ab">
    <w:name w:val="Normal (Web)"/>
    <w:basedOn w:val="a"/>
    <w:uiPriority w:val="99"/>
    <w:semiHidden/>
    <w:unhideWhenUsed/>
    <w:rsid w:val="006526DF"/>
    <w:rPr>
      <w:rFonts w:ascii="Times New Roman" w:hAnsi="Times New Roman" w:cs="Times New Roman"/>
      <w:sz w:val="24"/>
      <w:szCs w:val="24"/>
    </w:rPr>
  </w:style>
  <w:style w:type="paragraph" w:styleId="ac">
    <w:name w:val="caption"/>
    <w:basedOn w:val="a"/>
    <w:next w:val="a"/>
    <w:uiPriority w:val="35"/>
    <w:unhideWhenUsed/>
    <w:qFormat/>
    <w:rsid w:val="0090030B"/>
    <w:rPr>
      <w:rFonts w:asciiTheme="majorHAnsi" w:eastAsia="黑体" w:hAnsiTheme="majorHAnsi" w:cstheme="majorBidi"/>
      <w:sz w:val="20"/>
      <w:szCs w:val="20"/>
    </w:rPr>
  </w:style>
  <w:style w:type="character" w:customStyle="1" w:styleId="30">
    <w:name w:val="标题 3 字符"/>
    <w:basedOn w:val="a0"/>
    <w:link w:val="3"/>
    <w:uiPriority w:val="9"/>
    <w:rsid w:val="00B6756A"/>
    <w:rPr>
      <w:b/>
      <w:bCs/>
      <w:sz w:val="32"/>
      <w:szCs w:val="32"/>
    </w:rPr>
  </w:style>
  <w:style w:type="character" w:styleId="ad">
    <w:name w:val="Hyperlink"/>
    <w:basedOn w:val="a0"/>
    <w:uiPriority w:val="99"/>
    <w:unhideWhenUsed/>
    <w:rsid w:val="003D4639"/>
    <w:rPr>
      <w:color w:val="467886" w:themeColor="hyperlink"/>
      <w:u w:val="single"/>
    </w:rPr>
  </w:style>
  <w:style w:type="character" w:styleId="ae">
    <w:name w:val="Unresolved Mention"/>
    <w:basedOn w:val="a0"/>
    <w:uiPriority w:val="99"/>
    <w:semiHidden/>
    <w:unhideWhenUsed/>
    <w:rsid w:val="003D46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3018">
      <w:bodyDiv w:val="1"/>
      <w:marLeft w:val="0"/>
      <w:marRight w:val="0"/>
      <w:marTop w:val="0"/>
      <w:marBottom w:val="0"/>
      <w:divBdr>
        <w:top w:val="none" w:sz="0" w:space="0" w:color="auto"/>
        <w:left w:val="none" w:sz="0" w:space="0" w:color="auto"/>
        <w:bottom w:val="none" w:sz="0" w:space="0" w:color="auto"/>
        <w:right w:val="none" w:sz="0" w:space="0" w:color="auto"/>
      </w:divBdr>
    </w:div>
    <w:div w:id="38479138">
      <w:bodyDiv w:val="1"/>
      <w:marLeft w:val="0"/>
      <w:marRight w:val="0"/>
      <w:marTop w:val="0"/>
      <w:marBottom w:val="0"/>
      <w:divBdr>
        <w:top w:val="none" w:sz="0" w:space="0" w:color="auto"/>
        <w:left w:val="none" w:sz="0" w:space="0" w:color="auto"/>
        <w:bottom w:val="none" w:sz="0" w:space="0" w:color="auto"/>
        <w:right w:val="none" w:sz="0" w:space="0" w:color="auto"/>
      </w:divBdr>
    </w:div>
    <w:div w:id="72052415">
      <w:bodyDiv w:val="1"/>
      <w:marLeft w:val="0"/>
      <w:marRight w:val="0"/>
      <w:marTop w:val="0"/>
      <w:marBottom w:val="0"/>
      <w:divBdr>
        <w:top w:val="none" w:sz="0" w:space="0" w:color="auto"/>
        <w:left w:val="none" w:sz="0" w:space="0" w:color="auto"/>
        <w:bottom w:val="none" w:sz="0" w:space="0" w:color="auto"/>
        <w:right w:val="none" w:sz="0" w:space="0" w:color="auto"/>
      </w:divBdr>
    </w:div>
    <w:div w:id="175770451">
      <w:bodyDiv w:val="1"/>
      <w:marLeft w:val="0"/>
      <w:marRight w:val="0"/>
      <w:marTop w:val="0"/>
      <w:marBottom w:val="0"/>
      <w:divBdr>
        <w:top w:val="none" w:sz="0" w:space="0" w:color="auto"/>
        <w:left w:val="none" w:sz="0" w:space="0" w:color="auto"/>
        <w:bottom w:val="none" w:sz="0" w:space="0" w:color="auto"/>
        <w:right w:val="none" w:sz="0" w:space="0" w:color="auto"/>
      </w:divBdr>
    </w:div>
    <w:div w:id="187916016">
      <w:bodyDiv w:val="1"/>
      <w:marLeft w:val="0"/>
      <w:marRight w:val="0"/>
      <w:marTop w:val="0"/>
      <w:marBottom w:val="0"/>
      <w:divBdr>
        <w:top w:val="none" w:sz="0" w:space="0" w:color="auto"/>
        <w:left w:val="none" w:sz="0" w:space="0" w:color="auto"/>
        <w:bottom w:val="none" w:sz="0" w:space="0" w:color="auto"/>
        <w:right w:val="none" w:sz="0" w:space="0" w:color="auto"/>
      </w:divBdr>
    </w:div>
    <w:div w:id="193271297">
      <w:bodyDiv w:val="1"/>
      <w:marLeft w:val="0"/>
      <w:marRight w:val="0"/>
      <w:marTop w:val="0"/>
      <w:marBottom w:val="0"/>
      <w:divBdr>
        <w:top w:val="none" w:sz="0" w:space="0" w:color="auto"/>
        <w:left w:val="none" w:sz="0" w:space="0" w:color="auto"/>
        <w:bottom w:val="none" w:sz="0" w:space="0" w:color="auto"/>
        <w:right w:val="none" w:sz="0" w:space="0" w:color="auto"/>
      </w:divBdr>
    </w:div>
    <w:div w:id="229656045">
      <w:bodyDiv w:val="1"/>
      <w:marLeft w:val="0"/>
      <w:marRight w:val="0"/>
      <w:marTop w:val="0"/>
      <w:marBottom w:val="0"/>
      <w:divBdr>
        <w:top w:val="none" w:sz="0" w:space="0" w:color="auto"/>
        <w:left w:val="none" w:sz="0" w:space="0" w:color="auto"/>
        <w:bottom w:val="none" w:sz="0" w:space="0" w:color="auto"/>
        <w:right w:val="none" w:sz="0" w:space="0" w:color="auto"/>
      </w:divBdr>
    </w:div>
    <w:div w:id="235012780">
      <w:bodyDiv w:val="1"/>
      <w:marLeft w:val="0"/>
      <w:marRight w:val="0"/>
      <w:marTop w:val="0"/>
      <w:marBottom w:val="0"/>
      <w:divBdr>
        <w:top w:val="none" w:sz="0" w:space="0" w:color="auto"/>
        <w:left w:val="none" w:sz="0" w:space="0" w:color="auto"/>
        <w:bottom w:val="none" w:sz="0" w:space="0" w:color="auto"/>
        <w:right w:val="none" w:sz="0" w:space="0" w:color="auto"/>
      </w:divBdr>
    </w:div>
    <w:div w:id="424037227">
      <w:bodyDiv w:val="1"/>
      <w:marLeft w:val="0"/>
      <w:marRight w:val="0"/>
      <w:marTop w:val="0"/>
      <w:marBottom w:val="0"/>
      <w:divBdr>
        <w:top w:val="none" w:sz="0" w:space="0" w:color="auto"/>
        <w:left w:val="none" w:sz="0" w:space="0" w:color="auto"/>
        <w:bottom w:val="none" w:sz="0" w:space="0" w:color="auto"/>
        <w:right w:val="none" w:sz="0" w:space="0" w:color="auto"/>
      </w:divBdr>
    </w:div>
    <w:div w:id="543912753">
      <w:bodyDiv w:val="1"/>
      <w:marLeft w:val="0"/>
      <w:marRight w:val="0"/>
      <w:marTop w:val="0"/>
      <w:marBottom w:val="0"/>
      <w:divBdr>
        <w:top w:val="none" w:sz="0" w:space="0" w:color="auto"/>
        <w:left w:val="none" w:sz="0" w:space="0" w:color="auto"/>
        <w:bottom w:val="none" w:sz="0" w:space="0" w:color="auto"/>
        <w:right w:val="none" w:sz="0" w:space="0" w:color="auto"/>
      </w:divBdr>
    </w:div>
    <w:div w:id="546722261">
      <w:bodyDiv w:val="1"/>
      <w:marLeft w:val="0"/>
      <w:marRight w:val="0"/>
      <w:marTop w:val="0"/>
      <w:marBottom w:val="0"/>
      <w:divBdr>
        <w:top w:val="none" w:sz="0" w:space="0" w:color="auto"/>
        <w:left w:val="none" w:sz="0" w:space="0" w:color="auto"/>
        <w:bottom w:val="none" w:sz="0" w:space="0" w:color="auto"/>
        <w:right w:val="none" w:sz="0" w:space="0" w:color="auto"/>
      </w:divBdr>
    </w:div>
    <w:div w:id="551159117">
      <w:bodyDiv w:val="1"/>
      <w:marLeft w:val="0"/>
      <w:marRight w:val="0"/>
      <w:marTop w:val="0"/>
      <w:marBottom w:val="0"/>
      <w:divBdr>
        <w:top w:val="none" w:sz="0" w:space="0" w:color="auto"/>
        <w:left w:val="none" w:sz="0" w:space="0" w:color="auto"/>
        <w:bottom w:val="none" w:sz="0" w:space="0" w:color="auto"/>
        <w:right w:val="none" w:sz="0" w:space="0" w:color="auto"/>
      </w:divBdr>
    </w:div>
    <w:div w:id="572929157">
      <w:bodyDiv w:val="1"/>
      <w:marLeft w:val="0"/>
      <w:marRight w:val="0"/>
      <w:marTop w:val="0"/>
      <w:marBottom w:val="0"/>
      <w:divBdr>
        <w:top w:val="none" w:sz="0" w:space="0" w:color="auto"/>
        <w:left w:val="none" w:sz="0" w:space="0" w:color="auto"/>
        <w:bottom w:val="none" w:sz="0" w:space="0" w:color="auto"/>
        <w:right w:val="none" w:sz="0" w:space="0" w:color="auto"/>
      </w:divBdr>
    </w:div>
    <w:div w:id="599028940">
      <w:bodyDiv w:val="1"/>
      <w:marLeft w:val="0"/>
      <w:marRight w:val="0"/>
      <w:marTop w:val="0"/>
      <w:marBottom w:val="0"/>
      <w:divBdr>
        <w:top w:val="none" w:sz="0" w:space="0" w:color="auto"/>
        <w:left w:val="none" w:sz="0" w:space="0" w:color="auto"/>
        <w:bottom w:val="none" w:sz="0" w:space="0" w:color="auto"/>
        <w:right w:val="none" w:sz="0" w:space="0" w:color="auto"/>
      </w:divBdr>
    </w:div>
    <w:div w:id="605894776">
      <w:bodyDiv w:val="1"/>
      <w:marLeft w:val="0"/>
      <w:marRight w:val="0"/>
      <w:marTop w:val="0"/>
      <w:marBottom w:val="0"/>
      <w:divBdr>
        <w:top w:val="none" w:sz="0" w:space="0" w:color="auto"/>
        <w:left w:val="none" w:sz="0" w:space="0" w:color="auto"/>
        <w:bottom w:val="none" w:sz="0" w:space="0" w:color="auto"/>
        <w:right w:val="none" w:sz="0" w:space="0" w:color="auto"/>
      </w:divBdr>
    </w:div>
    <w:div w:id="636685006">
      <w:bodyDiv w:val="1"/>
      <w:marLeft w:val="0"/>
      <w:marRight w:val="0"/>
      <w:marTop w:val="0"/>
      <w:marBottom w:val="0"/>
      <w:divBdr>
        <w:top w:val="none" w:sz="0" w:space="0" w:color="auto"/>
        <w:left w:val="none" w:sz="0" w:space="0" w:color="auto"/>
        <w:bottom w:val="none" w:sz="0" w:space="0" w:color="auto"/>
        <w:right w:val="none" w:sz="0" w:space="0" w:color="auto"/>
      </w:divBdr>
    </w:div>
    <w:div w:id="667562777">
      <w:bodyDiv w:val="1"/>
      <w:marLeft w:val="0"/>
      <w:marRight w:val="0"/>
      <w:marTop w:val="0"/>
      <w:marBottom w:val="0"/>
      <w:divBdr>
        <w:top w:val="none" w:sz="0" w:space="0" w:color="auto"/>
        <w:left w:val="none" w:sz="0" w:space="0" w:color="auto"/>
        <w:bottom w:val="none" w:sz="0" w:space="0" w:color="auto"/>
        <w:right w:val="none" w:sz="0" w:space="0" w:color="auto"/>
      </w:divBdr>
    </w:div>
    <w:div w:id="739909054">
      <w:bodyDiv w:val="1"/>
      <w:marLeft w:val="0"/>
      <w:marRight w:val="0"/>
      <w:marTop w:val="0"/>
      <w:marBottom w:val="0"/>
      <w:divBdr>
        <w:top w:val="none" w:sz="0" w:space="0" w:color="auto"/>
        <w:left w:val="none" w:sz="0" w:space="0" w:color="auto"/>
        <w:bottom w:val="none" w:sz="0" w:space="0" w:color="auto"/>
        <w:right w:val="none" w:sz="0" w:space="0" w:color="auto"/>
      </w:divBdr>
    </w:div>
    <w:div w:id="761878701">
      <w:bodyDiv w:val="1"/>
      <w:marLeft w:val="0"/>
      <w:marRight w:val="0"/>
      <w:marTop w:val="0"/>
      <w:marBottom w:val="0"/>
      <w:divBdr>
        <w:top w:val="none" w:sz="0" w:space="0" w:color="auto"/>
        <w:left w:val="none" w:sz="0" w:space="0" w:color="auto"/>
        <w:bottom w:val="none" w:sz="0" w:space="0" w:color="auto"/>
        <w:right w:val="none" w:sz="0" w:space="0" w:color="auto"/>
      </w:divBdr>
    </w:div>
    <w:div w:id="762336674">
      <w:bodyDiv w:val="1"/>
      <w:marLeft w:val="0"/>
      <w:marRight w:val="0"/>
      <w:marTop w:val="0"/>
      <w:marBottom w:val="0"/>
      <w:divBdr>
        <w:top w:val="none" w:sz="0" w:space="0" w:color="auto"/>
        <w:left w:val="none" w:sz="0" w:space="0" w:color="auto"/>
        <w:bottom w:val="none" w:sz="0" w:space="0" w:color="auto"/>
        <w:right w:val="none" w:sz="0" w:space="0" w:color="auto"/>
      </w:divBdr>
    </w:div>
    <w:div w:id="767123383">
      <w:bodyDiv w:val="1"/>
      <w:marLeft w:val="0"/>
      <w:marRight w:val="0"/>
      <w:marTop w:val="0"/>
      <w:marBottom w:val="0"/>
      <w:divBdr>
        <w:top w:val="none" w:sz="0" w:space="0" w:color="auto"/>
        <w:left w:val="none" w:sz="0" w:space="0" w:color="auto"/>
        <w:bottom w:val="none" w:sz="0" w:space="0" w:color="auto"/>
        <w:right w:val="none" w:sz="0" w:space="0" w:color="auto"/>
      </w:divBdr>
    </w:div>
    <w:div w:id="818958521">
      <w:bodyDiv w:val="1"/>
      <w:marLeft w:val="0"/>
      <w:marRight w:val="0"/>
      <w:marTop w:val="0"/>
      <w:marBottom w:val="0"/>
      <w:divBdr>
        <w:top w:val="none" w:sz="0" w:space="0" w:color="auto"/>
        <w:left w:val="none" w:sz="0" w:space="0" w:color="auto"/>
        <w:bottom w:val="none" w:sz="0" w:space="0" w:color="auto"/>
        <w:right w:val="none" w:sz="0" w:space="0" w:color="auto"/>
      </w:divBdr>
    </w:div>
    <w:div w:id="827945467">
      <w:bodyDiv w:val="1"/>
      <w:marLeft w:val="0"/>
      <w:marRight w:val="0"/>
      <w:marTop w:val="0"/>
      <w:marBottom w:val="0"/>
      <w:divBdr>
        <w:top w:val="none" w:sz="0" w:space="0" w:color="auto"/>
        <w:left w:val="none" w:sz="0" w:space="0" w:color="auto"/>
        <w:bottom w:val="none" w:sz="0" w:space="0" w:color="auto"/>
        <w:right w:val="none" w:sz="0" w:space="0" w:color="auto"/>
      </w:divBdr>
    </w:div>
    <w:div w:id="833299348">
      <w:bodyDiv w:val="1"/>
      <w:marLeft w:val="0"/>
      <w:marRight w:val="0"/>
      <w:marTop w:val="0"/>
      <w:marBottom w:val="0"/>
      <w:divBdr>
        <w:top w:val="none" w:sz="0" w:space="0" w:color="auto"/>
        <w:left w:val="none" w:sz="0" w:space="0" w:color="auto"/>
        <w:bottom w:val="none" w:sz="0" w:space="0" w:color="auto"/>
        <w:right w:val="none" w:sz="0" w:space="0" w:color="auto"/>
      </w:divBdr>
    </w:div>
    <w:div w:id="838040161">
      <w:bodyDiv w:val="1"/>
      <w:marLeft w:val="0"/>
      <w:marRight w:val="0"/>
      <w:marTop w:val="0"/>
      <w:marBottom w:val="0"/>
      <w:divBdr>
        <w:top w:val="none" w:sz="0" w:space="0" w:color="auto"/>
        <w:left w:val="none" w:sz="0" w:space="0" w:color="auto"/>
        <w:bottom w:val="none" w:sz="0" w:space="0" w:color="auto"/>
        <w:right w:val="none" w:sz="0" w:space="0" w:color="auto"/>
      </w:divBdr>
    </w:div>
    <w:div w:id="864177466">
      <w:bodyDiv w:val="1"/>
      <w:marLeft w:val="0"/>
      <w:marRight w:val="0"/>
      <w:marTop w:val="0"/>
      <w:marBottom w:val="0"/>
      <w:divBdr>
        <w:top w:val="none" w:sz="0" w:space="0" w:color="auto"/>
        <w:left w:val="none" w:sz="0" w:space="0" w:color="auto"/>
        <w:bottom w:val="none" w:sz="0" w:space="0" w:color="auto"/>
        <w:right w:val="none" w:sz="0" w:space="0" w:color="auto"/>
      </w:divBdr>
    </w:div>
    <w:div w:id="981542828">
      <w:bodyDiv w:val="1"/>
      <w:marLeft w:val="0"/>
      <w:marRight w:val="0"/>
      <w:marTop w:val="0"/>
      <w:marBottom w:val="0"/>
      <w:divBdr>
        <w:top w:val="none" w:sz="0" w:space="0" w:color="auto"/>
        <w:left w:val="none" w:sz="0" w:space="0" w:color="auto"/>
        <w:bottom w:val="none" w:sz="0" w:space="0" w:color="auto"/>
        <w:right w:val="none" w:sz="0" w:space="0" w:color="auto"/>
      </w:divBdr>
    </w:div>
    <w:div w:id="1043166778">
      <w:bodyDiv w:val="1"/>
      <w:marLeft w:val="0"/>
      <w:marRight w:val="0"/>
      <w:marTop w:val="0"/>
      <w:marBottom w:val="0"/>
      <w:divBdr>
        <w:top w:val="none" w:sz="0" w:space="0" w:color="auto"/>
        <w:left w:val="none" w:sz="0" w:space="0" w:color="auto"/>
        <w:bottom w:val="none" w:sz="0" w:space="0" w:color="auto"/>
        <w:right w:val="none" w:sz="0" w:space="0" w:color="auto"/>
      </w:divBdr>
    </w:div>
    <w:div w:id="1153256411">
      <w:bodyDiv w:val="1"/>
      <w:marLeft w:val="0"/>
      <w:marRight w:val="0"/>
      <w:marTop w:val="0"/>
      <w:marBottom w:val="0"/>
      <w:divBdr>
        <w:top w:val="none" w:sz="0" w:space="0" w:color="auto"/>
        <w:left w:val="none" w:sz="0" w:space="0" w:color="auto"/>
        <w:bottom w:val="none" w:sz="0" w:space="0" w:color="auto"/>
        <w:right w:val="none" w:sz="0" w:space="0" w:color="auto"/>
      </w:divBdr>
    </w:div>
    <w:div w:id="1176727266">
      <w:bodyDiv w:val="1"/>
      <w:marLeft w:val="0"/>
      <w:marRight w:val="0"/>
      <w:marTop w:val="0"/>
      <w:marBottom w:val="0"/>
      <w:divBdr>
        <w:top w:val="none" w:sz="0" w:space="0" w:color="auto"/>
        <w:left w:val="none" w:sz="0" w:space="0" w:color="auto"/>
        <w:bottom w:val="none" w:sz="0" w:space="0" w:color="auto"/>
        <w:right w:val="none" w:sz="0" w:space="0" w:color="auto"/>
      </w:divBdr>
    </w:div>
    <w:div w:id="1235159787">
      <w:bodyDiv w:val="1"/>
      <w:marLeft w:val="0"/>
      <w:marRight w:val="0"/>
      <w:marTop w:val="0"/>
      <w:marBottom w:val="0"/>
      <w:divBdr>
        <w:top w:val="none" w:sz="0" w:space="0" w:color="auto"/>
        <w:left w:val="none" w:sz="0" w:space="0" w:color="auto"/>
        <w:bottom w:val="none" w:sz="0" w:space="0" w:color="auto"/>
        <w:right w:val="none" w:sz="0" w:space="0" w:color="auto"/>
      </w:divBdr>
    </w:div>
    <w:div w:id="1261377211">
      <w:bodyDiv w:val="1"/>
      <w:marLeft w:val="0"/>
      <w:marRight w:val="0"/>
      <w:marTop w:val="0"/>
      <w:marBottom w:val="0"/>
      <w:divBdr>
        <w:top w:val="none" w:sz="0" w:space="0" w:color="auto"/>
        <w:left w:val="none" w:sz="0" w:space="0" w:color="auto"/>
        <w:bottom w:val="none" w:sz="0" w:space="0" w:color="auto"/>
        <w:right w:val="none" w:sz="0" w:space="0" w:color="auto"/>
      </w:divBdr>
    </w:div>
    <w:div w:id="1277061205">
      <w:bodyDiv w:val="1"/>
      <w:marLeft w:val="0"/>
      <w:marRight w:val="0"/>
      <w:marTop w:val="0"/>
      <w:marBottom w:val="0"/>
      <w:divBdr>
        <w:top w:val="none" w:sz="0" w:space="0" w:color="auto"/>
        <w:left w:val="none" w:sz="0" w:space="0" w:color="auto"/>
        <w:bottom w:val="none" w:sz="0" w:space="0" w:color="auto"/>
        <w:right w:val="none" w:sz="0" w:space="0" w:color="auto"/>
      </w:divBdr>
    </w:div>
    <w:div w:id="1362433607">
      <w:bodyDiv w:val="1"/>
      <w:marLeft w:val="0"/>
      <w:marRight w:val="0"/>
      <w:marTop w:val="0"/>
      <w:marBottom w:val="0"/>
      <w:divBdr>
        <w:top w:val="none" w:sz="0" w:space="0" w:color="auto"/>
        <w:left w:val="none" w:sz="0" w:space="0" w:color="auto"/>
        <w:bottom w:val="none" w:sz="0" w:space="0" w:color="auto"/>
        <w:right w:val="none" w:sz="0" w:space="0" w:color="auto"/>
      </w:divBdr>
    </w:div>
    <w:div w:id="1470515794">
      <w:bodyDiv w:val="1"/>
      <w:marLeft w:val="0"/>
      <w:marRight w:val="0"/>
      <w:marTop w:val="0"/>
      <w:marBottom w:val="0"/>
      <w:divBdr>
        <w:top w:val="none" w:sz="0" w:space="0" w:color="auto"/>
        <w:left w:val="none" w:sz="0" w:space="0" w:color="auto"/>
        <w:bottom w:val="none" w:sz="0" w:space="0" w:color="auto"/>
        <w:right w:val="none" w:sz="0" w:space="0" w:color="auto"/>
      </w:divBdr>
    </w:div>
    <w:div w:id="1600604528">
      <w:bodyDiv w:val="1"/>
      <w:marLeft w:val="0"/>
      <w:marRight w:val="0"/>
      <w:marTop w:val="0"/>
      <w:marBottom w:val="0"/>
      <w:divBdr>
        <w:top w:val="none" w:sz="0" w:space="0" w:color="auto"/>
        <w:left w:val="none" w:sz="0" w:space="0" w:color="auto"/>
        <w:bottom w:val="none" w:sz="0" w:space="0" w:color="auto"/>
        <w:right w:val="none" w:sz="0" w:space="0" w:color="auto"/>
      </w:divBdr>
    </w:div>
    <w:div w:id="1603564330">
      <w:bodyDiv w:val="1"/>
      <w:marLeft w:val="0"/>
      <w:marRight w:val="0"/>
      <w:marTop w:val="0"/>
      <w:marBottom w:val="0"/>
      <w:divBdr>
        <w:top w:val="none" w:sz="0" w:space="0" w:color="auto"/>
        <w:left w:val="none" w:sz="0" w:space="0" w:color="auto"/>
        <w:bottom w:val="none" w:sz="0" w:space="0" w:color="auto"/>
        <w:right w:val="none" w:sz="0" w:space="0" w:color="auto"/>
      </w:divBdr>
    </w:div>
    <w:div w:id="1622301043">
      <w:bodyDiv w:val="1"/>
      <w:marLeft w:val="0"/>
      <w:marRight w:val="0"/>
      <w:marTop w:val="0"/>
      <w:marBottom w:val="0"/>
      <w:divBdr>
        <w:top w:val="none" w:sz="0" w:space="0" w:color="auto"/>
        <w:left w:val="none" w:sz="0" w:space="0" w:color="auto"/>
        <w:bottom w:val="none" w:sz="0" w:space="0" w:color="auto"/>
        <w:right w:val="none" w:sz="0" w:space="0" w:color="auto"/>
      </w:divBdr>
    </w:div>
    <w:div w:id="1650936073">
      <w:bodyDiv w:val="1"/>
      <w:marLeft w:val="0"/>
      <w:marRight w:val="0"/>
      <w:marTop w:val="0"/>
      <w:marBottom w:val="0"/>
      <w:divBdr>
        <w:top w:val="none" w:sz="0" w:space="0" w:color="auto"/>
        <w:left w:val="none" w:sz="0" w:space="0" w:color="auto"/>
        <w:bottom w:val="none" w:sz="0" w:space="0" w:color="auto"/>
        <w:right w:val="none" w:sz="0" w:space="0" w:color="auto"/>
      </w:divBdr>
    </w:div>
    <w:div w:id="1661077528">
      <w:bodyDiv w:val="1"/>
      <w:marLeft w:val="0"/>
      <w:marRight w:val="0"/>
      <w:marTop w:val="0"/>
      <w:marBottom w:val="0"/>
      <w:divBdr>
        <w:top w:val="none" w:sz="0" w:space="0" w:color="auto"/>
        <w:left w:val="none" w:sz="0" w:space="0" w:color="auto"/>
        <w:bottom w:val="none" w:sz="0" w:space="0" w:color="auto"/>
        <w:right w:val="none" w:sz="0" w:space="0" w:color="auto"/>
      </w:divBdr>
    </w:div>
    <w:div w:id="1693409656">
      <w:bodyDiv w:val="1"/>
      <w:marLeft w:val="0"/>
      <w:marRight w:val="0"/>
      <w:marTop w:val="0"/>
      <w:marBottom w:val="0"/>
      <w:divBdr>
        <w:top w:val="none" w:sz="0" w:space="0" w:color="auto"/>
        <w:left w:val="none" w:sz="0" w:space="0" w:color="auto"/>
        <w:bottom w:val="none" w:sz="0" w:space="0" w:color="auto"/>
        <w:right w:val="none" w:sz="0" w:space="0" w:color="auto"/>
      </w:divBdr>
    </w:div>
    <w:div w:id="1779837773">
      <w:bodyDiv w:val="1"/>
      <w:marLeft w:val="0"/>
      <w:marRight w:val="0"/>
      <w:marTop w:val="0"/>
      <w:marBottom w:val="0"/>
      <w:divBdr>
        <w:top w:val="none" w:sz="0" w:space="0" w:color="auto"/>
        <w:left w:val="none" w:sz="0" w:space="0" w:color="auto"/>
        <w:bottom w:val="none" w:sz="0" w:space="0" w:color="auto"/>
        <w:right w:val="none" w:sz="0" w:space="0" w:color="auto"/>
      </w:divBdr>
    </w:div>
    <w:div w:id="1793327503">
      <w:bodyDiv w:val="1"/>
      <w:marLeft w:val="0"/>
      <w:marRight w:val="0"/>
      <w:marTop w:val="0"/>
      <w:marBottom w:val="0"/>
      <w:divBdr>
        <w:top w:val="none" w:sz="0" w:space="0" w:color="auto"/>
        <w:left w:val="none" w:sz="0" w:space="0" w:color="auto"/>
        <w:bottom w:val="none" w:sz="0" w:space="0" w:color="auto"/>
        <w:right w:val="none" w:sz="0" w:space="0" w:color="auto"/>
      </w:divBdr>
    </w:div>
    <w:div w:id="1804276705">
      <w:bodyDiv w:val="1"/>
      <w:marLeft w:val="0"/>
      <w:marRight w:val="0"/>
      <w:marTop w:val="0"/>
      <w:marBottom w:val="0"/>
      <w:divBdr>
        <w:top w:val="none" w:sz="0" w:space="0" w:color="auto"/>
        <w:left w:val="none" w:sz="0" w:space="0" w:color="auto"/>
        <w:bottom w:val="none" w:sz="0" w:space="0" w:color="auto"/>
        <w:right w:val="none" w:sz="0" w:space="0" w:color="auto"/>
      </w:divBdr>
    </w:div>
    <w:div w:id="1820656041">
      <w:bodyDiv w:val="1"/>
      <w:marLeft w:val="0"/>
      <w:marRight w:val="0"/>
      <w:marTop w:val="0"/>
      <w:marBottom w:val="0"/>
      <w:divBdr>
        <w:top w:val="none" w:sz="0" w:space="0" w:color="auto"/>
        <w:left w:val="none" w:sz="0" w:space="0" w:color="auto"/>
        <w:bottom w:val="none" w:sz="0" w:space="0" w:color="auto"/>
        <w:right w:val="none" w:sz="0" w:space="0" w:color="auto"/>
      </w:divBdr>
    </w:div>
    <w:div w:id="1821338543">
      <w:bodyDiv w:val="1"/>
      <w:marLeft w:val="0"/>
      <w:marRight w:val="0"/>
      <w:marTop w:val="0"/>
      <w:marBottom w:val="0"/>
      <w:divBdr>
        <w:top w:val="none" w:sz="0" w:space="0" w:color="auto"/>
        <w:left w:val="none" w:sz="0" w:space="0" w:color="auto"/>
        <w:bottom w:val="none" w:sz="0" w:space="0" w:color="auto"/>
        <w:right w:val="none" w:sz="0" w:space="0" w:color="auto"/>
      </w:divBdr>
    </w:div>
    <w:div w:id="1822387930">
      <w:bodyDiv w:val="1"/>
      <w:marLeft w:val="0"/>
      <w:marRight w:val="0"/>
      <w:marTop w:val="0"/>
      <w:marBottom w:val="0"/>
      <w:divBdr>
        <w:top w:val="none" w:sz="0" w:space="0" w:color="auto"/>
        <w:left w:val="none" w:sz="0" w:space="0" w:color="auto"/>
        <w:bottom w:val="none" w:sz="0" w:space="0" w:color="auto"/>
        <w:right w:val="none" w:sz="0" w:space="0" w:color="auto"/>
      </w:divBdr>
    </w:div>
    <w:div w:id="1837643424">
      <w:bodyDiv w:val="1"/>
      <w:marLeft w:val="0"/>
      <w:marRight w:val="0"/>
      <w:marTop w:val="0"/>
      <w:marBottom w:val="0"/>
      <w:divBdr>
        <w:top w:val="none" w:sz="0" w:space="0" w:color="auto"/>
        <w:left w:val="none" w:sz="0" w:space="0" w:color="auto"/>
        <w:bottom w:val="none" w:sz="0" w:space="0" w:color="auto"/>
        <w:right w:val="none" w:sz="0" w:space="0" w:color="auto"/>
      </w:divBdr>
    </w:div>
    <w:div w:id="1847280078">
      <w:bodyDiv w:val="1"/>
      <w:marLeft w:val="0"/>
      <w:marRight w:val="0"/>
      <w:marTop w:val="0"/>
      <w:marBottom w:val="0"/>
      <w:divBdr>
        <w:top w:val="none" w:sz="0" w:space="0" w:color="auto"/>
        <w:left w:val="none" w:sz="0" w:space="0" w:color="auto"/>
        <w:bottom w:val="none" w:sz="0" w:space="0" w:color="auto"/>
        <w:right w:val="none" w:sz="0" w:space="0" w:color="auto"/>
      </w:divBdr>
    </w:div>
    <w:div w:id="1860267420">
      <w:bodyDiv w:val="1"/>
      <w:marLeft w:val="0"/>
      <w:marRight w:val="0"/>
      <w:marTop w:val="0"/>
      <w:marBottom w:val="0"/>
      <w:divBdr>
        <w:top w:val="none" w:sz="0" w:space="0" w:color="auto"/>
        <w:left w:val="none" w:sz="0" w:space="0" w:color="auto"/>
        <w:bottom w:val="none" w:sz="0" w:space="0" w:color="auto"/>
        <w:right w:val="none" w:sz="0" w:space="0" w:color="auto"/>
      </w:divBdr>
    </w:div>
    <w:div w:id="1869752256">
      <w:bodyDiv w:val="1"/>
      <w:marLeft w:val="0"/>
      <w:marRight w:val="0"/>
      <w:marTop w:val="0"/>
      <w:marBottom w:val="0"/>
      <w:divBdr>
        <w:top w:val="none" w:sz="0" w:space="0" w:color="auto"/>
        <w:left w:val="none" w:sz="0" w:space="0" w:color="auto"/>
        <w:bottom w:val="none" w:sz="0" w:space="0" w:color="auto"/>
        <w:right w:val="none" w:sz="0" w:space="0" w:color="auto"/>
      </w:divBdr>
    </w:div>
    <w:div w:id="1939563074">
      <w:bodyDiv w:val="1"/>
      <w:marLeft w:val="0"/>
      <w:marRight w:val="0"/>
      <w:marTop w:val="0"/>
      <w:marBottom w:val="0"/>
      <w:divBdr>
        <w:top w:val="none" w:sz="0" w:space="0" w:color="auto"/>
        <w:left w:val="none" w:sz="0" w:space="0" w:color="auto"/>
        <w:bottom w:val="none" w:sz="0" w:space="0" w:color="auto"/>
        <w:right w:val="none" w:sz="0" w:space="0" w:color="auto"/>
      </w:divBdr>
    </w:div>
    <w:div w:id="1953633214">
      <w:bodyDiv w:val="1"/>
      <w:marLeft w:val="0"/>
      <w:marRight w:val="0"/>
      <w:marTop w:val="0"/>
      <w:marBottom w:val="0"/>
      <w:divBdr>
        <w:top w:val="none" w:sz="0" w:space="0" w:color="auto"/>
        <w:left w:val="none" w:sz="0" w:space="0" w:color="auto"/>
        <w:bottom w:val="none" w:sz="0" w:space="0" w:color="auto"/>
        <w:right w:val="none" w:sz="0" w:space="0" w:color="auto"/>
      </w:divBdr>
    </w:div>
    <w:div w:id="1960212761">
      <w:bodyDiv w:val="1"/>
      <w:marLeft w:val="0"/>
      <w:marRight w:val="0"/>
      <w:marTop w:val="0"/>
      <w:marBottom w:val="0"/>
      <w:divBdr>
        <w:top w:val="none" w:sz="0" w:space="0" w:color="auto"/>
        <w:left w:val="none" w:sz="0" w:space="0" w:color="auto"/>
        <w:bottom w:val="none" w:sz="0" w:space="0" w:color="auto"/>
        <w:right w:val="none" w:sz="0" w:space="0" w:color="auto"/>
      </w:divBdr>
    </w:div>
    <w:div w:id="2020933882">
      <w:bodyDiv w:val="1"/>
      <w:marLeft w:val="0"/>
      <w:marRight w:val="0"/>
      <w:marTop w:val="0"/>
      <w:marBottom w:val="0"/>
      <w:divBdr>
        <w:top w:val="none" w:sz="0" w:space="0" w:color="auto"/>
        <w:left w:val="none" w:sz="0" w:space="0" w:color="auto"/>
        <w:bottom w:val="none" w:sz="0" w:space="0" w:color="auto"/>
        <w:right w:val="none" w:sz="0" w:space="0" w:color="auto"/>
      </w:divBdr>
    </w:div>
    <w:div w:id="20892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ourworldindata.org/engels-law-food-spendin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02/pan3.10513"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doi.org/10.1016/j.ecolmodel.2022.110057"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3073</TotalTime>
  <Pages>19</Pages>
  <Words>5514</Words>
  <Characters>31432</Characters>
  <Application>Microsoft Office Word</Application>
  <DocSecurity>0</DocSecurity>
  <Lines>261</Lines>
  <Paragraphs>73</Paragraphs>
  <ScaleCrop>false</ScaleCrop>
  <Company/>
  <LinksUpToDate>false</LinksUpToDate>
  <CharactersWithSpaces>36873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DAWA ZHAXI</dc:creator>
  <cp:keywords/>
  <dc:description/>
  <cp:lastModifiedBy>DAWA ZHAXI</cp:lastModifiedBy>
  <cp:revision>333</cp:revision>
  <dcterms:created xsi:type="dcterms:W3CDTF">2025-03-30T13:02:00Z</dcterms:created>
  <dcterms:modified xsi:type="dcterms:W3CDTF">2025-08-14T02:50:00Z</dcterms:modified>
</cp:coreProperties>
</file>