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0"/>
        <w:tblW w:w="10066" w:type="dxa"/>
        <w:tblInd w:w="0" w:type="dxa"/>
        <w:tblLayout w:type="fixed"/>
        <w:tblCellMar>
          <w:top w:w="100" w:type="dxa"/>
          <w:left w:w="100" w:type="dxa"/>
          <w:bottom w:w="100" w:type="dxa"/>
          <w:right w:w="100" w:type="dxa"/>
        </w:tblCellMar>
        <w:tblLook w:val="0600" w:firstRow="0" w:lastRow="0" w:firstColumn="0" w:lastColumn="0" w:noHBand="1" w:noVBand="1"/>
      </w:tblPr>
      <w:tblGrid>
        <w:gridCol w:w="10066"/>
      </w:tblGrid>
      <w:tr w:rsidR="001978B6" w14:paraId="1AFBBA63" w14:textId="77777777" w:rsidTr="009A1368">
        <w:tc>
          <w:tcPr>
            <w:tcW w:w="10066" w:type="dxa"/>
            <w:shd w:val="clear" w:color="auto" w:fill="auto"/>
          </w:tcPr>
          <w:p w14:paraId="249C4B26" w14:textId="77777777" w:rsidR="001978B6" w:rsidRDefault="001978B6" w:rsidP="009A1368">
            <w:pPr>
              <w:pStyle w:val="normal1"/>
              <w:widowControl w:val="0"/>
              <w:spacing w:line="240" w:lineRule="auto"/>
            </w:pPr>
            <w:r>
              <w:rPr>
                <w:noProof/>
              </w:rPr>
              <w:drawing>
                <wp:inline distT="0" distB="0" distL="0" distR="0" wp14:anchorId="3EC0FDF2" wp14:editId="58D5F812">
                  <wp:extent cx="6257925" cy="5664200"/>
                  <wp:effectExtent l="0" t="0" r="0" b="0"/>
                  <wp:docPr id="6" name="image1.png"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descr="A screenshot of a computer screen&#10;&#10;AI-generated content may be incorrect."/>
                          <pic:cNvPicPr>
                            <a:picLocks noChangeAspect="1" noChangeArrowheads="1"/>
                          </pic:cNvPicPr>
                        </pic:nvPicPr>
                        <pic:blipFill>
                          <a:blip r:embed="rId4"/>
                          <a:stretch>
                            <a:fillRect/>
                          </a:stretch>
                        </pic:blipFill>
                        <pic:spPr bwMode="auto">
                          <a:xfrm>
                            <a:off x="0" y="0"/>
                            <a:ext cx="6257925" cy="5664200"/>
                          </a:xfrm>
                          <a:prstGeom prst="rect">
                            <a:avLst/>
                          </a:prstGeom>
                        </pic:spPr>
                      </pic:pic>
                    </a:graphicData>
                  </a:graphic>
                </wp:inline>
              </w:drawing>
            </w:r>
          </w:p>
        </w:tc>
      </w:tr>
      <w:tr w:rsidR="001978B6" w14:paraId="03BF0511" w14:textId="77777777" w:rsidTr="009A1368">
        <w:tc>
          <w:tcPr>
            <w:tcW w:w="10066" w:type="dxa"/>
            <w:shd w:val="clear" w:color="auto" w:fill="auto"/>
          </w:tcPr>
          <w:p w14:paraId="462A29AD" w14:textId="77777777" w:rsidR="001978B6" w:rsidRDefault="001978B6" w:rsidP="009A1368">
            <w:pPr>
              <w:pStyle w:val="normal1"/>
              <w:widowControl w:val="0"/>
              <w:spacing w:line="240" w:lineRule="auto"/>
              <w:jc w:val="both"/>
              <w:rPr>
                <w:rFonts w:ascii="Arial" w:eastAsia="Arial" w:hAnsi="Arial" w:cs="Arial"/>
                <w:sz w:val="20"/>
                <w:szCs w:val="20"/>
              </w:rPr>
            </w:pPr>
            <w:r>
              <w:rPr>
                <w:rFonts w:ascii="Arial" w:eastAsia="Arial" w:hAnsi="Arial" w:cs="Arial"/>
                <w:b/>
                <w:sz w:val="20"/>
                <w:szCs w:val="20"/>
              </w:rPr>
              <w:t xml:space="preserve">Extended Data Figure 1 | Fitted simulation parameters to TSG101 </w:t>
            </w:r>
            <w:r>
              <w:rPr>
                <w:rFonts w:ascii="Arial" w:eastAsia="Arial" w:hAnsi="Arial" w:cs="Arial"/>
                <w:b/>
                <w:i/>
                <w:sz w:val="20"/>
                <w:szCs w:val="20"/>
              </w:rPr>
              <w:t>T. gondii</w:t>
            </w:r>
            <w:r>
              <w:rPr>
                <w:rFonts w:ascii="Arial" w:eastAsia="Arial" w:hAnsi="Arial" w:cs="Arial"/>
                <w:b/>
                <w:sz w:val="20"/>
                <w:szCs w:val="20"/>
              </w:rPr>
              <w:t xml:space="preserve"> screen. </w:t>
            </w:r>
            <w:r>
              <w:rPr>
                <w:rFonts w:ascii="Arial" w:eastAsia="Arial" w:hAnsi="Arial" w:cs="Arial"/>
                <w:sz w:val="20"/>
                <w:szCs w:val="20"/>
              </w:rPr>
              <w:t xml:space="preserve">In panels a-f, comparing summary statistics from simulations with parameters fitted to the TSG101 screen. Seeder plate: </w:t>
            </w:r>
            <w:r>
              <w:rPr>
                <w:rFonts w:ascii="Arial" w:eastAsia="Arial" w:hAnsi="Arial" w:cs="Arial"/>
                <w:b/>
                <w:sz w:val="20"/>
                <w:szCs w:val="20"/>
              </w:rPr>
              <w:t xml:space="preserve">a. </w:t>
            </w:r>
            <w:r>
              <w:rPr>
                <w:rFonts w:ascii="Arial" w:eastAsia="Arial" w:hAnsi="Arial" w:cs="Arial"/>
                <w:sz w:val="20"/>
                <w:szCs w:val="20"/>
              </w:rPr>
              <w:t xml:space="preserve">Histogram of gene counts per well, </w:t>
            </w:r>
            <w:r>
              <w:rPr>
                <w:rFonts w:ascii="Arial" w:eastAsia="Arial" w:hAnsi="Arial" w:cs="Arial"/>
                <w:b/>
                <w:sz w:val="20"/>
                <w:szCs w:val="20"/>
              </w:rPr>
              <w:t xml:space="preserve">b. </w:t>
            </w:r>
            <w:r>
              <w:rPr>
                <w:rFonts w:ascii="Arial" w:eastAsia="Arial" w:hAnsi="Arial" w:cs="Arial"/>
                <w:sz w:val="20"/>
                <w:szCs w:val="20"/>
              </w:rPr>
              <w:t xml:space="preserve">Histogram of well counts per gene. Sequencing plates: </w:t>
            </w:r>
            <w:r>
              <w:rPr>
                <w:rFonts w:ascii="Arial" w:eastAsia="Arial" w:hAnsi="Arial" w:cs="Arial"/>
                <w:b/>
                <w:sz w:val="20"/>
                <w:szCs w:val="20"/>
              </w:rPr>
              <w:t xml:space="preserve">c. </w:t>
            </w:r>
            <w:r>
              <w:rPr>
                <w:rFonts w:ascii="Arial" w:eastAsia="Arial" w:hAnsi="Arial" w:cs="Arial"/>
                <w:sz w:val="20"/>
                <w:szCs w:val="20"/>
              </w:rPr>
              <w:t xml:space="preserve">Histogram of the percent of reads for a gene to the total reads in the well. Imaging plates: </w:t>
            </w:r>
            <w:r>
              <w:rPr>
                <w:rFonts w:ascii="Arial" w:eastAsia="Arial" w:hAnsi="Arial" w:cs="Arial"/>
                <w:b/>
                <w:sz w:val="20"/>
                <w:szCs w:val="20"/>
              </w:rPr>
              <w:t xml:space="preserve">d. </w:t>
            </w:r>
            <w:r>
              <w:rPr>
                <w:rFonts w:ascii="Arial" w:eastAsia="Arial" w:hAnsi="Arial" w:cs="Arial"/>
                <w:sz w:val="20"/>
                <w:szCs w:val="20"/>
              </w:rPr>
              <w:t xml:space="preserve">Histogram of cell counts per well. </w:t>
            </w:r>
            <w:r>
              <w:rPr>
                <w:rFonts w:ascii="Arial" w:eastAsia="Arial" w:hAnsi="Arial" w:cs="Arial"/>
                <w:b/>
                <w:sz w:val="20"/>
                <w:szCs w:val="20"/>
              </w:rPr>
              <w:t xml:space="preserve">e. </w:t>
            </w:r>
            <w:r>
              <w:rPr>
                <w:rFonts w:ascii="Arial" w:eastAsia="Arial" w:hAnsi="Arial" w:cs="Arial"/>
                <w:sz w:val="20"/>
                <w:szCs w:val="20"/>
              </w:rPr>
              <w:t>Positive cells per well in screen.</w:t>
            </w:r>
            <w:r>
              <w:rPr>
                <w:rFonts w:ascii="Arial" w:eastAsia="Arial" w:hAnsi="Arial" w:cs="Arial"/>
                <w:b/>
                <w:sz w:val="20"/>
                <w:szCs w:val="20"/>
              </w:rPr>
              <w:t xml:space="preserve"> </w:t>
            </w:r>
            <w:r>
              <w:rPr>
                <w:rFonts w:ascii="Arial" w:eastAsia="Arial" w:hAnsi="Arial" w:cs="Arial"/>
                <w:sz w:val="20"/>
                <w:szCs w:val="20"/>
              </w:rPr>
              <w:t xml:space="preserve">Scatter plot of percent positive cells versus total cell count with PC, NC, and sweep control wells and screening wells. </w:t>
            </w:r>
            <w:r>
              <w:rPr>
                <w:rFonts w:ascii="Arial" w:eastAsia="Arial" w:hAnsi="Arial" w:cs="Arial"/>
                <w:b/>
                <w:sz w:val="20"/>
                <w:szCs w:val="20"/>
              </w:rPr>
              <w:t xml:space="preserve">f. </w:t>
            </w:r>
            <w:r>
              <w:rPr>
                <w:rFonts w:ascii="Arial" w:eastAsia="Arial" w:hAnsi="Arial" w:cs="Arial"/>
                <w:sz w:val="20"/>
                <w:szCs w:val="20"/>
              </w:rPr>
              <w:t xml:space="preserve">Positive cells per well in simulation, scatter plot of percent of positive cells in versus total cell count colored by the number of positive genes in the well. </w:t>
            </w:r>
            <w:r>
              <w:rPr>
                <w:rFonts w:ascii="Arial" w:eastAsia="Arial" w:hAnsi="Arial" w:cs="Arial"/>
                <w:b/>
                <w:sz w:val="20"/>
                <w:szCs w:val="20"/>
              </w:rPr>
              <w:t xml:space="preserve">g. </w:t>
            </w:r>
            <w:r>
              <w:rPr>
                <w:rFonts w:ascii="Arial" w:eastAsia="Arial" w:hAnsi="Arial" w:cs="Arial"/>
                <w:sz w:val="20"/>
                <w:szCs w:val="20"/>
              </w:rPr>
              <w:t>Additional simulation parameter sweep.</w:t>
            </w:r>
            <w:r>
              <w:rPr>
                <w:rFonts w:ascii="Arial" w:eastAsia="Arial" w:hAnsi="Arial" w:cs="Arial"/>
                <w:b/>
                <w:sz w:val="20"/>
                <w:szCs w:val="20"/>
              </w:rPr>
              <w:t xml:space="preserve"> </w:t>
            </w:r>
            <w:r>
              <w:rPr>
                <w:rFonts w:ascii="Arial" w:eastAsia="Arial" w:hAnsi="Arial" w:cs="Arial"/>
                <w:sz w:val="20"/>
                <w:szCs w:val="20"/>
              </w:rPr>
              <w:t xml:space="preserve">Simulated hit identification area under the receiver operating curve (AUROC) across screens with increasing number of cells per well. The shaded area shows the 95% pointwise confidence interval for the mean prediction across 989 simulated screens. Dotted lines signify 4 plates as used in the TSG101 screen. </w:t>
            </w:r>
            <w:r>
              <w:rPr>
                <w:rFonts w:ascii="Arial" w:eastAsia="Arial" w:hAnsi="Arial" w:cs="Arial"/>
                <w:b/>
                <w:sz w:val="20"/>
                <w:szCs w:val="20"/>
              </w:rPr>
              <w:t>h.</w:t>
            </w:r>
            <w:r>
              <w:rPr>
                <w:rFonts w:ascii="Arial" w:eastAsia="Arial" w:hAnsi="Arial" w:cs="Arial"/>
                <w:sz w:val="20"/>
                <w:szCs w:val="20"/>
              </w:rPr>
              <w:t xml:space="preserve"> Fitting the Bayesian MLR model to observed MaxViT classification and gRNA fraction data. The evidence ratio is the fraction of posterior density of each β</w:t>
            </w:r>
            <w:r>
              <w:rPr>
                <w:rFonts w:ascii="Arial" w:eastAsia="Arial" w:hAnsi="Arial" w:cs="Arial"/>
                <w:sz w:val="20"/>
                <w:szCs w:val="20"/>
                <w:vertAlign w:val="subscript"/>
              </w:rPr>
              <w:t>i</w:t>
            </w:r>
            <w:r>
              <w:rPr>
                <w:rFonts w:ascii="Arial" w:eastAsia="Arial" w:hAnsi="Arial" w:cs="Arial"/>
                <w:sz w:val="20"/>
                <w:szCs w:val="20"/>
              </w:rPr>
              <w:t xml:space="preserve"> &gt; 0.02 (the assumed noise threshold), and the gene effect size is the posterior mean of each β</w:t>
            </w:r>
            <w:r>
              <w:rPr>
                <w:rFonts w:ascii="Arial" w:eastAsia="Arial" w:hAnsi="Arial" w:cs="Arial"/>
                <w:sz w:val="20"/>
                <w:szCs w:val="20"/>
                <w:vertAlign w:val="subscript"/>
              </w:rPr>
              <w:t>i</w:t>
            </w:r>
            <w:r>
              <w:rPr>
                <w:rFonts w:ascii="Arial" w:eastAsia="Arial" w:hAnsi="Arial" w:cs="Arial"/>
                <w:sz w:val="20"/>
                <w:szCs w:val="20"/>
              </w:rPr>
              <w:t>. All tested genes are significant, and EAF1 is in the top 3 genes by effect size and evidence ratio.</w:t>
            </w:r>
          </w:p>
          <w:p w14:paraId="5A8DB726" w14:textId="77777777" w:rsidR="001978B6" w:rsidRDefault="001978B6" w:rsidP="009A1368">
            <w:pPr>
              <w:pStyle w:val="normal1"/>
              <w:widowControl w:val="0"/>
              <w:spacing w:line="240" w:lineRule="auto"/>
              <w:jc w:val="both"/>
              <w:rPr>
                <w:rFonts w:ascii="Arial" w:eastAsia="Arial" w:hAnsi="Arial" w:cs="Arial"/>
                <w:sz w:val="20"/>
                <w:szCs w:val="20"/>
              </w:rPr>
            </w:pPr>
          </w:p>
          <w:p w14:paraId="09B81CD3" w14:textId="77777777" w:rsidR="001978B6" w:rsidRDefault="001978B6" w:rsidP="009A1368">
            <w:pPr>
              <w:pStyle w:val="normal1"/>
              <w:widowControl w:val="0"/>
              <w:spacing w:line="240" w:lineRule="auto"/>
              <w:jc w:val="both"/>
              <w:rPr>
                <w:rFonts w:ascii="Arial" w:eastAsia="Arial" w:hAnsi="Arial" w:cs="Arial"/>
                <w:sz w:val="20"/>
                <w:szCs w:val="20"/>
              </w:rPr>
            </w:pPr>
          </w:p>
          <w:p w14:paraId="77369354" w14:textId="77777777" w:rsidR="001978B6" w:rsidRDefault="001978B6" w:rsidP="009A1368">
            <w:pPr>
              <w:pStyle w:val="normal1"/>
              <w:widowControl w:val="0"/>
              <w:spacing w:line="240" w:lineRule="auto"/>
              <w:jc w:val="both"/>
              <w:rPr>
                <w:rFonts w:ascii="Arial" w:eastAsia="Arial" w:hAnsi="Arial" w:cs="Arial"/>
                <w:sz w:val="20"/>
                <w:szCs w:val="20"/>
              </w:rPr>
            </w:pPr>
          </w:p>
        </w:tc>
      </w:tr>
    </w:tbl>
    <w:p w14:paraId="523200EA" w14:textId="77777777" w:rsidR="001978B6" w:rsidRDefault="001978B6" w:rsidP="001978B6">
      <w:pPr>
        <w:pStyle w:val="normal1"/>
      </w:pPr>
    </w:p>
    <w:tbl>
      <w:tblPr>
        <w:tblStyle w:val="TableNormal0"/>
        <w:tblW w:w="10066" w:type="dxa"/>
        <w:tblInd w:w="0" w:type="dxa"/>
        <w:tblLayout w:type="fixed"/>
        <w:tblCellMar>
          <w:top w:w="100" w:type="dxa"/>
          <w:left w:w="100" w:type="dxa"/>
          <w:bottom w:w="100" w:type="dxa"/>
          <w:right w:w="100" w:type="dxa"/>
        </w:tblCellMar>
        <w:tblLook w:val="0600" w:firstRow="0" w:lastRow="0" w:firstColumn="0" w:lastColumn="0" w:noHBand="1" w:noVBand="1"/>
      </w:tblPr>
      <w:tblGrid>
        <w:gridCol w:w="10066"/>
      </w:tblGrid>
      <w:tr w:rsidR="001978B6" w14:paraId="0F450DF5" w14:textId="77777777" w:rsidTr="009A1368">
        <w:tc>
          <w:tcPr>
            <w:tcW w:w="10066" w:type="dxa"/>
            <w:shd w:val="clear" w:color="auto" w:fill="auto"/>
          </w:tcPr>
          <w:p w14:paraId="635A037F" w14:textId="77777777" w:rsidR="001978B6" w:rsidRDefault="001978B6" w:rsidP="009A1368">
            <w:pPr>
              <w:pStyle w:val="normal1"/>
              <w:widowControl w:val="0"/>
              <w:spacing w:line="240" w:lineRule="auto"/>
            </w:pPr>
            <w:r>
              <w:rPr>
                <w:noProof/>
              </w:rPr>
              <w:drawing>
                <wp:inline distT="0" distB="0" distL="0" distR="0" wp14:anchorId="4BDDD1EB" wp14:editId="239AAC19">
                  <wp:extent cx="6257925" cy="2349500"/>
                  <wp:effectExtent l="0" t="0" r="0" b="0"/>
                  <wp:docPr id="7" name="image9.png" descr="A screenshot of a computer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descr="A screenshot of a computer game&#10;&#10;AI-generated content may be incorrect."/>
                          <pic:cNvPicPr>
                            <a:picLocks noChangeAspect="1" noChangeArrowheads="1"/>
                          </pic:cNvPicPr>
                        </pic:nvPicPr>
                        <pic:blipFill>
                          <a:blip r:embed="rId5"/>
                          <a:stretch>
                            <a:fillRect/>
                          </a:stretch>
                        </pic:blipFill>
                        <pic:spPr bwMode="auto">
                          <a:xfrm>
                            <a:off x="0" y="0"/>
                            <a:ext cx="6257925" cy="2349500"/>
                          </a:xfrm>
                          <a:prstGeom prst="rect">
                            <a:avLst/>
                          </a:prstGeom>
                        </pic:spPr>
                      </pic:pic>
                    </a:graphicData>
                  </a:graphic>
                </wp:inline>
              </w:drawing>
            </w:r>
          </w:p>
        </w:tc>
      </w:tr>
      <w:tr w:rsidR="001978B6" w14:paraId="0E8F2143" w14:textId="77777777" w:rsidTr="009A1368">
        <w:tc>
          <w:tcPr>
            <w:tcW w:w="10066" w:type="dxa"/>
            <w:shd w:val="clear" w:color="auto" w:fill="auto"/>
          </w:tcPr>
          <w:p w14:paraId="67353C47" w14:textId="77777777" w:rsidR="001978B6" w:rsidRDefault="001978B6" w:rsidP="009A1368">
            <w:pPr>
              <w:pStyle w:val="normal1"/>
              <w:widowControl w:val="0"/>
              <w:spacing w:line="240" w:lineRule="auto"/>
              <w:jc w:val="both"/>
              <w:rPr>
                <w:rFonts w:ascii="Arial" w:eastAsia="Arial" w:hAnsi="Arial" w:cs="Arial"/>
                <w:sz w:val="20"/>
                <w:szCs w:val="20"/>
              </w:rPr>
            </w:pPr>
            <w:r>
              <w:rPr>
                <w:rFonts w:ascii="Arial" w:eastAsia="Arial" w:hAnsi="Arial" w:cs="Arial"/>
                <w:b/>
                <w:sz w:val="20"/>
                <w:szCs w:val="20"/>
              </w:rPr>
              <w:t>Extended Data Figure 2 | Overview and data organization of spaCR. a.</w:t>
            </w:r>
            <w:r>
              <w:rPr>
                <w:rFonts w:ascii="Arial" w:eastAsia="Arial" w:hAnsi="Arial" w:cs="Arial"/>
                <w:sz w:val="20"/>
                <w:szCs w:val="20"/>
              </w:rPr>
              <w:t xml:space="preserve"> Schematic workflow of the spaCR pipeline for pooled image-based CRISPR screens. Microscopy images (TIFF, LIF, CZI, NDI) and sequencing reads (FASTQ) are used as inputs (black). The main GUI sections (teal) are: (1) Mask: generates object masks for cells, nuclei, pathogens, and cytoplasm; (2) Measure: extracts object-level features and crops object images, storing quantitative single object feature data and cropped object paths in an SQL database; (3) Classify: applies machine learning (ML, e.g., XGBoost) or deep-learning (DL, e.g., PyTorch) models to classify objects, summarizing results as well-level classification scores; (4) Map Barcodes: extracts and maps row, column, and gRNA barcodes from sequencing data to corresponding wells; (5) Regression: estimates gRNA effect sizes via multiple linear regression using well-level summary statistics. </w:t>
            </w:r>
            <w:r>
              <w:rPr>
                <w:rFonts w:ascii="Arial" w:eastAsia="Arial" w:hAnsi="Arial" w:cs="Arial"/>
                <w:b/>
                <w:sz w:val="20"/>
                <w:szCs w:val="20"/>
              </w:rPr>
              <w:t>b.</w:t>
            </w:r>
            <w:r>
              <w:rPr>
                <w:rFonts w:ascii="Arial" w:eastAsia="Arial" w:hAnsi="Arial" w:cs="Arial"/>
                <w:sz w:val="20"/>
                <w:szCs w:val="20"/>
              </w:rPr>
              <w:t xml:space="preserve"> spaCR output folder structure, including locations for raw and processed images, masks, object-level measurements, datasets, and results.</w:t>
            </w:r>
            <w:r>
              <w:rPr>
                <w:rFonts w:ascii="Arial" w:eastAsia="Arial" w:hAnsi="Arial" w:cs="Arial"/>
                <w:b/>
                <w:sz w:val="20"/>
                <w:szCs w:val="20"/>
              </w:rPr>
              <w:t xml:space="preserve"> c.</w:t>
            </w:r>
            <w:r>
              <w:rPr>
                <w:rFonts w:ascii="Arial" w:eastAsia="Arial" w:hAnsi="Arial" w:cs="Arial"/>
                <w:sz w:val="20"/>
                <w:szCs w:val="20"/>
              </w:rPr>
              <w:t xml:space="preserve"> List of all spaCR package modules.</w:t>
            </w:r>
          </w:p>
          <w:p w14:paraId="00566C8E" w14:textId="77777777" w:rsidR="001978B6" w:rsidRDefault="001978B6" w:rsidP="009A1368">
            <w:pPr>
              <w:pStyle w:val="normal1"/>
              <w:widowControl w:val="0"/>
              <w:spacing w:line="240" w:lineRule="auto"/>
            </w:pPr>
          </w:p>
        </w:tc>
      </w:tr>
    </w:tbl>
    <w:p w14:paraId="23FBB81F" w14:textId="77777777" w:rsidR="001978B6" w:rsidRDefault="001978B6" w:rsidP="001978B6">
      <w:pPr>
        <w:pStyle w:val="normal1"/>
      </w:pPr>
    </w:p>
    <w:tbl>
      <w:tblPr>
        <w:tblStyle w:val="TableNormal0"/>
        <w:tblW w:w="10066" w:type="dxa"/>
        <w:tblInd w:w="0" w:type="dxa"/>
        <w:tblLayout w:type="fixed"/>
        <w:tblCellMar>
          <w:top w:w="100" w:type="dxa"/>
          <w:left w:w="100" w:type="dxa"/>
          <w:bottom w:w="100" w:type="dxa"/>
          <w:right w:w="100" w:type="dxa"/>
        </w:tblCellMar>
        <w:tblLook w:val="0600" w:firstRow="0" w:lastRow="0" w:firstColumn="0" w:lastColumn="0" w:noHBand="1" w:noVBand="1"/>
      </w:tblPr>
      <w:tblGrid>
        <w:gridCol w:w="10066"/>
      </w:tblGrid>
      <w:tr w:rsidR="001978B6" w14:paraId="6695D320" w14:textId="77777777" w:rsidTr="009A1368">
        <w:tc>
          <w:tcPr>
            <w:tcW w:w="10066" w:type="dxa"/>
            <w:shd w:val="clear" w:color="auto" w:fill="auto"/>
          </w:tcPr>
          <w:p w14:paraId="0AD348A0" w14:textId="77777777" w:rsidR="001978B6" w:rsidRDefault="001978B6" w:rsidP="009A1368">
            <w:pPr>
              <w:pStyle w:val="normal1"/>
              <w:widowControl w:val="0"/>
              <w:spacing w:line="240" w:lineRule="auto"/>
              <w:rPr>
                <w:b/>
                <w:sz w:val="28"/>
                <w:szCs w:val="28"/>
              </w:rPr>
            </w:pPr>
            <w:r>
              <w:rPr>
                <w:noProof/>
              </w:rPr>
              <w:lastRenderedPageBreak/>
              <w:drawing>
                <wp:inline distT="0" distB="0" distL="0" distR="0" wp14:anchorId="646CCDEC" wp14:editId="3D24BB10">
                  <wp:extent cx="6257925" cy="5016500"/>
                  <wp:effectExtent l="0" t="0" r="0" b="0"/>
                  <wp:docPr id="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a:picLocks noChangeAspect="1" noChangeArrowheads="1"/>
                          </pic:cNvPicPr>
                        </pic:nvPicPr>
                        <pic:blipFill>
                          <a:blip r:embed="rId6"/>
                          <a:stretch>
                            <a:fillRect/>
                          </a:stretch>
                        </pic:blipFill>
                        <pic:spPr bwMode="auto">
                          <a:xfrm>
                            <a:off x="0" y="0"/>
                            <a:ext cx="6257925" cy="5016500"/>
                          </a:xfrm>
                          <a:prstGeom prst="rect">
                            <a:avLst/>
                          </a:prstGeom>
                        </pic:spPr>
                      </pic:pic>
                    </a:graphicData>
                  </a:graphic>
                </wp:inline>
              </w:drawing>
            </w:r>
          </w:p>
        </w:tc>
      </w:tr>
      <w:tr w:rsidR="001978B6" w14:paraId="28FE4E66" w14:textId="77777777" w:rsidTr="009A1368">
        <w:tc>
          <w:tcPr>
            <w:tcW w:w="10066" w:type="dxa"/>
            <w:shd w:val="clear" w:color="auto" w:fill="auto"/>
          </w:tcPr>
          <w:p w14:paraId="1CD16AE3" w14:textId="77777777" w:rsidR="001978B6" w:rsidRDefault="001978B6" w:rsidP="009A1368">
            <w:pPr>
              <w:pStyle w:val="normal1"/>
              <w:widowControl w:val="0"/>
              <w:spacing w:line="240" w:lineRule="auto"/>
              <w:jc w:val="both"/>
              <w:rPr>
                <w:rFonts w:ascii="Arial" w:eastAsia="Arial" w:hAnsi="Arial" w:cs="Arial"/>
                <w:sz w:val="20"/>
                <w:szCs w:val="20"/>
              </w:rPr>
            </w:pPr>
            <w:r>
              <w:rPr>
                <w:rFonts w:ascii="Arial" w:eastAsia="Arial" w:hAnsi="Arial" w:cs="Arial"/>
                <w:b/>
                <w:sz w:val="20"/>
                <w:szCs w:val="20"/>
              </w:rPr>
              <w:t xml:space="preserve">Extended Data Figure 3 </w:t>
            </w:r>
            <w:r>
              <w:rPr>
                <w:rFonts w:ascii="Arial" w:eastAsia="Arial" w:hAnsi="Arial" w:cs="Arial"/>
                <w:sz w:val="20"/>
                <w:szCs w:val="20"/>
              </w:rPr>
              <w:t>|</w:t>
            </w:r>
            <w:r>
              <w:rPr>
                <w:rFonts w:ascii="Arial" w:eastAsia="Arial" w:hAnsi="Arial" w:cs="Arial"/>
                <w:b/>
                <w:sz w:val="20"/>
                <w:szCs w:val="20"/>
              </w:rPr>
              <w:t xml:space="preserve"> Generation of RHCas9DsRed parasites and XGBoost and MaxViT validation. a.</w:t>
            </w:r>
            <w:r>
              <w:rPr>
                <w:rFonts w:ascii="Arial" w:eastAsia="Arial" w:hAnsi="Arial" w:cs="Arial"/>
                <w:sz w:val="20"/>
                <w:szCs w:val="20"/>
              </w:rPr>
              <w:t xml:space="preserve"> RHCas9 parasites were transfected with pDsRedHXG and cultured in MPA/Xanthene (50 μg/ml) to generate RHCas9DsRed parasites. HeLa cells were then infected with RHCas9DsRed for 24h and stained with Cell Mask, as described in online methods. Left panel shows luminal DsRed expression, middle panel shows Cell Mask stained HeLa cell, right panel shows merged image. Scale bar represents 10 μm. </w:t>
            </w:r>
            <w:r>
              <w:rPr>
                <w:rFonts w:ascii="Arial" w:eastAsia="Arial" w:hAnsi="Arial" w:cs="Arial"/>
                <w:b/>
                <w:sz w:val="20"/>
                <w:szCs w:val="20"/>
              </w:rPr>
              <w:t xml:space="preserve">b. </w:t>
            </w:r>
            <w:r>
              <w:rPr>
                <w:rFonts w:ascii="Arial" w:eastAsia="Arial" w:hAnsi="Arial" w:cs="Arial"/>
                <w:sz w:val="20"/>
                <w:szCs w:val="20"/>
              </w:rPr>
              <w:t xml:space="preserve">Schematic representation of DsRed insertion. </w:t>
            </w:r>
            <w:r>
              <w:rPr>
                <w:rFonts w:ascii="Arial" w:eastAsia="Arial" w:hAnsi="Arial" w:cs="Arial"/>
                <w:b/>
                <w:sz w:val="20"/>
                <w:szCs w:val="20"/>
              </w:rPr>
              <w:t xml:space="preserve">c-e. </w:t>
            </w:r>
            <w:r>
              <w:rPr>
                <w:rFonts w:ascii="Arial" w:eastAsia="Arial" w:hAnsi="Arial" w:cs="Arial"/>
                <w:sz w:val="20"/>
                <w:szCs w:val="20"/>
              </w:rPr>
              <w:t>RHCas9DsRed</w:t>
            </w:r>
            <w:r>
              <w:rPr>
                <w:rFonts w:ascii="Arial" w:eastAsia="Arial" w:hAnsi="Arial" w:cs="Arial"/>
                <w:i/>
                <w:sz w:val="20"/>
                <w:szCs w:val="20"/>
              </w:rPr>
              <w:t>Δsag1</w:t>
            </w:r>
            <w:r>
              <w:rPr>
                <w:rFonts w:ascii="Arial" w:eastAsia="Arial" w:hAnsi="Arial" w:cs="Arial"/>
                <w:sz w:val="20"/>
                <w:szCs w:val="20"/>
              </w:rPr>
              <w:t xml:space="preserve"> (NC) and  RHCas9DsRed</w:t>
            </w:r>
            <w:r>
              <w:rPr>
                <w:rFonts w:ascii="Arial" w:eastAsia="Arial" w:hAnsi="Arial" w:cs="Arial"/>
                <w:i/>
                <w:sz w:val="20"/>
                <w:szCs w:val="20"/>
              </w:rPr>
              <w:t>Δgra14</w:t>
            </w:r>
            <w:r>
              <w:rPr>
                <w:rFonts w:ascii="Arial" w:eastAsia="Arial" w:hAnsi="Arial" w:cs="Arial"/>
                <w:sz w:val="20"/>
                <w:szCs w:val="20"/>
              </w:rPr>
              <w:t xml:space="preserve"> (PC) parasites were mixed at different ratios and used to infect HeLa cells in one column per plate. The fractions of NC and PC were captured in each well by next gen sequencing (NGS). Cells from these wells were classified by the XGBoost models or MaxViT models, as indicated, for plate 2 (c), plate 3 (d), and plate 4 (e). </w:t>
            </w:r>
            <w:r>
              <w:rPr>
                <w:rFonts w:ascii="Arial" w:eastAsia="Arial" w:hAnsi="Arial" w:cs="Arial"/>
                <w:b/>
                <w:sz w:val="20"/>
                <w:szCs w:val="20"/>
              </w:rPr>
              <w:t xml:space="preserve">f. </w:t>
            </w:r>
            <w:r>
              <w:rPr>
                <w:rFonts w:ascii="Arial" w:eastAsia="Arial" w:hAnsi="Arial" w:cs="Arial"/>
                <w:sz w:val="20"/>
                <w:szCs w:val="20"/>
              </w:rPr>
              <w:t>One MaxViT model was trained for each screen plate. HeLa</w:t>
            </w:r>
            <w:r>
              <w:rPr>
                <w:rFonts w:ascii="Arial" w:eastAsia="Arial" w:hAnsi="Arial" w:cs="Arial"/>
                <w:sz w:val="20"/>
                <w:szCs w:val="20"/>
                <w:vertAlign w:val="superscript"/>
              </w:rPr>
              <w:t>GFP-TSG101</w:t>
            </w:r>
            <w:r>
              <w:rPr>
                <w:rFonts w:ascii="Arial" w:eastAsia="Arial" w:hAnsi="Arial" w:cs="Arial"/>
                <w:sz w:val="20"/>
                <w:szCs w:val="20"/>
              </w:rPr>
              <w:t xml:space="preserve"> cells infected with PC and NC parasites from columns 1 and 2, respectively, were used in training. 10% of the data was reserved for validation, 10% was reserved for testing. Graph shows the accuracy for each plate over 100 epochs.  </w:t>
            </w:r>
            <w:r>
              <w:rPr>
                <w:rFonts w:ascii="Arial" w:eastAsia="Arial" w:hAnsi="Arial" w:cs="Arial"/>
                <w:b/>
                <w:sz w:val="20"/>
                <w:szCs w:val="20"/>
              </w:rPr>
              <w:t xml:space="preserve">g. </w:t>
            </w:r>
            <w:r>
              <w:rPr>
                <w:rFonts w:ascii="Arial" w:eastAsia="Arial" w:hAnsi="Arial" w:cs="Arial"/>
                <w:sz w:val="20"/>
                <w:szCs w:val="20"/>
              </w:rPr>
              <w:t xml:space="preserve">Graph shows the loss for each plate during training over 100 epochs. </w:t>
            </w:r>
            <w:r>
              <w:rPr>
                <w:rFonts w:ascii="Arial" w:eastAsia="Arial" w:hAnsi="Arial" w:cs="Arial"/>
                <w:b/>
                <w:sz w:val="20"/>
                <w:szCs w:val="20"/>
              </w:rPr>
              <w:t xml:space="preserve">h. </w:t>
            </w:r>
            <w:r>
              <w:rPr>
                <w:rFonts w:ascii="Arial" w:eastAsia="Arial" w:hAnsi="Arial" w:cs="Arial"/>
                <w:sz w:val="20"/>
                <w:szCs w:val="20"/>
              </w:rPr>
              <w:t xml:space="preserve">Graph shows the validation accuracy over 100 epochs. </w:t>
            </w:r>
            <w:r>
              <w:rPr>
                <w:rFonts w:ascii="Arial" w:eastAsia="Arial" w:hAnsi="Arial" w:cs="Arial"/>
                <w:b/>
                <w:sz w:val="20"/>
                <w:szCs w:val="20"/>
              </w:rPr>
              <w:t xml:space="preserve">i. </w:t>
            </w:r>
            <w:r>
              <w:rPr>
                <w:rFonts w:ascii="Arial" w:eastAsia="Arial" w:hAnsi="Arial" w:cs="Arial"/>
                <w:sz w:val="20"/>
                <w:szCs w:val="20"/>
              </w:rPr>
              <w:t>Graph shows the validation loss over 100 epochs.</w:t>
            </w:r>
          </w:p>
        </w:tc>
      </w:tr>
    </w:tbl>
    <w:p w14:paraId="3F1260EB" w14:textId="77777777" w:rsidR="001978B6" w:rsidRDefault="001978B6" w:rsidP="001978B6">
      <w:pPr>
        <w:pStyle w:val="normal1"/>
      </w:pPr>
    </w:p>
    <w:tbl>
      <w:tblPr>
        <w:tblStyle w:val="TableNormal0"/>
        <w:tblW w:w="10066" w:type="dxa"/>
        <w:tblInd w:w="0" w:type="dxa"/>
        <w:tblLayout w:type="fixed"/>
        <w:tblCellMar>
          <w:top w:w="100" w:type="dxa"/>
          <w:left w:w="100" w:type="dxa"/>
          <w:bottom w:w="100" w:type="dxa"/>
          <w:right w:w="100" w:type="dxa"/>
        </w:tblCellMar>
        <w:tblLook w:val="0600" w:firstRow="0" w:lastRow="0" w:firstColumn="0" w:lastColumn="0" w:noHBand="1" w:noVBand="1"/>
      </w:tblPr>
      <w:tblGrid>
        <w:gridCol w:w="10066"/>
      </w:tblGrid>
      <w:tr w:rsidR="001978B6" w14:paraId="526D2CA9" w14:textId="77777777" w:rsidTr="009A1368">
        <w:tc>
          <w:tcPr>
            <w:tcW w:w="10066" w:type="dxa"/>
            <w:shd w:val="clear" w:color="auto" w:fill="auto"/>
          </w:tcPr>
          <w:p w14:paraId="3F1CE43F" w14:textId="77777777" w:rsidR="001978B6" w:rsidRDefault="001978B6" w:rsidP="009A1368">
            <w:pPr>
              <w:pStyle w:val="normal1"/>
              <w:widowControl w:val="0"/>
              <w:spacing w:line="240" w:lineRule="auto"/>
            </w:pPr>
            <w:r>
              <w:rPr>
                <w:noProof/>
              </w:rPr>
              <w:lastRenderedPageBreak/>
              <w:drawing>
                <wp:inline distT="0" distB="0" distL="0" distR="0" wp14:anchorId="452936F8" wp14:editId="7FC90196">
                  <wp:extent cx="6257925" cy="4521200"/>
                  <wp:effectExtent l="0" t="0" r="0" b="0"/>
                  <wp:docPr id="9" name="image8.png"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descr="A screenshot of a computer screen&#10;&#10;AI-generated content may be incorrect."/>
                          <pic:cNvPicPr>
                            <a:picLocks noChangeAspect="1" noChangeArrowheads="1"/>
                          </pic:cNvPicPr>
                        </pic:nvPicPr>
                        <pic:blipFill>
                          <a:blip r:embed="rId7"/>
                          <a:stretch>
                            <a:fillRect/>
                          </a:stretch>
                        </pic:blipFill>
                        <pic:spPr bwMode="auto">
                          <a:xfrm>
                            <a:off x="0" y="0"/>
                            <a:ext cx="6257925" cy="4521200"/>
                          </a:xfrm>
                          <a:prstGeom prst="rect">
                            <a:avLst/>
                          </a:prstGeom>
                        </pic:spPr>
                      </pic:pic>
                    </a:graphicData>
                  </a:graphic>
                </wp:inline>
              </w:drawing>
            </w:r>
          </w:p>
        </w:tc>
      </w:tr>
      <w:tr w:rsidR="001978B6" w14:paraId="4B1FEE93" w14:textId="77777777" w:rsidTr="009A1368">
        <w:tc>
          <w:tcPr>
            <w:tcW w:w="10066" w:type="dxa"/>
            <w:shd w:val="clear" w:color="auto" w:fill="auto"/>
          </w:tcPr>
          <w:p w14:paraId="41573F30" w14:textId="77777777" w:rsidR="001978B6" w:rsidRDefault="001978B6" w:rsidP="009A1368">
            <w:pPr>
              <w:pStyle w:val="normal1"/>
              <w:spacing w:line="240" w:lineRule="auto"/>
              <w:jc w:val="both"/>
            </w:pPr>
            <w:r>
              <w:rPr>
                <w:rFonts w:ascii="Arial" w:eastAsia="Arial" w:hAnsi="Arial" w:cs="Arial"/>
                <w:b/>
                <w:sz w:val="20"/>
                <w:szCs w:val="20"/>
              </w:rPr>
              <w:t xml:space="preserve">Extended Data Figure 4 </w:t>
            </w:r>
            <w:r>
              <w:rPr>
                <w:rFonts w:ascii="Arial" w:eastAsia="Arial" w:hAnsi="Arial" w:cs="Arial"/>
                <w:sz w:val="20"/>
                <w:szCs w:val="20"/>
              </w:rPr>
              <w:t>|</w:t>
            </w:r>
            <w:r>
              <w:rPr>
                <w:rFonts w:ascii="Arial" w:eastAsia="Arial" w:hAnsi="Arial" w:cs="Arial"/>
                <w:b/>
                <w:sz w:val="20"/>
                <w:szCs w:val="20"/>
              </w:rPr>
              <w:t xml:space="preserve"> Key predictive drivers of XGBoost</w:t>
            </w:r>
            <w:r>
              <w:rPr>
                <w:rFonts w:ascii="Arial" w:eastAsia="Arial" w:hAnsi="Arial" w:cs="Arial"/>
                <w:b/>
                <w:sz w:val="20"/>
                <w:szCs w:val="20"/>
                <w:vertAlign w:val="superscript"/>
              </w:rPr>
              <w:t>GFP-TSG101</w:t>
            </w:r>
            <w:r>
              <w:rPr>
                <w:rFonts w:ascii="Arial" w:eastAsia="Arial" w:hAnsi="Arial" w:cs="Arial"/>
                <w:b/>
                <w:sz w:val="20"/>
                <w:szCs w:val="20"/>
              </w:rPr>
              <w:t xml:space="preserve"> classifiers.  a-i</w:t>
            </w:r>
            <w:r>
              <w:rPr>
                <w:rFonts w:ascii="Arial" w:eastAsia="Arial" w:hAnsi="Arial" w:cs="Arial"/>
                <w:sz w:val="20"/>
                <w:szCs w:val="20"/>
              </w:rPr>
              <w:t xml:space="preserve"> Top 8 features calculated from XGBoost</w:t>
            </w:r>
            <w:r>
              <w:rPr>
                <w:rFonts w:ascii="Arial" w:eastAsia="Arial" w:hAnsi="Arial" w:cs="Arial"/>
                <w:sz w:val="20"/>
                <w:szCs w:val="20"/>
                <w:vertAlign w:val="superscript"/>
              </w:rPr>
              <w:t xml:space="preserve">GFP-TSG101 </w:t>
            </w:r>
            <w:r>
              <w:rPr>
                <w:rFonts w:ascii="Arial" w:eastAsia="Arial" w:hAnsi="Arial" w:cs="Arial"/>
                <w:sz w:val="20"/>
                <w:szCs w:val="20"/>
              </w:rPr>
              <w:t>models trained on data from PC and NC infected cells from plate two (a,b,c), three (d,e,f) and four (g,h,i). Graphs show SHAP feature importance (a,d,g), feature importance (b,e,h), and permutation importance (c,f,i).</w:t>
            </w:r>
          </w:p>
        </w:tc>
      </w:tr>
    </w:tbl>
    <w:p w14:paraId="23106AF3" w14:textId="77777777" w:rsidR="001978B6" w:rsidRDefault="001978B6" w:rsidP="001978B6">
      <w:pPr>
        <w:pStyle w:val="normal1"/>
      </w:pPr>
    </w:p>
    <w:tbl>
      <w:tblPr>
        <w:tblStyle w:val="TableNormal0"/>
        <w:tblW w:w="10066" w:type="dxa"/>
        <w:tblInd w:w="0" w:type="dxa"/>
        <w:tblLayout w:type="fixed"/>
        <w:tblCellMar>
          <w:top w:w="100" w:type="dxa"/>
          <w:left w:w="100" w:type="dxa"/>
          <w:bottom w:w="100" w:type="dxa"/>
          <w:right w:w="100" w:type="dxa"/>
        </w:tblCellMar>
        <w:tblLook w:val="0600" w:firstRow="0" w:lastRow="0" w:firstColumn="0" w:lastColumn="0" w:noHBand="1" w:noVBand="1"/>
      </w:tblPr>
      <w:tblGrid>
        <w:gridCol w:w="10066"/>
      </w:tblGrid>
      <w:tr w:rsidR="001978B6" w14:paraId="05AA9BCD" w14:textId="77777777" w:rsidTr="009A1368">
        <w:trPr>
          <w:trHeight w:val="493"/>
        </w:trPr>
        <w:tc>
          <w:tcPr>
            <w:tcW w:w="10066" w:type="dxa"/>
            <w:shd w:val="clear" w:color="auto" w:fill="auto"/>
          </w:tcPr>
          <w:p w14:paraId="47E3B52F" w14:textId="77777777" w:rsidR="001978B6" w:rsidRDefault="001978B6" w:rsidP="009A1368">
            <w:pPr>
              <w:pStyle w:val="normal1"/>
              <w:spacing w:line="240" w:lineRule="auto"/>
              <w:jc w:val="both"/>
            </w:pPr>
            <w:r>
              <w:rPr>
                <w:noProof/>
              </w:rPr>
              <w:lastRenderedPageBreak/>
              <w:drawing>
                <wp:inline distT="0" distB="0" distL="0" distR="0" wp14:anchorId="6CBC62DB" wp14:editId="1229635F">
                  <wp:extent cx="6257925" cy="8928100"/>
                  <wp:effectExtent l="0" t="0" r="0" b="0"/>
                  <wp:docPr id="10"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a:picLocks noChangeAspect="1" noChangeArrowheads="1"/>
                          </pic:cNvPicPr>
                        </pic:nvPicPr>
                        <pic:blipFill>
                          <a:blip r:embed="rId8"/>
                          <a:stretch>
                            <a:fillRect/>
                          </a:stretch>
                        </pic:blipFill>
                        <pic:spPr bwMode="auto">
                          <a:xfrm>
                            <a:off x="0" y="0"/>
                            <a:ext cx="6257925" cy="8928100"/>
                          </a:xfrm>
                          <a:prstGeom prst="rect">
                            <a:avLst/>
                          </a:prstGeom>
                        </pic:spPr>
                      </pic:pic>
                    </a:graphicData>
                  </a:graphic>
                </wp:inline>
              </w:drawing>
            </w:r>
          </w:p>
        </w:tc>
      </w:tr>
      <w:tr w:rsidR="001978B6" w14:paraId="79C2BC5C" w14:textId="77777777" w:rsidTr="009A1368">
        <w:tc>
          <w:tcPr>
            <w:tcW w:w="10066" w:type="dxa"/>
            <w:shd w:val="clear" w:color="auto" w:fill="auto"/>
          </w:tcPr>
          <w:p w14:paraId="7D27C523" w14:textId="77777777" w:rsidR="001978B6" w:rsidRDefault="001978B6" w:rsidP="009A1368">
            <w:pPr>
              <w:pStyle w:val="normal1"/>
              <w:spacing w:line="240" w:lineRule="auto"/>
              <w:jc w:val="both"/>
            </w:pPr>
            <w:r>
              <w:rPr>
                <w:rFonts w:ascii="Arial" w:eastAsia="Arial" w:hAnsi="Arial" w:cs="Arial"/>
                <w:b/>
                <w:sz w:val="20"/>
                <w:szCs w:val="20"/>
              </w:rPr>
              <w:lastRenderedPageBreak/>
              <w:t xml:space="preserve">Extended Data Figure 5 </w:t>
            </w:r>
            <w:r>
              <w:rPr>
                <w:rFonts w:ascii="Arial" w:eastAsia="Arial" w:hAnsi="Arial" w:cs="Arial"/>
                <w:sz w:val="20"/>
                <w:szCs w:val="20"/>
              </w:rPr>
              <w:t>|</w:t>
            </w:r>
            <w:r>
              <w:rPr>
                <w:rFonts w:ascii="Arial" w:eastAsia="Arial" w:hAnsi="Arial" w:cs="Arial"/>
                <w:b/>
                <w:sz w:val="20"/>
                <w:szCs w:val="20"/>
              </w:rPr>
              <w:t xml:space="preserve"> Quality control for dependent and independent variables and functional validation of screen hits. a.</w:t>
            </w:r>
            <w:r>
              <w:rPr>
                <w:rFonts w:ascii="Arial" w:eastAsia="Arial" w:hAnsi="Arial" w:cs="Arial"/>
                <w:sz w:val="20"/>
                <w:szCs w:val="20"/>
              </w:rPr>
              <w:t xml:space="preserve"> gRNA, row, and column barcode sequences were mapped from each read with </w:t>
            </w:r>
            <w:r>
              <w:rPr>
                <w:rFonts w:ascii="Roboto Mono" w:eastAsia="Roboto Mono" w:hAnsi="Roboto Mono" w:cs="Roboto Mono"/>
                <w:sz w:val="20"/>
                <w:szCs w:val="20"/>
              </w:rPr>
              <w:t>spaCR.map_barcodes</w:t>
            </w:r>
            <w:r>
              <w:rPr>
                <w:rFonts w:ascii="Arial" w:eastAsia="Arial" w:hAnsi="Arial" w:cs="Arial"/>
                <w:sz w:val="20"/>
                <w:szCs w:val="20"/>
              </w:rPr>
              <w:t xml:space="preserve"> to generate read counts for each gRNA in each well (unique combinations of row, column). gRNA well fractions were then calculated. Graph shows the gRNA fraction threshold (~0.02, dashed purple line) defined by the fraction at which 5 gRNAs (dashed black line) were present on average per well. </w:t>
            </w:r>
            <w:r>
              <w:rPr>
                <w:rFonts w:ascii="Arial" w:eastAsia="Arial" w:hAnsi="Arial" w:cs="Arial"/>
                <w:b/>
                <w:sz w:val="20"/>
                <w:szCs w:val="20"/>
              </w:rPr>
              <w:t>b.</w:t>
            </w:r>
            <w:r>
              <w:rPr>
                <w:rFonts w:ascii="Arial" w:eastAsia="Arial" w:hAnsi="Arial" w:cs="Arial"/>
                <w:sz w:val="20"/>
                <w:szCs w:val="20"/>
              </w:rPr>
              <w:t xml:space="preserve"> Graph shows the number of wells each gRNA was present in (wells/gRNA) for each plate. </w:t>
            </w:r>
            <w:r>
              <w:rPr>
                <w:rFonts w:ascii="Arial" w:eastAsia="Arial" w:hAnsi="Arial" w:cs="Arial"/>
                <w:b/>
                <w:sz w:val="20"/>
                <w:szCs w:val="20"/>
              </w:rPr>
              <w:t>c.</w:t>
            </w:r>
            <w:r>
              <w:rPr>
                <w:rFonts w:ascii="Arial" w:eastAsia="Arial" w:hAnsi="Arial" w:cs="Arial"/>
                <w:sz w:val="20"/>
                <w:szCs w:val="20"/>
              </w:rPr>
              <w:t xml:space="preserve"> Graph shows the unique number of genes present in each well for each plate. </w:t>
            </w:r>
            <w:r>
              <w:rPr>
                <w:rFonts w:ascii="Arial" w:eastAsia="Arial" w:hAnsi="Arial" w:cs="Arial"/>
                <w:b/>
                <w:sz w:val="20"/>
                <w:szCs w:val="20"/>
              </w:rPr>
              <w:t>d.</w:t>
            </w:r>
            <w:r>
              <w:rPr>
                <w:rFonts w:ascii="Arial" w:eastAsia="Arial" w:hAnsi="Arial" w:cs="Arial"/>
                <w:sz w:val="20"/>
                <w:szCs w:val="20"/>
              </w:rPr>
              <w:t xml:space="preserve"> Lorenz curve shows equality of gRNA abundance in screen wells from 4 plates. Gini coefficients are provided in brackets for each plate. </w:t>
            </w:r>
            <w:r>
              <w:rPr>
                <w:rFonts w:ascii="Arial" w:eastAsia="Arial" w:hAnsi="Arial" w:cs="Arial"/>
                <w:b/>
                <w:sz w:val="20"/>
                <w:szCs w:val="20"/>
              </w:rPr>
              <w:t xml:space="preserve">e. </w:t>
            </w:r>
            <w:r>
              <w:rPr>
                <w:rFonts w:ascii="Arial" w:eastAsia="Arial" w:hAnsi="Arial" w:cs="Arial"/>
                <w:sz w:val="20"/>
                <w:szCs w:val="20"/>
              </w:rPr>
              <w:t xml:space="preserve">Heat maps show the read count of the negative control (NC, TGGT1_233460_4) and the positive control (PC, TGGT1_239740_1) in control wells (columns 1, 2 and 3) for each plate. </w:t>
            </w:r>
            <w:r>
              <w:rPr>
                <w:rFonts w:ascii="Arial" w:eastAsia="Arial" w:hAnsi="Arial" w:cs="Arial"/>
                <w:b/>
                <w:sz w:val="20"/>
                <w:szCs w:val="20"/>
              </w:rPr>
              <w:t>f.</w:t>
            </w:r>
            <w:r>
              <w:rPr>
                <w:rFonts w:ascii="Arial" w:eastAsia="Arial" w:hAnsi="Arial" w:cs="Arial"/>
                <w:sz w:val="20"/>
                <w:szCs w:val="20"/>
              </w:rPr>
              <w:t xml:space="preserve"> Graph shows the cell number threshold. </w:t>
            </w:r>
            <w:r>
              <w:rPr>
                <w:rFonts w:ascii="Arial" w:eastAsia="Arial" w:hAnsi="Arial" w:cs="Arial"/>
                <w:b/>
                <w:sz w:val="20"/>
                <w:szCs w:val="20"/>
              </w:rPr>
              <w:t>g.</w:t>
            </w:r>
            <w:r>
              <w:rPr>
                <w:rFonts w:ascii="Arial" w:eastAsia="Arial" w:hAnsi="Arial" w:cs="Arial"/>
                <w:sz w:val="20"/>
                <w:szCs w:val="20"/>
              </w:rPr>
              <w:t xml:space="preserve"> Graph shows the cells per well for each plate after applying the cell number threshold. </w:t>
            </w:r>
            <w:r>
              <w:rPr>
                <w:rFonts w:ascii="Arial" w:eastAsia="Arial" w:hAnsi="Arial" w:cs="Arial"/>
                <w:b/>
                <w:sz w:val="20"/>
                <w:szCs w:val="20"/>
              </w:rPr>
              <w:t>h.</w:t>
            </w:r>
            <w:r>
              <w:rPr>
                <w:rFonts w:ascii="Arial" w:eastAsia="Arial" w:hAnsi="Arial" w:cs="Arial"/>
                <w:sz w:val="20"/>
                <w:szCs w:val="20"/>
              </w:rPr>
              <w:t xml:space="preserve"> Correlation matrix shows the overlap in well location between the screen hits. </w:t>
            </w:r>
            <w:r>
              <w:rPr>
                <w:rFonts w:ascii="Arial" w:eastAsia="Arial" w:hAnsi="Arial" w:cs="Arial"/>
                <w:b/>
                <w:sz w:val="20"/>
                <w:szCs w:val="20"/>
              </w:rPr>
              <w:t>i.</w:t>
            </w:r>
            <w:r>
              <w:rPr>
                <w:rFonts w:ascii="Arial" w:eastAsia="Arial" w:hAnsi="Arial" w:cs="Arial"/>
                <w:sz w:val="20"/>
                <w:szCs w:val="20"/>
              </w:rPr>
              <w:t xml:space="preserve"> Bar graph shows the estimated effect size miss attribution of screen hits given a fixed effect size of 1.0 for 239740_3 and 0.7 for 225160_2. </w:t>
            </w:r>
            <w:r>
              <w:rPr>
                <w:rFonts w:ascii="Roboto Mono" w:eastAsia="Roboto Mono" w:hAnsi="Roboto Mono" w:cs="Roboto Mono"/>
                <w:sz w:val="20"/>
                <w:szCs w:val="20"/>
              </w:rPr>
              <w:t>spaCR.submodules.post_regression_analysis</w:t>
            </w:r>
            <w:r>
              <w:rPr>
                <w:rFonts w:ascii="Arial" w:eastAsia="Arial" w:hAnsi="Arial" w:cs="Arial"/>
                <w:sz w:val="20"/>
                <w:szCs w:val="20"/>
              </w:rPr>
              <w:t xml:space="preserve"> was used to generate h and i. </w:t>
            </w:r>
            <w:r>
              <w:rPr>
                <w:rFonts w:ascii="Arial" w:eastAsia="Arial" w:hAnsi="Arial" w:cs="Arial"/>
                <w:b/>
                <w:sz w:val="20"/>
                <w:szCs w:val="20"/>
              </w:rPr>
              <w:t>j-n.</w:t>
            </w:r>
            <w:r>
              <w:rPr>
                <w:rFonts w:ascii="Arial" w:eastAsia="Arial" w:hAnsi="Arial" w:cs="Arial"/>
                <w:sz w:val="20"/>
                <w:szCs w:val="20"/>
              </w:rPr>
              <w:t xml:space="preserve"> RHCas9DsRed parasites were transfected with gRNAs targeting screen hit genes as indicated and passaged in pyrimethamine (3 µM) + chloramphenicol (20 µM) 3 times before infecting HeLa</w:t>
            </w:r>
            <w:r>
              <w:rPr>
                <w:rFonts w:ascii="Arial" w:eastAsia="Arial" w:hAnsi="Arial" w:cs="Arial"/>
                <w:sz w:val="20"/>
                <w:szCs w:val="20"/>
                <w:vertAlign w:val="superscript"/>
              </w:rPr>
              <w:t>GFP-TSG101</w:t>
            </w:r>
            <w:r>
              <w:rPr>
                <w:rFonts w:ascii="Arial" w:eastAsia="Arial" w:hAnsi="Arial" w:cs="Arial"/>
                <w:sz w:val="20"/>
                <w:szCs w:val="20"/>
              </w:rPr>
              <w:t xml:space="preserve"> cells for 24 h. Samples were then fixed and stained as described in online methods. Violin plot shows GFP-TSG101 recruitment (parasite mean GFP-TSG101/cytoplasm mean GFP-TSG101 intensity) in infected HeLa</w:t>
            </w:r>
            <w:r>
              <w:rPr>
                <w:rFonts w:ascii="Arial" w:eastAsia="Arial" w:hAnsi="Arial" w:cs="Arial"/>
                <w:sz w:val="20"/>
                <w:szCs w:val="20"/>
                <w:vertAlign w:val="superscript"/>
              </w:rPr>
              <w:t>GFP-TSG101</w:t>
            </w:r>
            <w:r>
              <w:rPr>
                <w:rFonts w:ascii="Arial" w:eastAsia="Arial" w:hAnsi="Arial" w:cs="Arial"/>
                <w:sz w:val="20"/>
                <w:szCs w:val="20"/>
              </w:rPr>
              <w:t xml:space="preserve"> cells. n=3 plates, One-Way ANOVA with Tukey's post hoc test. p values as indicated. NC and PC are from the same samples in j,l,m,n and Fig. 5e. </w:t>
            </w:r>
            <w:r>
              <w:rPr>
                <w:rFonts w:ascii="Arial" w:eastAsia="Arial" w:hAnsi="Arial" w:cs="Arial"/>
                <w:b/>
                <w:sz w:val="20"/>
                <w:szCs w:val="20"/>
              </w:rPr>
              <w:t>o.</w:t>
            </w:r>
            <w:r>
              <w:rPr>
                <w:rFonts w:ascii="Arial" w:eastAsia="Arial" w:hAnsi="Arial" w:cs="Arial"/>
                <w:sz w:val="20"/>
                <w:szCs w:val="20"/>
              </w:rPr>
              <w:t xml:space="preserve"> Monomer and dimer homomere Alphafold3 protein EAF1 models folded with phospholipids. Models are coloured by pIDDT. ipTM and pTM scores are listed below each model, reflecting interface and fold confidence, respectively.</w:t>
            </w:r>
          </w:p>
        </w:tc>
      </w:tr>
    </w:tbl>
    <w:p w14:paraId="2EE94BF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Mono">
    <w:charset w:val="00"/>
    <w:family w:val="modern"/>
    <w:pitch w:val="fixed"/>
    <w:sig w:usb0="E00002FF" w:usb1="1000205B" w:usb2="0000002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8B6"/>
    <w:rsid w:val="0015565D"/>
    <w:rsid w:val="001978B6"/>
    <w:rsid w:val="002978F5"/>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E35E3"/>
  <w15:chartTrackingRefBased/>
  <w15:docId w15:val="{A7824E6F-E932-4AE6-A4F3-4B8A11509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8B6"/>
    <w:pPr>
      <w:suppressAutoHyphens/>
      <w:spacing w:line="259" w:lineRule="auto"/>
    </w:pPr>
    <w:rPr>
      <w:rFonts w:ascii="Calibri" w:eastAsia="Calibri" w:hAnsi="Calibri" w:cs="Calibri"/>
      <w:kern w:val="0"/>
      <w:sz w:val="22"/>
      <w:szCs w:val="22"/>
      <w:lang w:eastAsia="zh-CN" w:bidi="hi-IN"/>
      <w14:ligatures w14:val="none"/>
    </w:rPr>
  </w:style>
  <w:style w:type="paragraph" w:styleId="Heading1">
    <w:name w:val="heading 1"/>
    <w:basedOn w:val="Normal"/>
    <w:next w:val="Normal"/>
    <w:link w:val="Heading1Char"/>
    <w:uiPriority w:val="9"/>
    <w:qFormat/>
    <w:rsid w:val="001978B6"/>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bidi="ar-SA"/>
      <w14:ligatures w14:val="standardContextual"/>
    </w:rPr>
  </w:style>
  <w:style w:type="paragraph" w:styleId="Heading2">
    <w:name w:val="heading 2"/>
    <w:basedOn w:val="Normal"/>
    <w:next w:val="Normal"/>
    <w:link w:val="Heading2Char"/>
    <w:uiPriority w:val="9"/>
    <w:semiHidden/>
    <w:unhideWhenUsed/>
    <w:qFormat/>
    <w:rsid w:val="001978B6"/>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bidi="ar-SA"/>
      <w14:ligatures w14:val="standardContextual"/>
    </w:rPr>
  </w:style>
  <w:style w:type="paragraph" w:styleId="Heading3">
    <w:name w:val="heading 3"/>
    <w:basedOn w:val="Normal"/>
    <w:next w:val="Normal"/>
    <w:link w:val="Heading3Char"/>
    <w:uiPriority w:val="9"/>
    <w:semiHidden/>
    <w:unhideWhenUsed/>
    <w:qFormat/>
    <w:rsid w:val="001978B6"/>
    <w:pPr>
      <w:keepNext/>
      <w:keepLines/>
      <w:suppressAutoHyphens w:val="0"/>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bidi="ar-SA"/>
      <w14:ligatures w14:val="standardContextual"/>
    </w:rPr>
  </w:style>
  <w:style w:type="paragraph" w:styleId="Heading4">
    <w:name w:val="heading 4"/>
    <w:basedOn w:val="Normal"/>
    <w:next w:val="Normal"/>
    <w:link w:val="Heading4Char"/>
    <w:uiPriority w:val="9"/>
    <w:semiHidden/>
    <w:unhideWhenUsed/>
    <w:qFormat/>
    <w:rsid w:val="001978B6"/>
    <w:pPr>
      <w:keepNext/>
      <w:keepLines/>
      <w:suppressAutoHyphens w:val="0"/>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bidi="ar-SA"/>
      <w14:ligatures w14:val="standardContextual"/>
    </w:rPr>
  </w:style>
  <w:style w:type="paragraph" w:styleId="Heading5">
    <w:name w:val="heading 5"/>
    <w:basedOn w:val="Normal"/>
    <w:next w:val="Normal"/>
    <w:link w:val="Heading5Char"/>
    <w:uiPriority w:val="9"/>
    <w:semiHidden/>
    <w:unhideWhenUsed/>
    <w:qFormat/>
    <w:rsid w:val="001978B6"/>
    <w:pPr>
      <w:keepNext/>
      <w:keepLines/>
      <w:suppressAutoHyphens w:val="0"/>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bidi="ar-SA"/>
      <w14:ligatures w14:val="standardContextual"/>
    </w:rPr>
  </w:style>
  <w:style w:type="paragraph" w:styleId="Heading6">
    <w:name w:val="heading 6"/>
    <w:basedOn w:val="Normal"/>
    <w:next w:val="Normal"/>
    <w:link w:val="Heading6Char"/>
    <w:uiPriority w:val="9"/>
    <w:semiHidden/>
    <w:unhideWhenUsed/>
    <w:qFormat/>
    <w:rsid w:val="001978B6"/>
    <w:pPr>
      <w:keepNext/>
      <w:keepLines/>
      <w:suppressAutoHyphens w:val="0"/>
      <w:spacing w:before="40" w:after="0" w:line="278" w:lineRule="auto"/>
      <w:outlineLvl w:val="5"/>
    </w:pPr>
    <w:rPr>
      <w:rFonts w:asciiTheme="minorHAnsi" w:eastAsiaTheme="majorEastAsia" w:hAnsiTheme="minorHAnsi" w:cstheme="majorBidi"/>
      <w:i/>
      <w:iCs/>
      <w:color w:val="595959" w:themeColor="text1" w:themeTint="A6"/>
      <w:kern w:val="2"/>
      <w:sz w:val="24"/>
      <w:szCs w:val="24"/>
      <w:lang w:eastAsia="en-US" w:bidi="ar-SA"/>
      <w14:ligatures w14:val="standardContextual"/>
    </w:rPr>
  </w:style>
  <w:style w:type="paragraph" w:styleId="Heading7">
    <w:name w:val="heading 7"/>
    <w:basedOn w:val="Normal"/>
    <w:next w:val="Normal"/>
    <w:link w:val="Heading7Char"/>
    <w:uiPriority w:val="9"/>
    <w:semiHidden/>
    <w:unhideWhenUsed/>
    <w:qFormat/>
    <w:rsid w:val="001978B6"/>
    <w:pPr>
      <w:keepNext/>
      <w:keepLines/>
      <w:suppressAutoHyphens w:val="0"/>
      <w:spacing w:before="40" w:after="0" w:line="278" w:lineRule="auto"/>
      <w:outlineLvl w:val="6"/>
    </w:pPr>
    <w:rPr>
      <w:rFonts w:asciiTheme="minorHAnsi" w:eastAsiaTheme="majorEastAsia" w:hAnsiTheme="minorHAnsi" w:cstheme="majorBidi"/>
      <w:color w:val="595959" w:themeColor="text1" w:themeTint="A6"/>
      <w:kern w:val="2"/>
      <w:sz w:val="24"/>
      <w:szCs w:val="24"/>
      <w:lang w:eastAsia="en-US" w:bidi="ar-SA"/>
      <w14:ligatures w14:val="standardContextual"/>
    </w:rPr>
  </w:style>
  <w:style w:type="paragraph" w:styleId="Heading8">
    <w:name w:val="heading 8"/>
    <w:basedOn w:val="Normal"/>
    <w:next w:val="Normal"/>
    <w:link w:val="Heading8Char"/>
    <w:uiPriority w:val="9"/>
    <w:semiHidden/>
    <w:unhideWhenUsed/>
    <w:qFormat/>
    <w:rsid w:val="001978B6"/>
    <w:pPr>
      <w:keepNext/>
      <w:keepLines/>
      <w:suppressAutoHyphens w:val="0"/>
      <w:spacing w:after="0" w:line="278" w:lineRule="auto"/>
      <w:outlineLvl w:val="7"/>
    </w:pPr>
    <w:rPr>
      <w:rFonts w:asciiTheme="minorHAnsi" w:eastAsiaTheme="majorEastAsia" w:hAnsiTheme="minorHAnsi" w:cstheme="majorBidi"/>
      <w:i/>
      <w:iCs/>
      <w:color w:val="272727" w:themeColor="text1" w:themeTint="D8"/>
      <w:kern w:val="2"/>
      <w:sz w:val="24"/>
      <w:szCs w:val="24"/>
      <w:lang w:eastAsia="en-US" w:bidi="ar-SA"/>
      <w14:ligatures w14:val="standardContextual"/>
    </w:rPr>
  </w:style>
  <w:style w:type="paragraph" w:styleId="Heading9">
    <w:name w:val="heading 9"/>
    <w:basedOn w:val="Normal"/>
    <w:next w:val="Normal"/>
    <w:link w:val="Heading9Char"/>
    <w:uiPriority w:val="9"/>
    <w:semiHidden/>
    <w:unhideWhenUsed/>
    <w:qFormat/>
    <w:rsid w:val="001978B6"/>
    <w:pPr>
      <w:keepNext/>
      <w:keepLines/>
      <w:suppressAutoHyphens w:val="0"/>
      <w:spacing w:after="0" w:line="278" w:lineRule="auto"/>
      <w:outlineLvl w:val="8"/>
    </w:pPr>
    <w:rPr>
      <w:rFonts w:asciiTheme="minorHAnsi" w:eastAsiaTheme="majorEastAsia" w:hAnsiTheme="minorHAnsi" w:cstheme="majorBidi"/>
      <w:color w:val="272727" w:themeColor="text1" w:themeTint="D8"/>
      <w:kern w:val="2"/>
      <w:sz w:val="24"/>
      <w:szCs w:val="24"/>
      <w:lang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78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78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78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78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78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78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78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78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78B6"/>
    <w:rPr>
      <w:rFonts w:eastAsiaTheme="majorEastAsia" w:cstheme="majorBidi"/>
      <w:color w:val="272727" w:themeColor="text1" w:themeTint="D8"/>
    </w:rPr>
  </w:style>
  <w:style w:type="paragraph" w:styleId="Title">
    <w:name w:val="Title"/>
    <w:basedOn w:val="Normal"/>
    <w:next w:val="Normal"/>
    <w:link w:val="TitleChar"/>
    <w:uiPriority w:val="10"/>
    <w:qFormat/>
    <w:rsid w:val="001978B6"/>
    <w:pPr>
      <w:suppressAutoHyphens w:val="0"/>
      <w:spacing w:after="80" w:line="240" w:lineRule="auto"/>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leChar">
    <w:name w:val="Title Char"/>
    <w:basedOn w:val="DefaultParagraphFont"/>
    <w:link w:val="Title"/>
    <w:uiPriority w:val="10"/>
    <w:rsid w:val="001978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78B6"/>
    <w:pPr>
      <w:numPr>
        <w:ilvl w:val="1"/>
      </w:numPr>
      <w:suppressAutoHyphens w:val="0"/>
      <w:spacing w:line="278" w:lineRule="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itleChar">
    <w:name w:val="Subtitle Char"/>
    <w:basedOn w:val="DefaultParagraphFont"/>
    <w:link w:val="Subtitle"/>
    <w:uiPriority w:val="11"/>
    <w:rsid w:val="001978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78B6"/>
    <w:pPr>
      <w:suppressAutoHyphens w:val="0"/>
      <w:spacing w:before="160" w:line="278" w:lineRule="auto"/>
      <w:jc w:val="center"/>
    </w:pPr>
    <w:rPr>
      <w:rFonts w:asciiTheme="minorHAnsi" w:eastAsiaTheme="minorHAnsi" w:hAnsiTheme="minorHAnsi" w:cstheme="minorBidi"/>
      <w:i/>
      <w:iCs/>
      <w:color w:val="404040" w:themeColor="text1" w:themeTint="BF"/>
      <w:kern w:val="2"/>
      <w:sz w:val="24"/>
      <w:szCs w:val="24"/>
      <w:lang w:eastAsia="en-US" w:bidi="ar-SA"/>
      <w14:ligatures w14:val="standardContextual"/>
    </w:rPr>
  </w:style>
  <w:style w:type="character" w:customStyle="1" w:styleId="QuoteChar">
    <w:name w:val="Quote Char"/>
    <w:basedOn w:val="DefaultParagraphFont"/>
    <w:link w:val="Quote"/>
    <w:uiPriority w:val="29"/>
    <w:rsid w:val="001978B6"/>
    <w:rPr>
      <w:i/>
      <w:iCs/>
      <w:color w:val="404040" w:themeColor="text1" w:themeTint="BF"/>
    </w:rPr>
  </w:style>
  <w:style w:type="paragraph" w:styleId="ListParagraph">
    <w:name w:val="List Paragraph"/>
    <w:basedOn w:val="Normal"/>
    <w:uiPriority w:val="34"/>
    <w:qFormat/>
    <w:rsid w:val="001978B6"/>
    <w:pPr>
      <w:suppressAutoHyphens w:val="0"/>
      <w:spacing w:line="278" w:lineRule="auto"/>
      <w:ind w:left="720"/>
      <w:contextualSpacing/>
    </w:pPr>
    <w:rPr>
      <w:rFonts w:asciiTheme="minorHAnsi" w:eastAsiaTheme="minorHAnsi" w:hAnsiTheme="minorHAnsi" w:cstheme="minorBidi"/>
      <w:kern w:val="2"/>
      <w:sz w:val="24"/>
      <w:szCs w:val="24"/>
      <w:lang w:eastAsia="en-US" w:bidi="ar-SA"/>
      <w14:ligatures w14:val="standardContextual"/>
    </w:rPr>
  </w:style>
  <w:style w:type="character" w:styleId="IntenseEmphasis">
    <w:name w:val="Intense Emphasis"/>
    <w:basedOn w:val="DefaultParagraphFont"/>
    <w:uiPriority w:val="21"/>
    <w:qFormat/>
    <w:rsid w:val="001978B6"/>
    <w:rPr>
      <w:i/>
      <w:iCs/>
      <w:color w:val="0F4761" w:themeColor="accent1" w:themeShade="BF"/>
    </w:rPr>
  </w:style>
  <w:style w:type="paragraph" w:styleId="IntenseQuote">
    <w:name w:val="Intense Quote"/>
    <w:basedOn w:val="Normal"/>
    <w:next w:val="Normal"/>
    <w:link w:val="IntenseQuoteChar"/>
    <w:uiPriority w:val="30"/>
    <w:qFormat/>
    <w:rsid w:val="001978B6"/>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bidi="ar-SA"/>
      <w14:ligatures w14:val="standardContextual"/>
    </w:rPr>
  </w:style>
  <w:style w:type="character" w:customStyle="1" w:styleId="IntenseQuoteChar">
    <w:name w:val="Intense Quote Char"/>
    <w:basedOn w:val="DefaultParagraphFont"/>
    <w:link w:val="IntenseQuote"/>
    <w:uiPriority w:val="30"/>
    <w:rsid w:val="001978B6"/>
    <w:rPr>
      <w:i/>
      <w:iCs/>
      <w:color w:val="0F4761" w:themeColor="accent1" w:themeShade="BF"/>
    </w:rPr>
  </w:style>
  <w:style w:type="character" w:styleId="IntenseReference">
    <w:name w:val="Intense Reference"/>
    <w:basedOn w:val="DefaultParagraphFont"/>
    <w:uiPriority w:val="32"/>
    <w:qFormat/>
    <w:rsid w:val="001978B6"/>
    <w:rPr>
      <w:b/>
      <w:bCs/>
      <w:smallCaps/>
      <w:color w:val="0F4761" w:themeColor="accent1" w:themeShade="BF"/>
      <w:spacing w:val="5"/>
    </w:rPr>
  </w:style>
  <w:style w:type="paragraph" w:customStyle="1" w:styleId="normal1">
    <w:name w:val="normal1"/>
    <w:qFormat/>
    <w:rsid w:val="001978B6"/>
    <w:pPr>
      <w:suppressAutoHyphens/>
      <w:spacing w:line="259" w:lineRule="auto"/>
    </w:pPr>
    <w:rPr>
      <w:rFonts w:ascii="Calibri" w:eastAsia="Calibri" w:hAnsi="Calibri" w:cs="Calibri"/>
      <w:kern w:val="0"/>
      <w:sz w:val="22"/>
      <w:szCs w:val="22"/>
      <w:lang w:eastAsia="zh-CN" w:bidi="hi-IN"/>
      <w14:ligatures w14:val="none"/>
    </w:rPr>
  </w:style>
  <w:style w:type="table" w:customStyle="1" w:styleId="TableNormal0">
    <w:name w:val="TableNormal"/>
    <w:rsid w:val="001978B6"/>
    <w:pPr>
      <w:suppressAutoHyphens/>
      <w:spacing w:after="0" w:line="240" w:lineRule="auto"/>
    </w:pPr>
    <w:rPr>
      <w:rFonts w:ascii="Calibri" w:eastAsia="Calibri" w:hAnsi="Calibri" w:cs="Calibri"/>
      <w:kern w:val="0"/>
      <w:sz w:val="22"/>
      <w:szCs w:val="22"/>
      <w:lang w:eastAsia="zh-CN" w:bidi="hi-IN"/>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977</Words>
  <Characters>5572</Characters>
  <Application>Microsoft Office Word</Application>
  <DocSecurity>0</DocSecurity>
  <Lines>46</Lines>
  <Paragraphs>13</Paragraphs>
  <ScaleCrop>false</ScaleCrop>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2025-08-19T10:42:00Z</dcterms:created>
  <dcterms:modified xsi:type="dcterms:W3CDTF">2025-08-19T10:42:00Z</dcterms:modified>
</cp:coreProperties>
</file>