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40BA4F" w14:textId="77777777" w:rsidR="000B1F9D" w:rsidRPr="004634A8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Supp Figure 1.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374241">
        <w:rPr>
          <w:rFonts w:ascii="Arial" w:hAnsi="Arial" w:cs="Arial"/>
          <w:b/>
          <w:bCs/>
          <w:color w:val="000000" w:themeColor="text1"/>
          <w:sz w:val="20"/>
          <w:szCs w:val="20"/>
        </w:rPr>
        <w:t>Longitudinal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T2C study and pathway enrichment 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in male and female mice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during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the 3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-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week to 5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-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month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study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window.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a. Experimental overview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for T2C studies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. Pathway enrichment for Hallmark (b) and KEGG (c)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compendia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4A3834C0" w14:textId="77777777" w:rsidR="000B1F9D" w:rsidRDefault="000B1F9D" w:rsidP="000B1F9D">
      <w:pPr>
        <w:spacing w:line="480" w:lineRule="auto"/>
        <w:rPr>
          <w:rFonts w:ascii="Arial" w:hAnsi="Arial" w:cs="Arial"/>
          <w:b/>
          <w:bCs/>
        </w:rPr>
      </w:pPr>
    </w:p>
    <w:p w14:paraId="694C9199" w14:textId="77777777" w:rsidR="000B1F9D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Supp Figure 2.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Impact of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early-life toxicant exposure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s on the transcriptome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a.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For each exposure, PCA and volcano plots are shown based on all detected genes, and heatmaps based on the differentially expressed genes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(DEGs)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>
        <w:rPr>
          <w:rFonts w:ascii="Arial" w:hAnsi="Arial" w:cs="Arial"/>
          <w:color w:val="000000" w:themeColor="text1"/>
          <w:sz w:val="20"/>
          <w:szCs w:val="20"/>
        </w:rPr>
        <w:t>b. Heatmap of NES for enriched GOBP pathways from Clusters 2 and 4 (identified in Figure 2c).</w:t>
      </w:r>
    </w:p>
    <w:p w14:paraId="397A9158" w14:textId="77777777" w:rsidR="000B1F9D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2E26B2FD" w14:textId="77777777" w:rsidR="000B1F9D" w:rsidRPr="00FC42EA" w:rsidRDefault="000B1F9D" w:rsidP="000B1F9D">
      <w:pPr>
        <w:spacing w:line="480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Supp Figure 3. Overlap between exposure and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gene signatures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a. Bar graph summarizing overlap 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with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DEGs in the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exposure signatures </w:t>
      </w:r>
      <w:r>
        <w:rPr>
          <w:rFonts w:ascii="Arial" w:hAnsi="Arial" w:cs="Arial"/>
          <w:color w:val="000000" w:themeColor="text1"/>
          <w:sz w:val="20"/>
          <w:szCs w:val="20"/>
        </w:rPr>
        <w:t>of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female mice </w:t>
      </w:r>
      <w:r>
        <w:rPr>
          <w:rFonts w:ascii="Arial" w:hAnsi="Arial" w:cs="Arial"/>
          <w:color w:val="000000" w:themeColor="text1"/>
          <w:sz w:val="20"/>
          <w:szCs w:val="20"/>
        </w:rPr>
        <w:t>(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irrespective of direction</w:t>
      </w:r>
      <w:r>
        <w:rPr>
          <w:rFonts w:ascii="Arial" w:hAnsi="Arial" w:cs="Arial"/>
          <w:color w:val="000000" w:themeColor="text1"/>
          <w:sz w:val="20"/>
          <w:szCs w:val="20"/>
        </w:rPr>
        <w:t>)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b. Matrix of Pearson’s correlation coefficients (p&lt;0.05) between summed z-scores for exposure signatures and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in female mice over the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GTEx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liver transcriptome dataset. </w:t>
      </w:r>
      <w:r>
        <w:rPr>
          <w:rFonts w:ascii="Arial" w:hAnsi="Arial" w:cs="Arial"/>
          <w:color w:val="000000" w:themeColor="text1"/>
          <w:sz w:val="20"/>
          <w:szCs w:val="20"/>
        </w:rPr>
        <w:t>c and d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UpSet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plots showing overlap between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and exposure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signature genes in male (c) and female (d) mice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e. Venn diagrams for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and exposure DEG overlaps associated with attenuated </w:t>
      </w:r>
      <w:r>
        <w:rPr>
          <w:rFonts w:ascii="Arial" w:hAnsi="Arial" w:cs="Arial"/>
          <w:color w:val="000000" w:themeColor="text1"/>
          <w:sz w:val="20"/>
          <w:szCs w:val="20"/>
        </w:rPr>
        <w:t>expression trajectories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in male and in female mice. </w:t>
      </w:r>
    </w:p>
    <w:p w14:paraId="1DAD5B78" w14:textId="77777777" w:rsidR="000B1F9D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1E9ACFFB" w14:textId="77777777" w:rsidR="000B1F9D" w:rsidRPr="004634A8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Supp Figure 4. Epigenome programming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of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-mods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a. Signal heatmaps for active histone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>-mods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from 3 weeks to 5 months and from 5 to 10 months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in male mouse liver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b. Global changes in DEPs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-mods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at gene promoters and enhancers. c. Merged enhancer anchor </w:t>
      </w:r>
      <w:r>
        <w:rPr>
          <w:rFonts w:ascii="Arial" w:hAnsi="Arial" w:cs="Arial"/>
          <w:color w:val="000000" w:themeColor="text1"/>
          <w:sz w:val="20"/>
          <w:szCs w:val="20"/>
        </w:rPr>
        <w:t>mapping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strategy. d. Combinatorial changes 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-mods at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TSS </w:t>
      </w:r>
      <w:r>
        <w:rPr>
          <w:rFonts w:ascii="Arial" w:hAnsi="Arial" w:cs="Arial"/>
          <w:color w:val="000000" w:themeColor="text1"/>
          <w:sz w:val="20"/>
          <w:szCs w:val="20"/>
        </w:rPr>
        <w:t>or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enhancers </w:t>
      </w:r>
      <w:r>
        <w:rPr>
          <w:rFonts w:ascii="Arial" w:hAnsi="Arial" w:cs="Arial"/>
          <w:color w:val="000000" w:themeColor="text1"/>
          <w:sz w:val="20"/>
          <w:szCs w:val="20"/>
        </w:rPr>
        <w:t>between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3 weeks </w:t>
      </w:r>
      <w:r>
        <w:rPr>
          <w:rFonts w:ascii="Arial" w:hAnsi="Arial" w:cs="Arial"/>
          <w:color w:val="000000" w:themeColor="text1"/>
          <w:sz w:val="20"/>
          <w:szCs w:val="20"/>
        </w:rPr>
        <w:t>and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5 months and </w:t>
      </w:r>
      <w:r>
        <w:rPr>
          <w:rFonts w:ascii="Arial" w:hAnsi="Arial" w:cs="Arial"/>
          <w:color w:val="000000" w:themeColor="text1"/>
          <w:sz w:val="20"/>
          <w:szCs w:val="20"/>
        </w:rPr>
        <w:t>between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5 months </w:t>
      </w:r>
      <w:r>
        <w:rPr>
          <w:rFonts w:ascii="Arial" w:hAnsi="Arial" w:cs="Arial"/>
          <w:color w:val="000000" w:themeColor="text1"/>
          <w:sz w:val="20"/>
          <w:szCs w:val="20"/>
        </w:rPr>
        <w:t>and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10 months. e. </w:t>
      </w:r>
      <w:r>
        <w:rPr>
          <w:rFonts w:ascii="Arial" w:hAnsi="Arial" w:cs="Arial"/>
          <w:color w:val="000000" w:themeColor="text1"/>
          <w:sz w:val="20"/>
          <w:szCs w:val="20"/>
        </w:rPr>
        <w:t>Concordant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programm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ing 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 and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>-mods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for various liver cell types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using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cell-identity genes from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the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Aizarani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liver compendium</w:t>
      </w:r>
      <w:r>
        <w:rPr>
          <w:rFonts w:ascii="Arial" w:hAnsi="Arial" w:cs="Arial"/>
          <w:color w:val="000000" w:themeColor="text1"/>
          <w:sz w:val="20"/>
          <w:szCs w:val="20"/>
        </w:rPr>
        <w:t>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Increased expression of cell identity genes in hepatocytes (left) and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ORA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pathway enrichments (right) for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 increased with age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using the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Reactome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compendium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, and decreased expression of cell identity genes in </w:t>
      </w:r>
      <w:r>
        <w:rPr>
          <w:rFonts w:ascii="Arial" w:hAnsi="Arial" w:cs="Arial"/>
          <w:color w:val="000000" w:themeColor="text1"/>
          <w:sz w:val="20"/>
          <w:szCs w:val="20"/>
        </w:rPr>
        <w:lastRenderedPageBreak/>
        <w:t xml:space="preserve">nonparenchymal cells (left) and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ORA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pathway enrichments (right) for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 decreased with age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using the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Reactome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compendium</w:t>
      </w:r>
      <w:r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34298B4E" w14:textId="77777777" w:rsidR="000B1F9D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38D1EEE0" w14:textId="77777777" w:rsidR="000B1F9D" w:rsidRPr="004634A8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Supp Figure 5. Epigenome reprogramming associated with early-life toxicant exposures.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a. Signal heatmaps for all active marks and exposures. b.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Circos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plots indicating DEP direction and magnitude of changes for PM2.5-JHU,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BPA.lo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>, DEHP, and Pb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male mouse livers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c.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UpSet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plots for overlap 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and exposure signature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for PM2.5-JHU,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BPA.lo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, DEHP, and Pb. d.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UpSet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plots for overlap of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UpSet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plots for overlap of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and exposure signature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for TBT, TCDD,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BPA.hi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, and PM2.5-Chi. IGV examples </w:t>
      </w:r>
      <w:r>
        <w:rPr>
          <w:rFonts w:ascii="Arial" w:hAnsi="Arial" w:cs="Arial"/>
          <w:color w:val="000000" w:themeColor="text1"/>
          <w:sz w:val="20"/>
          <w:szCs w:val="20"/>
        </w:rPr>
        <w:t>of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exposure-induced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reprogramming </w:t>
      </w:r>
      <w:r>
        <w:rPr>
          <w:rFonts w:ascii="Arial" w:hAnsi="Arial" w:cs="Arial"/>
          <w:color w:val="000000" w:themeColor="text1"/>
          <w:sz w:val="20"/>
          <w:szCs w:val="20"/>
        </w:rPr>
        <w:t>in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the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promoter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region for the </w:t>
      </w:r>
      <w:r w:rsidRPr="00F86237">
        <w:rPr>
          <w:rFonts w:ascii="Arial" w:hAnsi="Arial" w:cs="Arial"/>
          <w:i/>
          <w:iCs/>
          <w:color w:val="000000" w:themeColor="text1"/>
          <w:sz w:val="20"/>
          <w:szCs w:val="20"/>
        </w:rPr>
        <w:t>Cyp2c38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(PM2.5) and </w:t>
      </w:r>
      <w:r w:rsidRPr="00F86237">
        <w:rPr>
          <w:rFonts w:ascii="Arial" w:hAnsi="Arial" w:cs="Arial"/>
          <w:i/>
          <w:iCs/>
          <w:color w:val="000000" w:themeColor="text1"/>
          <w:sz w:val="20"/>
          <w:szCs w:val="20"/>
        </w:rPr>
        <w:t>Npas2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(TBT and TCDD) genes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(e) </w:t>
      </w:r>
      <w:r>
        <w:rPr>
          <w:rFonts w:ascii="Arial" w:hAnsi="Arial" w:cs="Arial"/>
          <w:color w:val="000000" w:themeColor="text1"/>
          <w:sz w:val="20"/>
          <w:szCs w:val="20"/>
        </w:rPr>
        <w:t>and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linked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enhancer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for </w:t>
      </w:r>
      <w:r w:rsidRPr="00F86237">
        <w:rPr>
          <w:rFonts w:ascii="Arial" w:hAnsi="Arial" w:cs="Arial"/>
          <w:i/>
          <w:iCs/>
          <w:color w:val="000000" w:themeColor="text1"/>
          <w:sz w:val="20"/>
          <w:szCs w:val="20"/>
        </w:rPr>
        <w:t>Cldn7</w:t>
      </w:r>
      <w:r>
        <w:rPr>
          <w:rFonts w:ascii="Arial" w:hAnsi="Arial" w:cs="Arial"/>
          <w:i/>
          <w:i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(TBT)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(f).</w:t>
      </w:r>
    </w:p>
    <w:p w14:paraId="68C5E269" w14:textId="77777777" w:rsidR="000B1F9D" w:rsidRPr="004634A8" w:rsidRDefault="000B1F9D" w:rsidP="000B1F9D">
      <w:pPr>
        <w:spacing w:before="120" w:after="120"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0A8BCA96" w14:textId="77777777" w:rsidR="000B1F9D" w:rsidRPr="004634A8" w:rsidRDefault="000B1F9D" w:rsidP="000B1F9D">
      <w:pPr>
        <w:spacing w:before="120" w:after="120" w:line="480" w:lineRule="auto"/>
        <w:jc w:val="both"/>
        <w:rPr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Supp Figure 6. </w:t>
      </w:r>
      <w:bookmarkStart w:id="0" w:name="OLE_LINK21"/>
      <w:bookmarkStart w:id="1" w:name="OLE_LINK22"/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>Environmental exposure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s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polarize the transcriptome and attenuate normal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gene expression trajectories</w:t>
      </w: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. </w:t>
      </w:r>
      <w:bookmarkEnd w:id="0"/>
      <w:bookmarkEnd w:id="1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a.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Heatmap of NES for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and exposure signature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in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young adult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male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liver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using GSEA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for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Aizarani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(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31</w:t>
      </w:r>
      <w:r>
        <w:rPr>
          <w:rFonts w:ascii="Arial" w:hAnsi="Arial" w:cs="Arial"/>
          <w:color w:val="000000" w:themeColor="text1"/>
          <w:sz w:val="20"/>
          <w:szCs w:val="20"/>
        </w:rPr>
        <w:t>)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cell</w:t>
      </w:r>
      <w:r>
        <w:rPr>
          <w:rFonts w:ascii="Arial" w:hAnsi="Arial" w:cs="Arial"/>
          <w:color w:val="000000" w:themeColor="text1"/>
          <w:sz w:val="20"/>
          <w:szCs w:val="20"/>
        </w:rPr>
        <w:t>-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type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identity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b. </w:t>
      </w:r>
      <w:r>
        <w:rPr>
          <w:rFonts w:ascii="Arial" w:hAnsi="Arial" w:cs="Arial"/>
          <w:color w:val="000000" w:themeColor="text1"/>
          <w:sz w:val="20"/>
          <w:szCs w:val="20"/>
        </w:rPr>
        <w:t>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heatmap for </w:t>
      </w:r>
      <w:r>
        <w:rPr>
          <w:rFonts w:ascii="Arial" w:hAnsi="Arial" w:cs="Arial"/>
          <w:color w:val="000000" w:themeColor="text1"/>
          <w:sz w:val="20"/>
          <w:szCs w:val="20"/>
        </w:rPr>
        <w:t>young adult f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emale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livers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using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condensed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Aizarani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(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8</w:t>
      </w:r>
      <w:r>
        <w:rPr>
          <w:rFonts w:ascii="Arial" w:hAnsi="Arial" w:cs="Arial"/>
          <w:color w:val="000000" w:themeColor="text1"/>
          <w:sz w:val="20"/>
          <w:szCs w:val="20"/>
        </w:rPr>
        <w:t>)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cell</w:t>
      </w:r>
      <w:r>
        <w:rPr>
          <w:rFonts w:ascii="Arial" w:hAnsi="Arial" w:cs="Arial"/>
          <w:color w:val="000000" w:themeColor="text1"/>
          <w:sz w:val="20"/>
          <w:szCs w:val="20"/>
        </w:rPr>
        <w:t>-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typ</w:t>
      </w:r>
      <w:r>
        <w:rPr>
          <w:rFonts w:ascii="Arial" w:hAnsi="Arial" w:cs="Arial"/>
          <w:color w:val="000000" w:themeColor="text1"/>
          <w:sz w:val="20"/>
          <w:szCs w:val="20"/>
        </w:rPr>
        <w:t>e identity genes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. c. Network analysis of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nonparenchymal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cell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s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vs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genes 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in females. d. GSEA enrichment plots with Venn diagrams for overlaps between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and exposure core genes from PM2.5-Chi, TBT, and TCDD in 5-month females </w:t>
      </w:r>
      <w:r>
        <w:rPr>
          <w:rFonts w:ascii="Arial" w:hAnsi="Arial" w:cs="Arial"/>
          <w:color w:val="000000" w:themeColor="text1"/>
          <w:sz w:val="20"/>
          <w:szCs w:val="20"/>
        </w:rPr>
        <w:t>using cell identity genes for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Hepatocytes, Stellate, Kupffer, NK-NKT, and Endothelial cells. GSEA core genes were further analyzed using ORA for enriched gene sets from the GOBP compendium. e.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MuSiC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analysis for cell composition of T2C-exposed livers. f. Heatmaps for overlap of core genes in </w:t>
      </w:r>
      <w:proofErr w:type="spellStart"/>
      <w:r>
        <w:rPr>
          <w:rFonts w:ascii="Arial" w:hAnsi="Arial" w:cs="Arial"/>
          <w:color w:val="000000" w:themeColor="text1"/>
          <w:sz w:val="20"/>
          <w:szCs w:val="20"/>
        </w:rPr>
        <w:t>LAAsP</w:t>
      </w:r>
      <w:proofErr w:type="spellEnd"/>
      <w:r>
        <w:rPr>
          <w:rFonts w:ascii="Arial" w:hAnsi="Arial" w:cs="Arial"/>
          <w:color w:val="000000" w:themeColor="text1"/>
          <w:sz w:val="20"/>
          <w:szCs w:val="20"/>
        </w:rPr>
        <w:t xml:space="preserve"> and exposure comparisons showing attenuation of normal expression trajectories in cell identity genes for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hepatocyte</w:t>
      </w:r>
      <w:r>
        <w:rPr>
          <w:rFonts w:ascii="Arial" w:hAnsi="Arial" w:cs="Arial"/>
          <w:color w:val="000000" w:themeColor="text1"/>
          <w:sz w:val="20"/>
          <w:szCs w:val="20"/>
        </w:rPr>
        <w:t>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or nonparenchymal cell</w:t>
      </w:r>
      <w:r>
        <w:rPr>
          <w:rFonts w:ascii="Arial" w:hAnsi="Arial" w:cs="Arial"/>
          <w:color w:val="000000" w:themeColor="text1"/>
          <w:sz w:val="20"/>
          <w:szCs w:val="20"/>
        </w:rPr>
        <w:t>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in response to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proofErr w:type="spellStart"/>
      <w:r w:rsidRPr="004634A8">
        <w:rPr>
          <w:rFonts w:ascii="Arial" w:hAnsi="Arial" w:cs="Arial"/>
          <w:color w:val="000000" w:themeColor="text1"/>
          <w:sz w:val="20"/>
          <w:szCs w:val="20"/>
        </w:rPr>
        <w:t>BPA.hi</w:t>
      </w:r>
      <w:proofErr w:type="spellEnd"/>
      <w:r w:rsidRPr="004634A8">
        <w:rPr>
          <w:rFonts w:ascii="Arial" w:hAnsi="Arial" w:cs="Arial"/>
          <w:color w:val="000000" w:themeColor="text1"/>
          <w:sz w:val="20"/>
          <w:szCs w:val="20"/>
        </w:rPr>
        <w:t>, TBT, and TCDD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(males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) or PM2.5-Chi, TBT, and TCDD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(females</w:t>
      </w:r>
      <w:r w:rsidRPr="004634A8">
        <w:rPr>
          <w:rFonts w:ascii="Arial" w:hAnsi="Arial" w:cs="Arial"/>
          <w:color w:val="000000" w:themeColor="text1"/>
          <w:sz w:val="20"/>
          <w:szCs w:val="20"/>
        </w:rPr>
        <w:t>).</w:t>
      </w:r>
    </w:p>
    <w:p w14:paraId="2FE79A4F" w14:textId="77777777" w:rsidR="000B1F9D" w:rsidRDefault="000B1F9D" w:rsidP="000B1F9D">
      <w:pPr>
        <w:spacing w:line="480" w:lineRule="auto"/>
        <w:rPr>
          <w:rFonts w:ascii="Arial" w:hAnsi="Arial" w:cs="Arial"/>
          <w:b/>
          <w:bCs/>
          <w:sz w:val="21"/>
          <w:szCs w:val="21"/>
        </w:rPr>
      </w:pPr>
    </w:p>
    <w:p w14:paraId="63179CEB" w14:textId="77777777" w:rsidR="000B1F9D" w:rsidRPr="00514F3E" w:rsidRDefault="000B1F9D" w:rsidP="000B1F9D">
      <w:pPr>
        <w:spacing w:line="480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4634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Supp Figure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7. Transcription factor enrichment in the TBT HR signature target genes. 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a. Core hepatocyte identity genes in the Endotype 1 (HR) signature. b. Venn diagram for core gene overlaps between </w:t>
      </w:r>
      <w:r>
        <w:rPr>
          <w:rFonts w:ascii="Arial" w:hAnsi="Arial" w:cs="Arial"/>
          <w:sz w:val="21"/>
          <w:szCs w:val="21"/>
        </w:rPr>
        <w:t>c</w:t>
      </w:r>
      <w:r w:rsidRPr="00514F3E">
        <w:rPr>
          <w:rFonts w:ascii="Arial" w:hAnsi="Arial" w:cs="Arial"/>
          <w:sz w:val="21"/>
          <w:szCs w:val="21"/>
        </w:rPr>
        <w:t xml:space="preserve">ell identity genes </w:t>
      </w:r>
      <w:r>
        <w:rPr>
          <w:rFonts w:ascii="Arial" w:hAnsi="Arial" w:cs="Arial"/>
          <w:sz w:val="21"/>
          <w:szCs w:val="21"/>
        </w:rPr>
        <w:t>of</w:t>
      </w:r>
      <w:r w:rsidRPr="00514F3E">
        <w:rPr>
          <w:rFonts w:ascii="Arial" w:hAnsi="Arial" w:cs="Arial"/>
          <w:sz w:val="21"/>
          <w:szCs w:val="21"/>
        </w:rPr>
        <w:t xml:space="preserve"> the four types of hepatocytes in the TBT HR Endotype 1 signature</w:t>
      </w:r>
      <w:r>
        <w:rPr>
          <w:rFonts w:ascii="Arial" w:hAnsi="Arial" w:cs="Arial"/>
          <w:sz w:val="21"/>
          <w:szCs w:val="21"/>
        </w:rPr>
        <w:t xml:space="preserve">. c. </w:t>
      </w:r>
      <w:proofErr w:type="gramStart"/>
      <w:r>
        <w:rPr>
          <w:rFonts w:ascii="Arial" w:hAnsi="Arial" w:cs="Arial"/>
          <w:sz w:val="21"/>
          <w:szCs w:val="21"/>
        </w:rPr>
        <w:lastRenderedPageBreak/>
        <w:t>Top most</w:t>
      </w:r>
      <w:proofErr w:type="gramEnd"/>
      <w:r>
        <w:rPr>
          <w:rFonts w:ascii="Arial" w:hAnsi="Arial" w:cs="Arial"/>
          <w:sz w:val="21"/>
          <w:szCs w:val="21"/>
        </w:rPr>
        <w:t xml:space="preserve"> enriched transcription factor targets (-log10 FDR) for </w:t>
      </w:r>
      <w:r>
        <w:rPr>
          <w:rFonts w:ascii="Arial" w:hAnsi="Arial" w:cs="Arial"/>
          <w:color w:val="000000" w:themeColor="text1"/>
          <w:sz w:val="20"/>
          <w:szCs w:val="20"/>
        </w:rPr>
        <w:t>hepatocyte cell identity genes in the Endotype 1 (HR) signature induced by TBT (left) and percent of target genes in the HR Endotype 1 signature (right) for each transcription factor.</w:t>
      </w:r>
    </w:p>
    <w:p w14:paraId="4741C65E" w14:textId="77777777" w:rsidR="00307C23" w:rsidRDefault="00307C2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1DA8CF12" w14:textId="2E9FE5DB" w:rsidR="003105AA" w:rsidRPr="003105AA" w:rsidRDefault="003105AA" w:rsidP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1</w:t>
      </w:r>
    </w:p>
    <w:p w14:paraId="1677257D" w14:textId="77777777" w:rsidR="003105AA" w:rsidRPr="003105AA" w:rsidRDefault="003105AA" w:rsidP="00A377FC">
      <w:pPr>
        <w:jc w:val="center"/>
        <w:rPr>
          <w:rFonts w:ascii="Arial" w:hAnsi="Arial" w:cs="Arial"/>
        </w:rPr>
      </w:pPr>
    </w:p>
    <w:p w14:paraId="54D351C8" w14:textId="701CA873" w:rsidR="00366516" w:rsidRPr="003105AA" w:rsidRDefault="00A377FC" w:rsidP="00A377FC">
      <w:pPr>
        <w:jc w:val="center"/>
        <w:rPr>
          <w:rFonts w:ascii="Arial" w:hAnsi="Arial" w:cs="Arial"/>
        </w:rPr>
      </w:pPr>
      <w:r w:rsidRPr="003105AA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F982956" wp14:editId="15DAB62B">
            <wp:extent cx="4576307" cy="7683500"/>
            <wp:effectExtent l="0" t="0" r="0" b="0"/>
            <wp:docPr id="2099131719" name="Picture 1" descr="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131719" name="Picture 1" descr="A screenshot of a chart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85061" cy="769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B0481" w14:textId="77777777" w:rsidR="00A377FC" w:rsidRPr="003105AA" w:rsidRDefault="00A377FC">
      <w:pPr>
        <w:rPr>
          <w:rFonts w:ascii="Arial" w:hAnsi="Arial" w:cs="Arial"/>
        </w:rPr>
      </w:pPr>
    </w:p>
    <w:p w14:paraId="5E2D6788" w14:textId="2CFCDAC2" w:rsidR="003105AA" w:rsidRPr="003105AA" w:rsidRDefault="003105AA">
      <w:pPr>
        <w:rPr>
          <w:rFonts w:ascii="Arial" w:hAnsi="Arial" w:cs="Arial"/>
          <w:b/>
          <w:bCs/>
          <w:noProof/>
        </w:rPr>
      </w:pPr>
      <w:r w:rsidRPr="003105AA">
        <w:rPr>
          <w:rFonts w:ascii="Arial" w:hAnsi="Arial" w:cs="Arial"/>
          <w:b/>
          <w:bCs/>
        </w:rPr>
        <w:lastRenderedPageBreak/>
        <w:t>Supp Figure 2a</w:t>
      </w:r>
      <w:r w:rsidRPr="003105AA">
        <w:rPr>
          <w:rFonts w:ascii="Arial" w:hAnsi="Arial" w:cs="Arial"/>
          <w:b/>
          <w:bCs/>
          <w:noProof/>
        </w:rPr>
        <w:t xml:space="preserve"> </w:t>
      </w:r>
    </w:p>
    <w:p w14:paraId="37F42A05" w14:textId="77777777" w:rsidR="003105AA" w:rsidRDefault="003105AA">
      <w:pPr>
        <w:rPr>
          <w:rFonts w:ascii="Arial" w:hAnsi="Arial" w:cs="Arial"/>
          <w:noProof/>
        </w:rPr>
      </w:pPr>
    </w:p>
    <w:p w14:paraId="2548F097" w14:textId="0EE9BC94" w:rsidR="00445229" w:rsidRPr="003105AA" w:rsidRDefault="00445229" w:rsidP="003105AA">
      <w:pPr>
        <w:jc w:val="center"/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07A3C444" wp14:editId="50CB8BA1">
            <wp:extent cx="5731245" cy="7797800"/>
            <wp:effectExtent l="0" t="0" r="0" b="0"/>
            <wp:docPr id="478260248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60248" name="Picture 1" descr="A screenshot of a graph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4096" cy="780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9BB37" w14:textId="77777777" w:rsidR="003105AA" w:rsidRDefault="003105AA" w:rsidP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2b</w:t>
      </w:r>
    </w:p>
    <w:p w14:paraId="2DCCE3BB" w14:textId="77777777" w:rsidR="003105AA" w:rsidRDefault="003105AA" w:rsidP="003105AA">
      <w:pPr>
        <w:rPr>
          <w:rFonts w:ascii="Arial" w:hAnsi="Arial" w:cs="Arial"/>
          <w:b/>
          <w:bCs/>
        </w:rPr>
      </w:pPr>
    </w:p>
    <w:p w14:paraId="5D4B2C0D" w14:textId="31C00001" w:rsidR="00A377FC" w:rsidRPr="003105AA" w:rsidRDefault="003105AA" w:rsidP="003105AA">
      <w:pPr>
        <w:jc w:val="center"/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34AB252C" wp14:editId="24BDDA82">
            <wp:extent cx="5147798" cy="6362700"/>
            <wp:effectExtent l="0" t="0" r="0" b="0"/>
            <wp:docPr id="402712774" name="Picture 1" descr="A screenshot of a cell divis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12774" name="Picture 1" descr="A screenshot of a cell division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54924" cy="637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01AE0" w14:textId="250F2C48" w:rsidR="00A377FC" w:rsidRPr="003105AA" w:rsidRDefault="00A377FC" w:rsidP="005B0AF0">
      <w:pPr>
        <w:jc w:val="center"/>
        <w:rPr>
          <w:rFonts w:ascii="Arial" w:hAnsi="Arial" w:cs="Arial"/>
        </w:rPr>
      </w:pPr>
    </w:p>
    <w:p w14:paraId="1FDD3139" w14:textId="77777777" w:rsidR="00A377FC" w:rsidRPr="003105AA" w:rsidRDefault="00A377FC">
      <w:pPr>
        <w:rPr>
          <w:rFonts w:ascii="Arial" w:hAnsi="Arial" w:cs="Arial"/>
        </w:rPr>
      </w:pPr>
    </w:p>
    <w:p w14:paraId="7B3C4BB5" w14:textId="069D0387" w:rsidR="00A377FC" w:rsidRPr="003105AA" w:rsidRDefault="00A377FC">
      <w:pPr>
        <w:rPr>
          <w:rFonts w:ascii="Arial" w:hAnsi="Arial" w:cs="Arial"/>
        </w:rPr>
      </w:pPr>
      <w:r w:rsidRPr="003105AA">
        <w:rPr>
          <w:rFonts w:ascii="Arial" w:hAnsi="Arial" w:cs="Arial"/>
        </w:rPr>
        <w:br w:type="page"/>
      </w:r>
    </w:p>
    <w:p w14:paraId="2986B4EF" w14:textId="6852A9F3" w:rsidR="003105AA" w:rsidRPr="003105AA" w:rsidRDefault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3</w:t>
      </w:r>
    </w:p>
    <w:p w14:paraId="0D3912A2" w14:textId="77777777" w:rsidR="003105AA" w:rsidRDefault="003105AA">
      <w:pPr>
        <w:rPr>
          <w:rFonts w:ascii="Arial" w:hAnsi="Arial" w:cs="Arial"/>
        </w:rPr>
      </w:pPr>
    </w:p>
    <w:p w14:paraId="262C04BD" w14:textId="2FD804B3" w:rsidR="00A377FC" w:rsidRPr="003105AA" w:rsidRDefault="005060AA">
      <w:pPr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615EE31A" wp14:editId="59CD0C8E">
            <wp:extent cx="5943600" cy="7418705"/>
            <wp:effectExtent l="0" t="0" r="0" b="0"/>
            <wp:docPr id="1699109189" name="Picture 1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109189" name="Picture 1" descr="A close-up of a char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F85FA" w14:textId="77777777" w:rsidR="005060AA" w:rsidRPr="003105AA" w:rsidRDefault="005060AA">
      <w:pPr>
        <w:rPr>
          <w:rFonts w:ascii="Arial" w:hAnsi="Arial" w:cs="Arial"/>
        </w:rPr>
      </w:pPr>
    </w:p>
    <w:p w14:paraId="560B4A16" w14:textId="0A26231C" w:rsidR="00A377FC" w:rsidRPr="003105AA" w:rsidRDefault="00A377FC">
      <w:pPr>
        <w:rPr>
          <w:rFonts w:ascii="Arial" w:hAnsi="Arial" w:cs="Arial"/>
        </w:rPr>
      </w:pPr>
      <w:r w:rsidRPr="003105AA">
        <w:rPr>
          <w:rFonts w:ascii="Arial" w:hAnsi="Arial" w:cs="Arial"/>
        </w:rPr>
        <w:br w:type="page"/>
      </w:r>
    </w:p>
    <w:p w14:paraId="030B0095" w14:textId="6F6F85BF" w:rsidR="003105AA" w:rsidRPr="003105AA" w:rsidRDefault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4</w:t>
      </w:r>
    </w:p>
    <w:p w14:paraId="2CEF3275" w14:textId="77777777" w:rsidR="003105AA" w:rsidRDefault="003105AA">
      <w:pPr>
        <w:rPr>
          <w:rFonts w:ascii="Arial" w:hAnsi="Arial" w:cs="Arial"/>
        </w:rPr>
      </w:pPr>
    </w:p>
    <w:p w14:paraId="741D98F9" w14:textId="346037CF" w:rsidR="00A377FC" w:rsidRPr="003105AA" w:rsidRDefault="00065A09">
      <w:pPr>
        <w:rPr>
          <w:rFonts w:ascii="Arial" w:hAnsi="Arial" w:cs="Arial"/>
        </w:rPr>
      </w:pPr>
      <w:r w:rsidRPr="00065A09">
        <w:rPr>
          <w:rFonts w:ascii="Arial" w:hAnsi="Arial" w:cs="Arial"/>
          <w:noProof/>
        </w:rPr>
        <w:drawing>
          <wp:inline distT="0" distB="0" distL="0" distR="0" wp14:anchorId="6A49CA87" wp14:editId="479C1353">
            <wp:extent cx="5943600" cy="7437120"/>
            <wp:effectExtent l="0" t="0" r="0" b="5080"/>
            <wp:docPr id="307493621" name="Picture 1" descr="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93621" name="Picture 1" descr="A screenshot of a chart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AD4A4" w14:textId="77777777" w:rsidR="00A377FC" w:rsidRPr="003105AA" w:rsidRDefault="00A377FC">
      <w:pPr>
        <w:rPr>
          <w:rFonts w:ascii="Arial" w:hAnsi="Arial" w:cs="Arial"/>
        </w:rPr>
      </w:pPr>
    </w:p>
    <w:p w14:paraId="77C52D07" w14:textId="57919DD4" w:rsidR="00A377FC" w:rsidRPr="003105AA" w:rsidRDefault="00A377FC">
      <w:pPr>
        <w:rPr>
          <w:rFonts w:ascii="Arial" w:hAnsi="Arial" w:cs="Arial"/>
        </w:rPr>
      </w:pPr>
      <w:r w:rsidRPr="003105AA">
        <w:rPr>
          <w:rFonts w:ascii="Arial" w:hAnsi="Arial" w:cs="Arial"/>
        </w:rPr>
        <w:br w:type="page"/>
      </w:r>
    </w:p>
    <w:p w14:paraId="082015DB" w14:textId="2A6ECA05" w:rsidR="003105AA" w:rsidRPr="003105AA" w:rsidRDefault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5a</w:t>
      </w:r>
    </w:p>
    <w:p w14:paraId="7796DDFB" w14:textId="77777777" w:rsidR="003105AA" w:rsidRDefault="003105AA">
      <w:pPr>
        <w:rPr>
          <w:rFonts w:ascii="Arial" w:hAnsi="Arial" w:cs="Arial"/>
        </w:rPr>
      </w:pPr>
    </w:p>
    <w:p w14:paraId="33E452A5" w14:textId="1C1502AF" w:rsidR="00A377FC" w:rsidRPr="003105AA" w:rsidRDefault="00D61696">
      <w:pPr>
        <w:rPr>
          <w:rFonts w:ascii="Arial" w:hAnsi="Arial" w:cs="Arial"/>
        </w:rPr>
      </w:pPr>
      <w:r w:rsidRPr="00D61696">
        <w:rPr>
          <w:rFonts w:ascii="Arial" w:hAnsi="Arial" w:cs="Arial"/>
          <w:noProof/>
        </w:rPr>
        <w:drawing>
          <wp:inline distT="0" distB="0" distL="0" distR="0" wp14:anchorId="6D14C731" wp14:editId="08BCA205">
            <wp:extent cx="5943600" cy="6440805"/>
            <wp:effectExtent l="0" t="0" r="0" b="0"/>
            <wp:docPr id="1340484431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84431" name="Picture 1" descr="A screenshot of a graph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887E5" w14:textId="77777777" w:rsidR="00A377FC" w:rsidRPr="003105AA" w:rsidRDefault="00A377FC">
      <w:pPr>
        <w:rPr>
          <w:rFonts w:ascii="Arial" w:hAnsi="Arial" w:cs="Arial"/>
        </w:rPr>
      </w:pPr>
    </w:p>
    <w:p w14:paraId="555C6A7B" w14:textId="556DC50D" w:rsidR="009F02D2" w:rsidRPr="003105AA" w:rsidRDefault="009F02D2">
      <w:pPr>
        <w:rPr>
          <w:rFonts w:ascii="Arial" w:hAnsi="Arial" w:cs="Arial"/>
        </w:rPr>
      </w:pPr>
      <w:r w:rsidRPr="003105AA">
        <w:rPr>
          <w:rFonts w:ascii="Arial" w:hAnsi="Arial" w:cs="Arial"/>
        </w:rPr>
        <w:br w:type="page"/>
      </w:r>
    </w:p>
    <w:p w14:paraId="2E0176EF" w14:textId="2028489D" w:rsidR="003105AA" w:rsidRPr="003105AA" w:rsidRDefault="003105AA" w:rsidP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5b</w:t>
      </w:r>
      <w:r>
        <w:rPr>
          <w:rFonts w:ascii="Arial" w:hAnsi="Arial" w:cs="Arial"/>
          <w:b/>
          <w:bCs/>
        </w:rPr>
        <w:t>c</w:t>
      </w:r>
    </w:p>
    <w:p w14:paraId="437E49A3" w14:textId="77777777" w:rsidR="003105AA" w:rsidRDefault="003105AA" w:rsidP="009F02D2">
      <w:pPr>
        <w:jc w:val="center"/>
        <w:rPr>
          <w:rFonts w:ascii="Arial" w:hAnsi="Arial" w:cs="Arial"/>
        </w:rPr>
      </w:pPr>
    </w:p>
    <w:p w14:paraId="324F79D4" w14:textId="77777777" w:rsidR="003105AA" w:rsidRDefault="003105AA" w:rsidP="009F02D2">
      <w:pPr>
        <w:jc w:val="center"/>
        <w:rPr>
          <w:rFonts w:ascii="Arial" w:hAnsi="Arial" w:cs="Arial"/>
        </w:rPr>
      </w:pPr>
    </w:p>
    <w:p w14:paraId="6F2D71CA" w14:textId="5EDBD38C" w:rsidR="009F02D2" w:rsidRPr="003105AA" w:rsidRDefault="009F02D2" w:rsidP="009F02D2">
      <w:pPr>
        <w:jc w:val="center"/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64D91217" wp14:editId="45E94BDB">
            <wp:extent cx="5041900" cy="7552361"/>
            <wp:effectExtent l="0" t="0" r="0" b="4445"/>
            <wp:docPr id="875601976" name="Picture 1" descr="A chart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01976" name="Picture 1" descr="A chart of different colored lines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6580" cy="755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A016B" w14:textId="77777777" w:rsidR="009F02D2" w:rsidRPr="003105AA" w:rsidRDefault="009F02D2">
      <w:pPr>
        <w:rPr>
          <w:rFonts w:ascii="Arial" w:hAnsi="Arial" w:cs="Arial"/>
        </w:rPr>
      </w:pPr>
    </w:p>
    <w:p w14:paraId="1CA5C6E4" w14:textId="0E2680CC" w:rsidR="009F02D2" w:rsidRPr="003105AA" w:rsidRDefault="009F02D2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t>SuppFigure5</w:t>
      </w:r>
      <w:r w:rsidR="003105AA" w:rsidRPr="003105AA">
        <w:rPr>
          <w:rFonts w:ascii="Arial" w:hAnsi="Arial" w:cs="Arial"/>
          <w:b/>
          <w:bCs/>
        </w:rPr>
        <w:t>d</w:t>
      </w:r>
    </w:p>
    <w:p w14:paraId="43AB300A" w14:textId="77777777" w:rsidR="00A377FC" w:rsidRPr="003105AA" w:rsidRDefault="00A377FC">
      <w:pPr>
        <w:rPr>
          <w:rFonts w:ascii="Arial" w:hAnsi="Arial" w:cs="Arial"/>
        </w:rPr>
      </w:pPr>
    </w:p>
    <w:p w14:paraId="63C5DFBD" w14:textId="3716DF64" w:rsidR="00A377FC" w:rsidRPr="003105AA" w:rsidRDefault="009F02D2">
      <w:pPr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0384E070" wp14:editId="2E72FC6E">
            <wp:extent cx="5943600" cy="6288405"/>
            <wp:effectExtent l="0" t="0" r="0" b="0"/>
            <wp:docPr id="203958852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588529" name="Picture 1" descr="A screenshot of a graph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75C5F" w14:textId="77777777" w:rsidR="00A377FC" w:rsidRPr="003105AA" w:rsidRDefault="00A377FC">
      <w:pPr>
        <w:rPr>
          <w:rFonts w:ascii="Arial" w:hAnsi="Arial" w:cs="Arial"/>
        </w:rPr>
      </w:pPr>
    </w:p>
    <w:p w14:paraId="6F1BB9EE" w14:textId="77777777" w:rsidR="003105AA" w:rsidRDefault="003105A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A54BA24" w14:textId="4426DF12" w:rsidR="009F02D2" w:rsidRPr="003105AA" w:rsidRDefault="009F02D2">
      <w:pPr>
        <w:rPr>
          <w:rFonts w:ascii="Arial" w:hAnsi="Arial" w:cs="Arial"/>
          <w:b/>
          <w:bCs/>
        </w:rPr>
      </w:pPr>
      <w:proofErr w:type="spellStart"/>
      <w:r w:rsidRPr="003105AA">
        <w:rPr>
          <w:rFonts w:ascii="Arial" w:hAnsi="Arial" w:cs="Arial"/>
          <w:b/>
          <w:bCs/>
        </w:rPr>
        <w:lastRenderedPageBreak/>
        <w:t>SuppFigure</w:t>
      </w:r>
      <w:proofErr w:type="spellEnd"/>
      <w:r w:rsidRPr="003105AA">
        <w:rPr>
          <w:rFonts w:ascii="Arial" w:hAnsi="Arial" w:cs="Arial"/>
          <w:b/>
          <w:bCs/>
        </w:rPr>
        <w:t xml:space="preserve"> 5</w:t>
      </w:r>
      <w:r w:rsidR="003105AA" w:rsidRPr="003105AA">
        <w:rPr>
          <w:rFonts w:ascii="Arial" w:hAnsi="Arial" w:cs="Arial"/>
          <w:b/>
          <w:bCs/>
        </w:rPr>
        <w:t>ef</w:t>
      </w:r>
    </w:p>
    <w:p w14:paraId="12364073" w14:textId="77777777" w:rsidR="00A377FC" w:rsidRPr="003105AA" w:rsidRDefault="00A377FC">
      <w:pPr>
        <w:rPr>
          <w:rFonts w:ascii="Arial" w:hAnsi="Arial" w:cs="Arial"/>
        </w:rPr>
      </w:pPr>
    </w:p>
    <w:p w14:paraId="7FC57C31" w14:textId="77777777" w:rsidR="009F02D2" w:rsidRPr="003105AA" w:rsidRDefault="009F02D2">
      <w:pPr>
        <w:rPr>
          <w:rFonts w:ascii="Arial" w:hAnsi="Arial" w:cs="Arial"/>
        </w:rPr>
      </w:pPr>
    </w:p>
    <w:p w14:paraId="6467B246" w14:textId="390A4A25" w:rsidR="009F02D2" w:rsidRPr="003105AA" w:rsidRDefault="00285EA1" w:rsidP="003105AA">
      <w:pPr>
        <w:jc w:val="center"/>
        <w:rPr>
          <w:rFonts w:ascii="Arial" w:hAnsi="Arial" w:cs="Arial"/>
        </w:rPr>
      </w:pPr>
      <w:r w:rsidRPr="003105AA">
        <w:rPr>
          <w:rFonts w:ascii="Arial" w:hAnsi="Arial" w:cs="Arial"/>
          <w:noProof/>
        </w:rPr>
        <w:drawing>
          <wp:inline distT="0" distB="0" distL="0" distR="0" wp14:anchorId="7A06B2EE" wp14:editId="650BE72A">
            <wp:extent cx="5943600" cy="5833110"/>
            <wp:effectExtent l="0" t="0" r="0" b="0"/>
            <wp:docPr id="74896518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6518" name="Picture 1" descr="A screenshot of a graph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172F" w14:textId="77777777" w:rsidR="00285EA1" w:rsidRPr="003105AA" w:rsidRDefault="00285EA1">
      <w:pPr>
        <w:rPr>
          <w:rFonts w:ascii="Arial" w:hAnsi="Arial" w:cs="Arial"/>
        </w:rPr>
      </w:pPr>
    </w:p>
    <w:p w14:paraId="1FD131E2" w14:textId="77777777" w:rsidR="009F02D2" w:rsidRPr="003105AA" w:rsidRDefault="009F02D2">
      <w:pPr>
        <w:rPr>
          <w:rFonts w:ascii="Arial" w:hAnsi="Arial" w:cs="Arial"/>
        </w:rPr>
      </w:pPr>
    </w:p>
    <w:p w14:paraId="5F81AB20" w14:textId="0C8EDFE4" w:rsidR="009F02D2" w:rsidRPr="003105AA" w:rsidRDefault="009F02D2">
      <w:pPr>
        <w:rPr>
          <w:rFonts w:ascii="Arial" w:hAnsi="Arial" w:cs="Arial"/>
        </w:rPr>
      </w:pPr>
      <w:r w:rsidRPr="003105AA">
        <w:rPr>
          <w:rFonts w:ascii="Arial" w:hAnsi="Arial" w:cs="Arial"/>
        </w:rPr>
        <w:br w:type="page"/>
      </w:r>
    </w:p>
    <w:p w14:paraId="64A9F29E" w14:textId="41D53493" w:rsidR="003105AA" w:rsidRPr="003105AA" w:rsidRDefault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6</w:t>
      </w:r>
    </w:p>
    <w:p w14:paraId="74DC878B" w14:textId="77777777" w:rsidR="003105AA" w:rsidRDefault="003105AA">
      <w:pPr>
        <w:rPr>
          <w:rFonts w:ascii="Arial" w:hAnsi="Arial" w:cs="Arial"/>
        </w:rPr>
      </w:pPr>
    </w:p>
    <w:p w14:paraId="602FEB91" w14:textId="5644CB93" w:rsidR="009F02D2" w:rsidRPr="003105AA" w:rsidRDefault="00BE1F5B">
      <w:pPr>
        <w:rPr>
          <w:rFonts w:ascii="Arial" w:hAnsi="Arial" w:cs="Arial"/>
        </w:rPr>
      </w:pPr>
      <w:r w:rsidRPr="00BE1F5B">
        <w:rPr>
          <w:rFonts w:ascii="Arial" w:hAnsi="Arial" w:cs="Arial"/>
          <w:noProof/>
        </w:rPr>
        <w:drawing>
          <wp:inline distT="0" distB="0" distL="0" distR="0" wp14:anchorId="2842A4BD" wp14:editId="3D9CF770">
            <wp:extent cx="5943600" cy="7563485"/>
            <wp:effectExtent l="0" t="0" r="0" b="5715"/>
            <wp:docPr id="1302884597" name="Picture 1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84597" name="Picture 1" descr="A close-up of a chart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F130A" w14:textId="77777777" w:rsidR="00285EA1" w:rsidRPr="003105AA" w:rsidRDefault="00285EA1">
      <w:pPr>
        <w:rPr>
          <w:rFonts w:ascii="Arial" w:hAnsi="Arial" w:cs="Arial"/>
        </w:rPr>
      </w:pPr>
    </w:p>
    <w:p w14:paraId="3DD3C326" w14:textId="255ACE02" w:rsidR="00445229" w:rsidRPr="003105AA" w:rsidRDefault="003105AA">
      <w:pPr>
        <w:rPr>
          <w:rFonts w:ascii="Arial" w:hAnsi="Arial" w:cs="Arial"/>
          <w:b/>
          <w:bCs/>
        </w:rPr>
      </w:pPr>
      <w:r w:rsidRPr="003105AA">
        <w:rPr>
          <w:rFonts w:ascii="Arial" w:hAnsi="Arial" w:cs="Arial"/>
          <w:b/>
          <w:bCs/>
        </w:rPr>
        <w:lastRenderedPageBreak/>
        <w:t>Supp Figure 7</w:t>
      </w:r>
    </w:p>
    <w:p w14:paraId="6E6E6C34" w14:textId="77777777" w:rsidR="003105AA" w:rsidRPr="003105AA" w:rsidRDefault="003105AA">
      <w:pPr>
        <w:rPr>
          <w:rFonts w:ascii="Arial" w:hAnsi="Arial" w:cs="Arial"/>
        </w:rPr>
      </w:pPr>
    </w:p>
    <w:p w14:paraId="10F2E34A" w14:textId="77777777" w:rsidR="00445229" w:rsidRPr="003105AA" w:rsidRDefault="00445229">
      <w:pPr>
        <w:rPr>
          <w:rFonts w:ascii="Arial" w:hAnsi="Arial" w:cs="Arial"/>
        </w:rPr>
      </w:pPr>
    </w:p>
    <w:p w14:paraId="7856B478" w14:textId="1D77A368" w:rsidR="00445229" w:rsidRPr="003105AA" w:rsidRDefault="00065A09">
      <w:pPr>
        <w:rPr>
          <w:rFonts w:ascii="Arial" w:hAnsi="Arial" w:cs="Arial"/>
        </w:rPr>
      </w:pPr>
      <w:r w:rsidRPr="00065A09">
        <w:rPr>
          <w:rFonts w:ascii="Arial" w:hAnsi="Arial" w:cs="Arial"/>
          <w:noProof/>
        </w:rPr>
        <w:drawing>
          <wp:inline distT="0" distB="0" distL="0" distR="0" wp14:anchorId="11C4868E" wp14:editId="50FF9148">
            <wp:extent cx="5943600" cy="2794000"/>
            <wp:effectExtent l="0" t="0" r="0" b="0"/>
            <wp:docPr id="3" name="Picture 2" descr="A diagram of a genetic modification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98E54C5-F365-35BE-3956-632CCFCF14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diagram of a genetic modification&#10;&#10;AI-generated content may be incorrect.">
                      <a:extLst>
                        <a:ext uri="{FF2B5EF4-FFF2-40B4-BE49-F238E27FC236}">
                          <a16:creationId xmlns:a16="http://schemas.microsoft.com/office/drawing/2014/main" id="{298E54C5-F365-35BE-3956-632CCFCF14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5229" w:rsidRPr="003105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7FC"/>
    <w:rsid w:val="000204E2"/>
    <w:rsid w:val="000319E5"/>
    <w:rsid w:val="0003236D"/>
    <w:rsid w:val="00051825"/>
    <w:rsid w:val="000544D3"/>
    <w:rsid w:val="00065A09"/>
    <w:rsid w:val="000B1269"/>
    <w:rsid w:val="000B1F9D"/>
    <w:rsid w:val="000C6179"/>
    <w:rsid w:val="000D718D"/>
    <w:rsid w:val="000F79D2"/>
    <w:rsid w:val="0010687F"/>
    <w:rsid w:val="0012417B"/>
    <w:rsid w:val="00127CE0"/>
    <w:rsid w:val="0013273B"/>
    <w:rsid w:val="00145C42"/>
    <w:rsid w:val="00150EA0"/>
    <w:rsid w:val="00152B61"/>
    <w:rsid w:val="001769C2"/>
    <w:rsid w:val="001A6A69"/>
    <w:rsid w:val="001C0271"/>
    <w:rsid w:val="001C2EBB"/>
    <w:rsid w:val="002002A7"/>
    <w:rsid w:val="002176F9"/>
    <w:rsid w:val="00236CFB"/>
    <w:rsid w:val="00252A3F"/>
    <w:rsid w:val="0028033A"/>
    <w:rsid w:val="00285EA1"/>
    <w:rsid w:val="002C0B3F"/>
    <w:rsid w:val="002E7A28"/>
    <w:rsid w:val="00307C23"/>
    <w:rsid w:val="003105AA"/>
    <w:rsid w:val="00316162"/>
    <w:rsid w:val="00347C0A"/>
    <w:rsid w:val="00350210"/>
    <w:rsid w:val="00366516"/>
    <w:rsid w:val="0038577D"/>
    <w:rsid w:val="00387474"/>
    <w:rsid w:val="003D609A"/>
    <w:rsid w:val="003E4350"/>
    <w:rsid w:val="003F14A4"/>
    <w:rsid w:val="003F3F1B"/>
    <w:rsid w:val="004057BB"/>
    <w:rsid w:val="00406A11"/>
    <w:rsid w:val="004379D7"/>
    <w:rsid w:val="004443F0"/>
    <w:rsid w:val="00445229"/>
    <w:rsid w:val="00464AD8"/>
    <w:rsid w:val="00486416"/>
    <w:rsid w:val="004E1C9A"/>
    <w:rsid w:val="004F7E2E"/>
    <w:rsid w:val="005042A3"/>
    <w:rsid w:val="005060AA"/>
    <w:rsid w:val="005105BC"/>
    <w:rsid w:val="005117D0"/>
    <w:rsid w:val="00514A40"/>
    <w:rsid w:val="0051567E"/>
    <w:rsid w:val="00517477"/>
    <w:rsid w:val="00531924"/>
    <w:rsid w:val="00552B26"/>
    <w:rsid w:val="005B0AF0"/>
    <w:rsid w:val="005B1C49"/>
    <w:rsid w:val="005C0988"/>
    <w:rsid w:val="005C77BE"/>
    <w:rsid w:val="005D2D58"/>
    <w:rsid w:val="005D7F2E"/>
    <w:rsid w:val="005E67A6"/>
    <w:rsid w:val="005F07C4"/>
    <w:rsid w:val="00627F9F"/>
    <w:rsid w:val="00634EBB"/>
    <w:rsid w:val="00636B3D"/>
    <w:rsid w:val="006555E7"/>
    <w:rsid w:val="00660120"/>
    <w:rsid w:val="00676890"/>
    <w:rsid w:val="006804F8"/>
    <w:rsid w:val="006A1057"/>
    <w:rsid w:val="006B0712"/>
    <w:rsid w:val="006B77FC"/>
    <w:rsid w:val="006D0956"/>
    <w:rsid w:val="006F0A4D"/>
    <w:rsid w:val="006F3ADC"/>
    <w:rsid w:val="0070136C"/>
    <w:rsid w:val="00765B2E"/>
    <w:rsid w:val="00767BC0"/>
    <w:rsid w:val="00776BCA"/>
    <w:rsid w:val="0079310A"/>
    <w:rsid w:val="00795899"/>
    <w:rsid w:val="007A2077"/>
    <w:rsid w:val="007C4F89"/>
    <w:rsid w:val="007F046A"/>
    <w:rsid w:val="007F430F"/>
    <w:rsid w:val="0080101A"/>
    <w:rsid w:val="00802A75"/>
    <w:rsid w:val="008079AC"/>
    <w:rsid w:val="0081637B"/>
    <w:rsid w:val="008223C0"/>
    <w:rsid w:val="00822F5D"/>
    <w:rsid w:val="0083621B"/>
    <w:rsid w:val="00836CE5"/>
    <w:rsid w:val="00836E91"/>
    <w:rsid w:val="008507E0"/>
    <w:rsid w:val="00852D4E"/>
    <w:rsid w:val="00872517"/>
    <w:rsid w:val="00884208"/>
    <w:rsid w:val="008852F5"/>
    <w:rsid w:val="0088536D"/>
    <w:rsid w:val="00886122"/>
    <w:rsid w:val="008956AC"/>
    <w:rsid w:val="008C343F"/>
    <w:rsid w:val="008D31EF"/>
    <w:rsid w:val="008D7ACF"/>
    <w:rsid w:val="008F392E"/>
    <w:rsid w:val="00900EB9"/>
    <w:rsid w:val="00901296"/>
    <w:rsid w:val="009062C7"/>
    <w:rsid w:val="00915C25"/>
    <w:rsid w:val="009313CD"/>
    <w:rsid w:val="00933C7B"/>
    <w:rsid w:val="00972C70"/>
    <w:rsid w:val="00977D53"/>
    <w:rsid w:val="009820B8"/>
    <w:rsid w:val="009A701E"/>
    <w:rsid w:val="009C6D5C"/>
    <w:rsid w:val="009E5556"/>
    <w:rsid w:val="009F02D2"/>
    <w:rsid w:val="009F27D4"/>
    <w:rsid w:val="009F52C6"/>
    <w:rsid w:val="00A377FC"/>
    <w:rsid w:val="00A40236"/>
    <w:rsid w:val="00A54217"/>
    <w:rsid w:val="00A6341F"/>
    <w:rsid w:val="00A663B6"/>
    <w:rsid w:val="00A70A74"/>
    <w:rsid w:val="00A9290C"/>
    <w:rsid w:val="00A92C04"/>
    <w:rsid w:val="00AE1F87"/>
    <w:rsid w:val="00AE6B9D"/>
    <w:rsid w:val="00B01FCB"/>
    <w:rsid w:val="00B3289E"/>
    <w:rsid w:val="00B425D8"/>
    <w:rsid w:val="00B57863"/>
    <w:rsid w:val="00B95753"/>
    <w:rsid w:val="00B96F3E"/>
    <w:rsid w:val="00BA249A"/>
    <w:rsid w:val="00BA6C1C"/>
    <w:rsid w:val="00BB0E54"/>
    <w:rsid w:val="00BB5661"/>
    <w:rsid w:val="00BB5729"/>
    <w:rsid w:val="00BE1F5B"/>
    <w:rsid w:val="00C4203B"/>
    <w:rsid w:val="00C507EA"/>
    <w:rsid w:val="00C66EF9"/>
    <w:rsid w:val="00C74000"/>
    <w:rsid w:val="00C74B9E"/>
    <w:rsid w:val="00C75916"/>
    <w:rsid w:val="00C91516"/>
    <w:rsid w:val="00C9609C"/>
    <w:rsid w:val="00CB7103"/>
    <w:rsid w:val="00CF6348"/>
    <w:rsid w:val="00CF68A3"/>
    <w:rsid w:val="00D2031E"/>
    <w:rsid w:val="00D61696"/>
    <w:rsid w:val="00D7448B"/>
    <w:rsid w:val="00D84005"/>
    <w:rsid w:val="00D86B13"/>
    <w:rsid w:val="00D95F55"/>
    <w:rsid w:val="00DA4ABD"/>
    <w:rsid w:val="00DC38DA"/>
    <w:rsid w:val="00DC7577"/>
    <w:rsid w:val="00DD3435"/>
    <w:rsid w:val="00DD5BB3"/>
    <w:rsid w:val="00DE0F8F"/>
    <w:rsid w:val="00DF4F0D"/>
    <w:rsid w:val="00E04755"/>
    <w:rsid w:val="00E230C0"/>
    <w:rsid w:val="00E270F9"/>
    <w:rsid w:val="00E34AF5"/>
    <w:rsid w:val="00E36B78"/>
    <w:rsid w:val="00E527C8"/>
    <w:rsid w:val="00E845BD"/>
    <w:rsid w:val="00E848D6"/>
    <w:rsid w:val="00E95E0D"/>
    <w:rsid w:val="00E96D6E"/>
    <w:rsid w:val="00E978C1"/>
    <w:rsid w:val="00EA79F5"/>
    <w:rsid w:val="00ED3FC4"/>
    <w:rsid w:val="00F162E8"/>
    <w:rsid w:val="00F302D4"/>
    <w:rsid w:val="00F331B9"/>
    <w:rsid w:val="00F5202B"/>
    <w:rsid w:val="00F955B9"/>
    <w:rsid w:val="00FB09D6"/>
    <w:rsid w:val="00FC2FEA"/>
    <w:rsid w:val="00FD3823"/>
    <w:rsid w:val="00FF6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38947C2"/>
  <w15:chartTrackingRefBased/>
  <w15:docId w15:val="{32304563-1DBD-E443-B0B8-D57F6EC61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377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377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77F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377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377F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377F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377F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377F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377F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377F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377F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77F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377F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377F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377F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377F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377F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377F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377F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377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377F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377F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377F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377F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377F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377F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377F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377F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377F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689</Words>
  <Characters>3931</Characters>
  <Application>Microsoft Office Word</Application>
  <DocSecurity>0</DocSecurity>
  <Lines>32</Lines>
  <Paragraphs>9</Paragraphs>
  <ScaleCrop>false</ScaleCrop>
  <Company/>
  <LinksUpToDate>false</LinksUpToDate>
  <CharactersWithSpaces>4611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Grimm, Sandra L.</dc:creator>
  <cp:keywords/>
  <dc:description/>
  <cp:lastModifiedBy>Grimm, Sandra L.</cp:lastModifiedBy>
  <cp:revision>3</cp:revision>
  <dcterms:created xsi:type="dcterms:W3CDTF">2025-08-13T20:49:00Z</dcterms:created>
  <dcterms:modified xsi:type="dcterms:W3CDTF">2025-08-13T20:49:00Z</dcterms:modified>
</cp:coreProperties>
</file>