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rFonts w:ascii="Times New Roman" w:cs="Times New Roman" w:eastAsia="Times New Roman" w:hAnsi="Times New Roman"/>
          <w:b w:val="1"/>
          <w:color w:val="212121"/>
          <w:sz w:val="20"/>
          <w:szCs w:val="20"/>
          <w:highlight w:val="white"/>
        </w:rPr>
      </w:pPr>
      <w:r w:rsidDel="00000000" w:rsidR="00000000" w:rsidRPr="00000000">
        <w:rPr>
          <w:rtl w:val="0"/>
        </w:rPr>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b w:val="1"/>
          <w:color w:val="21212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-58574</wp:posOffset>
            </wp:positionH>
            <wp:positionV relativeFrom="paragraph">
              <wp:posOffset>238144</wp:posOffset>
            </wp:positionV>
            <wp:extent cx="5844051" cy="3709988"/>
            <wp:effectExtent b="0" l="0" r="0" t="0"/>
            <wp:wrapTopAndBottom distB="114300" distT="114300"/>
            <wp:docPr descr="image3.png" id="1" name="image4.png"/>
            <a:graphic>
              <a:graphicData uri="http://schemas.openxmlformats.org/drawingml/2006/picture">
                <pic:pic>
                  <pic:nvPicPr>
                    <pic:cNvPr descr="image3.png" id="0" name="image4.png"/>
                    <pic:cNvPicPr preferRelativeResize="0"/>
                  </pic:nvPicPr>
                  <pic:blipFill>
                    <a:blip r:embed="rId6"/>
                    <a:srcRect b="0" l="0" r="0" t="0"/>
                    <a:stretch>
                      <a:fillRect/>
                    </a:stretch>
                  </pic:blipFill>
                  <pic:spPr>
                    <a:xfrm>
                      <a:off x="0" y="0"/>
                      <a:ext cx="5844051" cy="3709988"/>
                    </a:xfrm>
                    <a:prstGeom prst="rect"/>
                    <a:ln/>
                  </pic:spPr>
                </pic:pic>
              </a:graphicData>
            </a:graphic>
          </wp:anchor>
        </w:drawing>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121"/>
          <w:sz w:val="24"/>
          <w:szCs w:val="24"/>
          <w:highlight w:val="white"/>
          <w:rtl w:val="0"/>
        </w:rPr>
        <w:t xml:space="preserve">Figure 1: The effect of plant based diet on the longevity (A) and (B) the size of the sugar meal of mosquitoes</w:t>
      </w:r>
      <w:r w:rsidDel="00000000" w:rsidR="00000000" w:rsidRPr="00000000">
        <w:rPr>
          <w:rFonts w:ascii="Times New Roman" w:cs="Times New Roman" w:eastAsia="Times New Roman" w:hAnsi="Times New Roman"/>
          <w:color w:val="212121"/>
          <w:sz w:val="24"/>
          <w:szCs w:val="24"/>
          <w:highlight w:val="white"/>
          <w:rtl w:val="0"/>
        </w:rPr>
        <w:t xml:space="preserve">. The rectangle represents the interquartile range, that is, longevities between the 25th and the 75th percentile. The thick horizontal line within the rectangle denotes the median value. The vertical lines span four times the interquartile range, and the dots show outliers that are beyond this range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2314575</wp:posOffset>
            </wp:positionV>
            <wp:extent cx="5969712" cy="3300413"/>
            <wp:effectExtent b="0" l="0" r="0" t="0"/>
            <wp:wrapTopAndBottom distB="114300" distT="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69712" cy="3300413"/>
                    </a:xfrm>
                    <a:prstGeom prst="rect"/>
                    <a:ln/>
                  </pic:spPr>
                </pic:pic>
              </a:graphicData>
            </a:graphic>
          </wp:anchor>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212121"/>
          <w:sz w:val="26"/>
          <w:szCs w:val="26"/>
          <w:highlight w:val="white"/>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Figure 2: The effects of the concentration of total sugar in a plant sugar meal source on the longevity of mosquitoes.</w:t>
      </w:r>
      <w:r w:rsidDel="00000000" w:rsidR="00000000" w:rsidRPr="00000000">
        <w:rPr>
          <w:rFonts w:ascii="Times New Roman" w:cs="Times New Roman" w:eastAsia="Times New Roman" w:hAnsi="Times New Roman"/>
          <w:color w:val="212121"/>
          <w:sz w:val="24"/>
          <w:szCs w:val="24"/>
          <w:highlight w:val="white"/>
          <w:rtl w:val="0"/>
        </w:rPr>
        <w:t xml:space="preserve"> The rectangle represents the interquartile range, that is, longevities between the 25th and the 75th percentile. The thick horizontal line within the rectangle denotes the median value. The vertical lines span four times the interquartile range, and dots show outliers that are beyond this range.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-123824</wp:posOffset>
            </wp:positionH>
            <wp:positionV relativeFrom="paragraph">
              <wp:posOffset>276225</wp:posOffset>
            </wp:positionV>
            <wp:extent cx="6368364" cy="3925537"/>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368364" cy="3925537"/>
                    </a:xfrm>
                    <a:prstGeom prst="rect"/>
                    <a:ln/>
                  </pic:spPr>
                </pic:pic>
              </a:graphicData>
            </a:graphic>
          </wp:anchor>
        </w:drawing>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1"/>
        <w:spacing w:after="240" w:before="240"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Figure 3: Relations between longevity and nectar meal size of mosquitoes feeding on different plant species. </w:t>
      </w:r>
      <w:r w:rsidDel="00000000" w:rsidR="00000000" w:rsidRPr="00000000">
        <w:rPr>
          <w:rFonts w:ascii="Times New Roman" w:cs="Times New Roman" w:eastAsia="Times New Roman" w:hAnsi="Times New Roman"/>
          <w:color w:val="212121"/>
          <w:sz w:val="24"/>
          <w:szCs w:val="24"/>
          <w:highlight w:val="white"/>
          <w:rtl w:val="0"/>
        </w:rPr>
        <w:t xml:space="preserve">The rectangle represents the interquartile range, that is, longevities between the 25th and the 75th percentile. The thick horizontal line within the rectangle denotes the median value. The vertical lines span four times the interquartile range, and dots show outliers that are beyond this range.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5519738" cy="3402730"/>
            <wp:effectExtent b="0" l="0" r="0" t="0"/>
            <wp:wrapTopAndBottom distB="114300" distT="114300"/>
            <wp:docPr descr="image1.png" id="3" name="image3.png"/>
            <a:graphic>
              <a:graphicData uri="http://schemas.openxmlformats.org/drawingml/2006/picture">
                <pic:pic>
                  <pic:nvPicPr>
                    <pic:cNvPr descr="image1.png" id="0" name="image3.png"/>
                    <pic:cNvPicPr preferRelativeResize="0"/>
                  </pic:nvPicPr>
                  <pic:blipFill>
                    <a:blip r:embed="rId9"/>
                    <a:srcRect b="0" l="0" r="0" t="0"/>
                    <a:stretch>
                      <a:fillRect/>
                    </a:stretch>
                  </pic:blipFill>
                  <pic:spPr>
                    <a:xfrm>
                      <a:off x="0" y="0"/>
                      <a:ext cx="5519738" cy="3402730"/>
                    </a:xfrm>
                    <a:prstGeom prst="rect"/>
                    <a:ln/>
                  </pic:spPr>
                </pic:pic>
              </a:graphicData>
            </a:graphic>
          </wp:anchor>
        </w:drawing>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 Effects of types and concentrations of sugar on the longevity of mosquitoes; </w:t>
      </w:r>
      <w:r w:rsidDel="00000000" w:rsidR="00000000" w:rsidRPr="00000000">
        <w:rPr>
          <w:rFonts w:ascii="Times New Roman" w:cs="Times New Roman" w:eastAsia="Times New Roman" w:hAnsi="Times New Roman"/>
          <w:sz w:val="24"/>
          <w:szCs w:val="24"/>
          <w:rtl w:val="0"/>
        </w:rPr>
        <w:t xml:space="preserve">The rectangle represents the interquartile range, that is, longevities between the 25th and the 75th percentile. The thick horizontal line within the rectangle denotes the median value. The vertical lines span four times the interquartile range, and the dots show outliers that are beyond this range.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before="240" w:line="360" w:lineRule="auto"/>
        <w:jc w:val="both"/>
        <w:rPr>
          <w:rFonts w:ascii="Times New Roman" w:cs="Times New Roman" w:eastAsia="Times New Roman" w:hAnsi="Times New Roman"/>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