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0548">
      <w:pPr>
        <w:jc w:val="center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  <w:commentRangeStart w:id="0"/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Table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1:</w:t>
      </w:r>
      <w:commentRangeEnd w:id="0"/>
      <w:r>
        <w:commentReference w:id="0"/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 xml:space="preserve"> Univariate Analysis of Acute-phase Medication Adherence in Migraine Patients.</w:t>
      </w:r>
    </w:p>
    <w:p w14:paraId="1C48FEF7">
      <w:pPr>
        <w:jc w:val="center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tbl>
      <w:tblPr>
        <w:tblStyle w:val="5"/>
        <w:tblW w:w="8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8"/>
        <w:gridCol w:w="27"/>
        <w:gridCol w:w="1912"/>
        <w:gridCol w:w="1856"/>
        <w:gridCol w:w="1742"/>
        <w:gridCol w:w="1141"/>
      </w:tblGrid>
      <w:tr w14:paraId="30DA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3824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3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8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D2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 Adherence（n=138）</w:t>
            </w:r>
          </w:p>
        </w:tc>
        <w:tc>
          <w:tcPr>
            <w:tcW w:w="17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5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 Adherence（n=314）</w:t>
            </w:r>
          </w:p>
        </w:tc>
        <w:tc>
          <w:tcPr>
            <w:tcW w:w="11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23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</w:t>
            </w:r>
          </w:p>
        </w:tc>
      </w:tr>
      <w:tr w14:paraId="3235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382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9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Demographics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62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72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65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CA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 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0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37.54 ± 9.86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36.80 ± 10.03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B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</w:tc>
      </w:tr>
      <w:tr w14:paraId="37E2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45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Gender, n (%)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F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E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(23.91%)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 (24.45%)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B6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0.52</w:t>
            </w:r>
          </w:p>
        </w:tc>
      </w:tr>
      <w:tr w14:paraId="3BB0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7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4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E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 (76.09%)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A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 (75.80%)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F4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6D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D66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Family income (CNY/year)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 w:val="0"/>
                <w:sz w:val="13"/>
                <w:szCs w:val="13"/>
                <w:vertAlign w:val="superscript"/>
                <w:lang w:val="en-US" w:eastAsia="zh-CN" w:bidi="ar"/>
              </w:rPr>
              <w:t>a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vertAlign w:val="superscript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&lt;￥80,000</w:t>
            </w:r>
          </w:p>
          <w:p w14:paraId="236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 (73.91%)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 (28.98%)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10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4BB1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21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￥80,000-￥150,000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2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(3.62%)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B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 (36.62%)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B5C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E7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F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2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&gt;￥150,000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0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(22.46%)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 (34.39%)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2B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4A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6F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Educational level,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&lt; 9 years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(11.59%)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(19.11%)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F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</w:tr>
      <w:tr w14:paraId="61A0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D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5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10–12 years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(17.39%)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(12.10%)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CDE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57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85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E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&gt; 12 years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8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 (71.01%)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C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 (68.79%)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95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1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Body mass index (kg/m2)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22.67 ± 3.24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22.84 ± 3.13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</w:tc>
      </w:tr>
      <w:tr w14:paraId="7B16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Clinical characteristics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3C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8A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4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1C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91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B8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Headache types 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 xml:space="preserve"> 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5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>Probable migraine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(16.67%)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(14.33%)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A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</w:t>
            </w:r>
          </w:p>
        </w:tc>
      </w:tr>
      <w:tr w14:paraId="121F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912" w:type="dxa"/>
            <w:gridSpan w:val="3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F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without aura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E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 (64.49%)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 (75.80%)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8C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65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912" w:type="dxa"/>
            <w:gridSpan w:val="3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30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3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 aura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1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(6.52%)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(3.18%)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13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DE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912" w:type="dxa"/>
            <w:gridSpan w:val="3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5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7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Chronic migraine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(12.32%)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B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(6.69%)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65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A1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Attack frequency (times/month)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E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7.13 ± 7.07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6.68 ± 6.61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</w:tr>
      <w:tr w14:paraId="59D7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Duration of each headache attack (h)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D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38.47 ± 146.95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5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27.85 ± 111.87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8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</w:t>
            </w:r>
          </w:p>
        </w:tc>
      </w:tr>
      <w:tr w14:paraId="3D6F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8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Pain intensity (VAS)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1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7.09 ± 1.79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6.89±1.79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E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</w:tr>
      <w:tr w14:paraId="1FBD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Associated symptoms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33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07B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E5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BF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5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Nausea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 (66.67%)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5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 (63.06%)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0.39</w:t>
            </w:r>
          </w:p>
        </w:tc>
      </w:tr>
      <w:tr w14:paraId="7C10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F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Vomiting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 (87.68%)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 (84.39%)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C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</w:t>
            </w:r>
          </w:p>
        </w:tc>
      </w:tr>
      <w:tr w14:paraId="3D5F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Photophobia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 (66.67%)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A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 (63.06%)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1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</w:t>
            </w:r>
          </w:p>
        </w:tc>
      </w:tr>
      <w:tr w14:paraId="1774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A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Phonophobia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 (87.68%)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F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 (84.39%)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</w:t>
            </w:r>
          </w:p>
        </w:tc>
      </w:tr>
      <w:tr w14:paraId="7295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Medication-related factors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50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41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C4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C3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Adverse effects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385E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C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(3.62%)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4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(5.73%)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0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0.37</w:t>
            </w:r>
          </w:p>
        </w:tc>
      </w:tr>
      <w:tr w14:paraId="7390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B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Insurance reimbursemen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6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66(47.83%)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 (31.21%)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F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</w:p>
        </w:tc>
      </w:tr>
      <w:tr w14:paraId="7642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Satisfaction with Pain Relief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 xml:space="preserve"> , mean ± SD,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8.20 ± 1.54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7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6.87 ± 2.26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3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5FEA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D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Satisfaction with Functional Recovery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 xml:space="preserve"> mean ± SD,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7.88 ± 1.96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A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6.70 ± 2.33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F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654F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B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Literacy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E3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CE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BD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F1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Identify headache triggering factors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0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 (84.78%)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 (71.34%)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2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</w:t>
            </w:r>
          </w:p>
        </w:tc>
      </w:tr>
      <w:tr w14:paraId="674C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Accurate identification of migraine episodes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(44.20%)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4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 (46.50%)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0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</w:t>
            </w:r>
          </w:p>
        </w:tc>
      </w:tr>
      <w:tr w14:paraId="405B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D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atient valuation of pharmacotherapy,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75CA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A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 (76.81%)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9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 (50.00%)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5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63A2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BE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MIDAS</w:t>
            </w: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(24.64%)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 (24.52%)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1CD2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</w:t>
            </w:r>
          </w:p>
        </w:tc>
      </w:tr>
      <w:tr w14:paraId="379A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E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9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6-10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A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(18.12%)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 (25.16%)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F24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FA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5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(23.19%)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 (22.93%)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815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8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D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0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7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(34.06%)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A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 (27.39%)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76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CE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BD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Depression (PHQ-9)</w:t>
            </w: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1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F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(36.23%)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A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 (40.13%)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726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</w:t>
            </w:r>
          </w:p>
        </w:tc>
      </w:tr>
      <w:tr w14:paraId="16A5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0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 (39.13%)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 (40.13%)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52F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49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0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A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(21.04%)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7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 (18.15%)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32B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4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0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(3.62%)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6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(1.59%)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D3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43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7C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Anxiety (GAD-7)</w:t>
            </w: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 (58.70%)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6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 (56.69%)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474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</w:t>
            </w:r>
          </w:p>
        </w:tc>
      </w:tr>
      <w:tr w14:paraId="07DD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DF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1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9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(30.43%)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5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 (32.48%)</w:t>
            </w:r>
          </w:p>
        </w:tc>
        <w:tc>
          <w:tcPr>
            <w:tcW w:w="1141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17B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1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D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1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A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(9.42%)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(9.55%)</w:t>
            </w:r>
          </w:p>
        </w:tc>
        <w:tc>
          <w:tcPr>
            <w:tcW w:w="11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DB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9D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2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3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(1.45%)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C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(1.27%)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7E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D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02B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PSQI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 (26.81%)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111(35.35%)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17E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</w:t>
            </w:r>
          </w:p>
        </w:tc>
      </w:tr>
      <w:tr w14:paraId="3AF8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817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A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219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33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 (73.19%)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9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 (64.65%)</w:t>
            </w: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27C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EE296EC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53CD6091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40D25312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07A03894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53C7AC94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442D7FB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Table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2: Univariate Analysis of Preventive Medication Adherence in Migraine Patients.</w:t>
      </w:r>
    </w:p>
    <w:p w14:paraId="3848E0B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5"/>
        <w:tblW w:w="8504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17"/>
        <w:gridCol w:w="2031"/>
        <w:gridCol w:w="1590"/>
        <w:gridCol w:w="2057"/>
        <w:gridCol w:w="974"/>
      </w:tblGrid>
      <w:tr w14:paraId="397E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3883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F8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5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66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 Adherence (n=82）</w:t>
            </w:r>
          </w:p>
        </w:tc>
        <w:tc>
          <w:tcPr>
            <w:tcW w:w="20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7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 Adherence (n=72)</w:t>
            </w:r>
          </w:p>
        </w:tc>
        <w:tc>
          <w:tcPr>
            <w:tcW w:w="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74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</w:t>
            </w:r>
          </w:p>
        </w:tc>
      </w:tr>
      <w:tr w14:paraId="6A87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Demographics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3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0A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8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 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7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37.16 ± 10.469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39.8 ± 10.713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6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</w:tc>
      </w:tr>
      <w:tr w14:paraId="6577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B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Gender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(20.73%)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F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(29.17%)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A3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</w:t>
            </w:r>
          </w:p>
        </w:tc>
      </w:tr>
      <w:tr w14:paraId="67FE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2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 (79.27%)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(70.83%)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0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68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Family income (CNY/year)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 w:val="0"/>
                <w:sz w:val="11"/>
                <w:szCs w:val="11"/>
                <w:lang w:val="en-US" w:eastAsia="zh-CN" w:bidi="ar"/>
              </w:rPr>
              <w:t>a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0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&lt;￥80,000</w:t>
            </w:r>
          </w:p>
          <w:p w14:paraId="7E5C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C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(35.37%)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22(30.56%)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6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</w:t>
            </w:r>
          </w:p>
        </w:tc>
      </w:tr>
      <w:tr w14:paraId="6562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￥80,000-￥150,000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A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(32.93%)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C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(48.61%)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289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&gt;￥150,000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(32.71%)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(20.83%)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0D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Educational level, n (%) 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4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>&lt; 9 years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5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(18.29%)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E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 (16.67%)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A9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</w:t>
            </w:r>
          </w:p>
        </w:tc>
      </w:tr>
      <w:tr w14:paraId="57E5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8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9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10–12 years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6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(15.85%)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6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(18.06%)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46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65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F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&gt; 12 years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9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 (65.85%)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(65.28%)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E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CC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4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Body mass index (kg/m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6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22.93 ± 3.02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E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22.32 ± 2.95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</w:t>
            </w:r>
          </w:p>
        </w:tc>
      </w:tr>
      <w:tr w14:paraId="755F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A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Clinical characteristics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3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18D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4364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Headache types 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 xml:space="preserve"> 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1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1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>Probable migraine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(9.76%)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(8.33%)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6F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</w:tr>
      <w:tr w14:paraId="11D2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B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without aura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8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 (78.75%)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(68.06%)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4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506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4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A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 aura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(3.75%)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1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(4.17%)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ED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5D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Chronic migraine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8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 (14.63%)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F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(13.89%)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2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C72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Attack frequency (times/month)*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9.36 ± 8.52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8.84 ± 7.191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A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</w:t>
            </w:r>
          </w:p>
        </w:tc>
      </w:tr>
      <w:tr w14:paraId="52AA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C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Duration of each headache attack (h)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4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± 111.36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40.08 ± 153.74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</w:tr>
      <w:tr w14:paraId="0B56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Pain intensity (VAS)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C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7.14 ± 1.66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7.22 ± 1.64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</w:tc>
      </w:tr>
      <w:tr w14:paraId="336C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Associated symptoms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2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3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FA0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Nausea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 (86.59%)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B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 (88.89%)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5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</w:t>
            </w:r>
          </w:p>
        </w:tc>
      </w:tr>
      <w:tr w14:paraId="1063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Vomiting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(47.56%)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0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(55.56%)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1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</w:t>
            </w:r>
          </w:p>
        </w:tc>
      </w:tr>
      <w:tr w14:paraId="7416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5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Photophobia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(52.44%)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9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(62.50%)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</w:t>
            </w:r>
          </w:p>
        </w:tc>
      </w:tr>
      <w:tr w14:paraId="1C68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D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Medication-related factors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2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9E3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D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Adverse effects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15AB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(24.39%)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(37.50%)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</w:t>
            </w:r>
          </w:p>
        </w:tc>
      </w:tr>
      <w:tr w14:paraId="4F23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5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Insurance reimbursemen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(60.98%)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D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(45.83%)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9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</w:t>
            </w:r>
          </w:p>
        </w:tc>
      </w:tr>
      <w:tr w14:paraId="423C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Satisfaction with Pain Relief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superscript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baseline"/>
                <w:lang w:val="en-US" w:eastAsia="zh-CN" w:bidi="ar"/>
              </w:rPr>
              <w:t>, mean ± SD,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superscript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*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8.09 ± 2.01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B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6.28 ± 2.90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</w:t>
            </w:r>
          </w:p>
        </w:tc>
      </w:tr>
      <w:tr w14:paraId="76A6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commentRangeStart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Satisfaction with Functional Recovery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baseline"/>
                <w:lang w:val="en-US" w:eastAsia="zh-CN" w:bidi="ar"/>
              </w:rPr>
              <w:t xml:space="preserve"> mean ± SD,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vertAlign w:val="superscript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  <w:t>*</w:t>
            </w:r>
            <w:commentRangeEnd w:id="1"/>
            <w:r>
              <w:rPr>
                <w:rFonts w:ascii="Times New Roman" w:hAnsi="Times New Roman" w:cs="Times New Roman"/>
                <w:sz w:val="11"/>
                <w:szCs w:val="11"/>
                <w:highlight w:val="yellow"/>
              </w:rPr>
              <w:commentReference w:id="1"/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8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8.05 ± 1.99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7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5.95 ± 3.0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6230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Literacy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3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A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A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0D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Identify headache triggering factors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 (80.49%)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 (77.78%)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</w:t>
            </w:r>
          </w:p>
        </w:tc>
      </w:tr>
      <w:tr w14:paraId="5131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Accurate identification of migraine episodes</w:t>
            </w:r>
            <w:r>
              <w:rPr>
                <w:rFonts w:ascii="Times New Roman" w:hAnsi="Times New Roman" w:eastAsia="等线" w:cs="Times New Roman"/>
                <w:bCs/>
                <w:kern w:val="0"/>
                <w:sz w:val="16"/>
                <w:szCs w:val="16"/>
                <w:lang w:eastAsia="en-US"/>
              </w:rPr>
              <w:t>, n (%)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(46.34%)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9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(50.00%)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3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</w:tr>
      <w:tr w14:paraId="385D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atient valuation of pharmacotherapy,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01EC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B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 (81.71%)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8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(31.94%)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A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19E1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DB5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MIDAS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A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(18.29%)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6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(18.06%)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A5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</w:t>
            </w:r>
          </w:p>
        </w:tc>
      </w:tr>
      <w:tr w14:paraId="1E4A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9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B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6-10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7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(23.17%)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(15.28%)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A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B0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A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5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(15.85%)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5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(27.78%)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32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4A8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8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(42.68%)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(38.89%)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D8C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72B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Depression (PHQ-9)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3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(41.46%)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(34.72%)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5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0.48</w:t>
            </w:r>
          </w:p>
        </w:tc>
      </w:tr>
      <w:tr w14:paraId="24EA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F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7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(40.24%)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(43.06%)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D56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F9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(10.98%)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5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(18.06%)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0C0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BB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F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5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(7.32%)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(4.17%)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29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627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Anxiety (GAD-7)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(62.20%)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5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(54.17%)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D8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</w:t>
            </w:r>
          </w:p>
        </w:tc>
      </w:tr>
      <w:tr w14:paraId="5078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E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(25.61%)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(34.72%)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A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AB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C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1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(6.10%)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(6.94%)</w:t>
            </w:r>
          </w:p>
        </w:tc>
        <w:tc>
          <w:tcPr>
            <w:tcW w:w="974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909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20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D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(6.10%)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(4.17%)</w:t>
            </w:r>
          </w:p>
        </w:tc>
        <w:tc>
          <w:tcPr>
            <w:tcW w:w="9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D7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C3785">
            <w:pPr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PSQI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0274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B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(25.61%)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8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(25.00%)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4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</w:tr>
      <w:tr w14:paraId="023E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45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5B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5C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(74.39%)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52F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 (75.00%)</w:t>
            </w:r>
          </w:p>
        </w:tc>
        <w:tc>
          <w:tcPr>
            <w:tcW w:w="974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95E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6EC2338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 w14:paraId="5386F86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 w14:paraId="7A59C63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 w14:paraId="66F525F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 w14:paraId="29FAC2B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 w14:paraId="3F607A96">
      <w:pPr>
        <w:jc w:val="center"/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Table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3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: Univariate Analysis of Factors Affecting Migraine Treatment Efficacy.</w:t>
      </w:r>
    </w:p>
    <w:tbl>
      <w:tblPr>
        <w:tblStyle w:val="5"/>
        <w:tblpPr w:leftFromText="180" w:rightFromText="180" w:vertAnchor="text" w:horzAnchor="page" w:tblpX="1898" w:tblpY="212"/>
        <w:tblOverlap w:val="never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61"/>
        <w:gridCol w:w="2178"/>
        <w:gridCol w:w="1800"/>
        <w:gridCol w:w="963"/>
      </w:tblGrid>
      <w:tr w14:paraId="46B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356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1B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17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F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Positive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Outcomes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(n=74)</w:t>
            </w:r>
          </w:p>
        </w:tc>
        <w:tc>
          <w:tcPr>
            <w:tcW w:w="18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6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Poor Outcomes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(n=80)</w:t>
            </w:r>
          </w:p>
        </w:tc>
        <w:tc>
          <w:tcPr>
            <w:tcW w:w="9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5A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p-value</w:t>
            </w:r>
          </w:p>
        </w:tc>
      </w:tr>
      <w:tr w14:paraId="046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7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Demographics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C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E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B3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 y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40.20 ± 10.99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36.69 ± 10.48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</w:t>
            </w:r>
          </w:p>
        </w:tc>
      </w:tr>
      <w:tr w14:paraId="519F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D7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Gender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1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1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(21.62%)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9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(27.50%)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C8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</w:t>
            </w:r>
          </w:p>
        </w:tc>
      </w:tr>
      <w:tr w14:paraId="3ACA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6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2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 (78.38%)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C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 (72.50%)</w:t>
            </w:r>
          </w:p>
        </w:tc>
        <w:tc>
          <w:tcPr>
            <w:tcW w:w="9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C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71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Body mass index (kg/m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22.89 ± 2.96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22.55 ± 3.05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4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</w:t>
            </w:r>
          </w:p>
        </w:tc>
      </w:tr>
      <w:tr w14:paraId="16B2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9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Clinical characteristics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3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9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3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73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BA5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Headache types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Probable migraine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(6.76%)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(11.25%)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E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0.61</w:t>
            </w:r>
          </w:p>
        </w:tc>
      </w:tr>
      <w:tr w14:paraId="3701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B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2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without aura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(74.32%)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 (71.25%)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4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7A8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2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B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with aura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3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(2.70%)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C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(5.00%)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5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DF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9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Chronic migraine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A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 (16.21%)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E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(12.50%)</w:t>
            </w:r>
          </w:p>
        </w:tc>
        <w:tc>
          <w:tcPr>
            <w:tcW w:w="9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9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2EB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A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Attack frequency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times/month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0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11.15 ± 8.05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E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7.68 ± 8.14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0.60</w:t>
            </w:r>
          </w:p>
        </w:tc>
      </w:tr>
      <w:tr w14:paraId="2ADE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9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Duration of each headache attack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33.28 ± 119.95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37.28 ± 155.70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0.60</w:t>
            </w:r>
          </w:p>
        </w:tc>
      </w:tr>
      <w:tr w14:paraId="68A7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Pain intensity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, mean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SD,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VAS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7.26 ± 1.68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7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7.05 ± 1.57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0.78</w:t>
            </w:r>
          </w:p>
        </w:tc>
      </w:tr>
      <w:tr w14:paraId="0A6E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0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Associated symptoms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3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F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C65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E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Nausea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3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 (93.24%)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 (82.50%)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C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1695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3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Vomiting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8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(51.35%)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F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(51.25%)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1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78F1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3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Photophobia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(55.41%)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2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(58.75%)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</w:tr>
      <w:tr w14:paraId="4163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Phonophobia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(81.08%)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5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 (82.50%)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7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</w:t>
            </w:r>
          </w:p>
        </w:tc>
      </w:tr>
      <w:tr w14:paraId="0927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D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Medication-related factors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4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E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0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17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0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Adverse effects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  <w:p w14:paraId="0533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(27.03%)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(31.25%)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2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</w:t>
            </w:r>
          </w:p>
        </w:tc>
      </w:tr>
      <w:tr w14:paraId="643F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Insurance reimbursemen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A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(60.81%)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(47.50%)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A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</w:t>
            </w:r>
          </w:p>
        </w:tc>
      </w:tr>
      <w:tr w14:paraId="4B11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 Adherence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(81.08%)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9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(27.50%)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1CFB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D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Migraine Literacy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E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4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C20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A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Identify headache triggering factors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(81.08%)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 (77.50%)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0.69</w:t>
            </w:r>
          </w:p>
        </w:tc>
      </w:tr>
      <w:tr w14:paraId="5C38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Accurate identification of migraine episodes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, n (%)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0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(54.05%)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(42.50%)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1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</w:t>
            </w:r>
          </w:p>
        </w:tc>
      </w:tr>
      <w:tr w14:paraId="0371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atient valuation of pharmacotherapy, n (%)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  <w:p w14:paraId="0D9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C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&lt;0.01</w:t>
            </w:r>
          </w:p>
        </w:tc>
      </w:tr>
      <w:tr w14:paraId="481A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AF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MIDAS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0-5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(10.81%)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(25.00%)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625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</w:tr>
      <w:tr w14:paraId="34E3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01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6-10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A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(21.62%)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9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 (17.50%)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C8F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D6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09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3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(24.32%)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(18.75%)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8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AC6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(43.24%)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1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(38.75%)</w:t>
            </w:r>
          </w:p>
        </w:tc>
        <w:tc>
          <w:tcPr>
            <w:tcW w:w="9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0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4D2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D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Depression (PHQ-9)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8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(37.84%)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(38.75%)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FD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</w:t>
            </w:r>
          </w:p>
        </w:tc>
      </w:tr>
      <w:tr w14:paraId="0372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8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D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6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(40.54%)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A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(42.50%)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C0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87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C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9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B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(12.16%)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6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(16.25%)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6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FE0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E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 (9.46%)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3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(2.50%)</w:t>
            </w:r>
          </w:p>
        </w:tc>
        <w:tc>
          <w:tcPr>
            <w:tcW w:w="9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3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64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4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Anxiety (GAD-7)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C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0-4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(60.81%)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7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(56.25%)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E4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0.71</w:t>
            </w:r>
          </w:p>
        </w:tc>
      </w:tr>
      <w:tr w14:paraId="3F1D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53A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5-9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(27.03%)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(32.50%)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33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953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BF1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B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10-19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(5.41%)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A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(7.50%)</w:t>
            </w:r>
          </w:p>
        </w:tc>
        <w:tc>
          <w:tcPr>
            <w:tcW w:w="963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D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2BF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2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 (6.76%)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D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(8.75%)</w:t>
            </w:r>
          </w:p>
        </w:tc>
        <w:tc>
          <w:tcPr>
            <w:tcW w:w="9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86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2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PSQI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4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(22.97%)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9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(26.25%)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712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0.71</w:t>
            </w:r>
          </w:p>
        </w:tc>
      </w:tr>
      <w:tr w14:paraId="6546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1702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F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E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04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 (77.03%)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63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 (73.75%)</w:t>
            </w:r>
          </w:p>
        </w:tc>
        <w:tc>
          <w:tcPr>
            <w:tcW w:w="96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8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5B17F755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bookmarkStart w:id="0" w:name="OLE_LINK1"/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Abbreviation</w:t>
      </w:r>
      <w:bookmarkEnd w:id="0"/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: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8090C"/>
          <w:kern w:val="0"/>
          <w:sz w:val="16"/>
          <w:szCs w:val="16"/>
          <w:lang w:val="en-US" w:eastAsia="zh-CN"/>
          <w14:ligatures w14:val="none"/>
        </w:rPr>
        <w:t>n, number;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y, year; 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CNY, Chinese Yuan;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h, hours; </w:t>
      </w:r>
      <w:r>
        <w:rPr>
          <w:rFonts w:hint="eastAsia" w:ascii="Times New Roman" w:hAnsi="Times New Roman" w:eastAsia="宋体" w:cs="Times New Roman"/>
          <w:color w:val="08090C"/>
          <w:kern w:val="0"/>
          <w:sz w:val="16"/>
          <w:szCs w:val="16"/>
          <w:lang w:val="en-US" w:eastAsia="zh-CN"/>
          <w14:ligatures w14:val="none"/>
        </w:rPr>
        <w:t xml:space="preserve">SD, Standard Deviation; 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VAS, Visual Analog Scale;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MIDAS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Migraine Disability Assessment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PHQ-9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: Patient Health Questionnaire-9;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GAD-7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: Generalized Anxiety Disorder-7;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PSQI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: Pittsburgh Sleep Quality Index.</w:t>
      </w:r>
    </w:p>
    <w:p w14:paraId="7EBC3E7D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a 80,000 CNY ≈ 1,1136 USD; 150,000 CNY ≈ 2,0880 USD (1 CNY ≈ 0.14 USD).</w:t>
      </w:r>
    </w:p>
    <w:p w14:paraId="17CF8CE3">
      <w:pPr>
        <w:rPr>
          <w:rFonts w:hint="eastAsia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b Satisfaction with pain relief" refers to a patient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’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s self-rated satisfaction score regarding the effectiveness of medication in alleviating pain, measured on a numerical rating scale ranging from 0 (completely dissatisfied) to 10 (completely satisfied)</w:t>
      </w:r>
    </w:p>
    <w:p w14:paraId="5FEC964B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c Satisfaction with functional recovery" refers to a patient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’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s self-rated satisfaction score regarding the restoration of daily living and work capacity after medication use, measured on a numerical scale ranging from 0 (completely dissatisfied) to 10 (completely satisfied).</w:t>
      </w:r>
    </w:p>
    <w:p w14:paraId="197FC1BB">
      <w:pPr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*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16"/>
          <w:szCs w:val="16"/>
          <w:u w:val="none"/>
          <w:lang w:val="en-US" w:eastAsia="zh-CN" w:bidi="ar"/>
        </w:rPr>
        <w:t>P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&lt;0.1</w:t>
      </w:r>
      <w:bookmarkStart w:id="2" w:name="_GoBack"/>
      <w:bookmarkEnd w:id="2"/>
    </w:p>
    <w:p w14:paraId="197C47B9">
      <w:pPr>
        <w:ind w:firstLine="320" w:firstLineChars="200"/>
        <w:jc w:val="center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  <w14:ligatures w14:val="none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Table</w:t>
      </w: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4：Acute </w:t>
      </w: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m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edication</w:t>
      </w: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>prescription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 p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>roportion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s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 xml:space="preserve"> and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corresponding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 xml:space="preserve"> good adherence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rates</w:t>
      </w:r>
      <w:r>
        <w:rPr>
          <w:rFonts w:ascii="Times New Roman" w:hAnsi="Times New Roman" w:eastAsia="宋体" w:cs="Times New Roman"/>
          <w:sz w:val="16"/>
          <w:szCs w:val="16"/>
          <w14:ligatures w14:val="none"/>
        </w:rPr>
        <w:t>.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</w:rPr>
        <w:t xml:space="preserve"> (n=452)</w:t>
      </w:r>
    </w:p>
    <w:p w14:paraId="5A400483">
      <w:pPr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val="en-US" w:eastAsia="zh-CN"/>
          <w14:ligatures w14:val="none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2647"/>
        <w:gridCol w:w="3233"/>
      </w:tblGrid>
      <w:tr w14:paraId="0300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470" w:type="dxa"/>
            <w:tcBorders>
              <w:top w:val="single" w:color="000000" w:themeColor="dark1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6FBE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bookmarkStart w:id="1" w:name="OLE_LINK2" w:colFirst="0" w:colLast="2"/>
            <w:r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Medicine</w:t>
            </w:r>
          </w:p>
        </w:tc>
        <w:tc>
          <w:tcPr>
            <w:tcW w:w="2724" w:type="dxa"/>
            <w:tcBorders>
              <w:top w:val="single" w:color="000000" w:themeColor="dark1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03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Drug prescription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proportions</w:t>
            </w:r>
          </w:p>
        </w:tc>
        <w:tc>
          <w:tcPr>
            <w:tcW w:w="3328" w:type="dxa"/>
            <w:tcBorders>
              <w:top w:val="single" w:color="000000" w:themeColor="dark1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A7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Corresponding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good adherence rates</w:t>
            </w:r>
          </w:p>
        </w:tc>
      </w:tr>
      <w:bookmarkEnd w:id="1"/>
      <w:tr w14:paraId="6E5F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47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NSAIDs</w:t>
            </w:r>
          </w:p>
        </w:tc>
        <w:tc>
          <w:tcPr>
            <w:tcW w:w="272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332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1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dark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  <w:tr w14:paraId="7CA1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buprofen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4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44.25%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C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30.91%</w:t>
            </w:r>
          </w:p>
        </w:tc>
      </w:tr>
      <w:tr w14:paraId="13F5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B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Diclofenac Sodium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8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0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33.33%</w:t>
            </w:r>
          </w:p>
        </w:tc>
      </w:tr>
      <w:tr w14:paraId="0BCF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Loxoprofen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2.88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23.08%</w:t>
            </w:r>
          </w:p>
        </w:tc>
      </w:tr>
      <w:tr w14:paraId="7DDF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Triptans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F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ED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5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Rizatriptan Benzoate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9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16.59%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36.00%</w:t>
            </w:r>
          </w:p>
        </w:tc>
      </w:tr>
      <w:tr w14:paraId="0A38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D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Zolmitriptan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D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9.29%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A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47.62%</w:t>
            </w:r>
          </w:p>
        </w:tc>
      </w:tr>
      <w:tr w14:paraId="1AFC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Combination analgesics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A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F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CF5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ompound Aspipin Tablets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7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</w:tr>
      <w:tr w14:paraId="553A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F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Acetaminophen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7.8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21.88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 w14:paraId="4DB0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Combination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nalgesic Granules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C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8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25.00%</w:t>
            </w:r>
          </w:p>
        </w:tc>
      </w:tr>
      <w:tr w14:paraId="52D1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E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Aminophenazone and Caffeine Tablets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2.43%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D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45.45%</w:t>
            </w:r>
          </w:p>
        </w:tc>
      </w:tr>
      <w:tr w14:paraId="665A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Combination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Analgesic Tablets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11.28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A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9.61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 w14:paraId="6ACD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3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Gepants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76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Rimegepant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2.43%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B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72.73%</w:t>
            </w:r>
          </w:p>
        </w:tc>
      </w:tr>
      <w:tr w14:paraId="39F3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TCMs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D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00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A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Tianshu Capsule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3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1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50.00%</w:t>
            </w:r>
          </w:p>
        </w:tc>
      </w:tr>
      <w:tr w14:paraId="278B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8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Yuanhu Zhitong Tablet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5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</w:tr>
      <w:tr w14:paraId="6E6F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Nao Yi Qing Capsule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</w:tr>
      <w:tr w14:paraId="1AF7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Yangjiao Tablet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9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9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</w:tr>
      <w:tr w14:paraId="2818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/>
            <w:vAlign w:val="center"/>
          </w:tcPr>
          <w:p w14:paraId="2DC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Xiaoyao Pill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/>
            <w:vAlign w:val="center"/>
          </w:tcPr>
          <w:p w14:paraId="1390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noWrap/>
            <w:vAlign w:val="center"/>
          </w:tcPr>
          <w:p w14:paraId="0DF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50.00%</w:t>
            </w:r>
          </w:p>
        </w:tc>
      </w:tr>
    </w:tbl>
    <w:p w14:paraId="58253863">
      <w:pPr>
        <w:rPr>
          <w:rFonts w:hint="eastAsia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Abbreviation: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8090C"/>
          <w:kern w:val="0"/>
          <w:sz w:val="16"/>
          <w:szCs w:val="16"/>
          <w:lang w:val="en-US" w:eastAsia="zh-CN"/>
          <w14:ligatures w14:val="none"/>
        </w:rPr>
        <w:t xml:space="preserve">n, number; 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NSAIDs, </w:t>
      </w: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Non-Steroidal Anti-Inflammatory Drugs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; TCMs, Chinese traditional medicines.</w:t>
      </w:r>
    </w:p>
    <w:p w14:paraId="3461B31C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</w:p>
    <w:p w14:paraId="0A44159F">
      <w:pPr>
        <w:jc w:val="center"/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Supplementary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Table</w:t>
      </w: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 5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Preventive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m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edication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>prescription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 xml:space="preserve"> p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>roportion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s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 xml:space="preserve"> and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corresponding</w:t>
      </w:r>
      <w:r>
        <w:rPr>
          <w:rFonts w:hint="default" w:ascii="Times New Roman" w:hAnsi="Times New Roman" w:eastAsia="宋体" w:cs="Times New Roman"/>
          <w:sz w:val="16"/>
          <w:szCs w:val="16"/>
          <w14:ligatures w14:val="none"/>
        </w:rPr>
        <w:t xml:space="preserve"> good adherence 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  <w14:ligatures w14:val="none"/>
        </w:rPr>
        <w:t>rates</w:t>
      </w:r>
      <w:r>
        <w:rPr>
          <w:rFonts w:ascii="Times New Roman" w:hAnsi="Times New Roman" w:eastAsia="宋体" w:cs="Times New Roman"/>
          <w:sz w:val="16"/>
          <w:szCs w:val="16"/>
          <w14:ligatures w14:val="none"/>
        </w:rPr>
        <w:t>.</w:t>
      </w:r>
      <w:r>
        <w:rPr>
          <w:rFonts w:hint="default" w:ascii="Times New Roman" w:hAnsi="Times New Roman" w:eastAsia="宋体" w:cs="Times New Roman"/>
          <w:sz w:val="16"/>
          <w:szCs w:val="16"/>
          <w:lang w:val="en-US" w:eastAsia="zh-CN"/>
        </w:rPr>
        <w:t xml:space="preserve"> (n=</w:t>
      </w:r>
      <w:r>
        <w:rPr>
          <w:rFonts w:hint="eastAsia" w:ascii="Times New Roman" w:hAnsi="Times New Roman" w:eastAsia="宋体" w:cs="Times New Roman"/>
          <w:sz w:val="16"/>
          <w:szCs w:val="16"/>
          <w:lang w:val="en-US" w:eastAsia="zh-CN"/>
        </w:rPr>
        <w:t>154)</w:t>
      </w:r>
    </w:p>
    <w:p w14:paraId="07994CB2">
      <w:pPr>
        <w:jc w:val="center"/>
        <w:rPr>
          <w:rFonts w:hint="default" w:ascii="Times New Roman" w:hAnsi="Times New Roman" w:eastAsia="宋体" w:cs="Times New Roman"/>
          <w:sz w:val="16"/>
          <w:szCs w:val="16"/>
          <w:lang w:val="en-US" w:eastAsia="zh-CN"/>
        </w:rPr>
      </w:pPr>
    </w:p>
    <w:tbl>
      <w:tblPr>
        <w:tblStyle w:val="5"/>
        <w:tblW w:w="8536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520"/>
        <w:gridCol w:w="2934"/>
      </w:tblGrid>
      <w:tr w14:paraId="6AA9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8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A7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Medicine</w:t>
            </w:r>
          </w:p>
        </w:tc>
        <w:tc>
          <w:tcPr>
            <w:tcW w:w="25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05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Drug prescription proportions</w:t>
            </w:r>
          </w:p>
        </w:tc>
        <w:tc>
          <w:tcPr>
            <w:tcW w:w="29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7E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Corresponding good adherence rates</w:t>
            </w:r>
          </w:p>
        </w:tc>
      </w:tr>
      <w:tr w14:paraId="6102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9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alcium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hannel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locker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91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D6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</w:tr>
      <w:tr w14:paraId="075F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6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Flunarizine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35.70%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65.45%</w:t>
            </w:r>
          </w:p>
        </w:tc>
      </w:tr>
      <w:tr w14:paraId="7342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Antiepileptic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20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3C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</w:tr>
      <w:tr w14:paraId="5DB6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Topiramate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31.82%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3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53.06%</w:t>
            </w:r>
          </w:p>
        </w:tc>
      </w:tr>
      <w:tr w14:paraId="2C6A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8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Sodium Valproic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4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10.39%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43.75%</w:t>
            </w:r>
          </w:p>
        </w:tc>
      </w:tr>
      <w:tr w14:paraId="46C6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C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Calcium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hannel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odulators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76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80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</w:tr>
      <w:tr w14:paraId="11AE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Pregabalin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4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11.04%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52.94%</w:t>
            </w:r>
          </w:p>
        </w:tc>
      </w:tr>
      <w:tr w14:paraId="42D2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Gabapentin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6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3.25%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A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52.00%</w:t>
            </w:r>
          </w:p>
        </w:tc>
      </w:tr>
      <w:tr w14:paraId="16F6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8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Antidepressant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991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D2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</w:tr>
      <w:tr w14:paraId="0EDA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Amitriptyline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0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6.49%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6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40.00%</w:t>
            </w:r>
          </w:p>
        </w:tc>
      </w:tr>
      <w:tr w14:paraId="23A6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6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Venlafaxine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5.84%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B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</w:tr>
      <w:tr w14:paraId="6E1B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TCMs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58A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C15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</w:p>
        </w:tc>
      </w:tr>
      <w:tr w14:paraId="7AC6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Tianshu Capsule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9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3.25%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40.00%</w:t>
            </w:r>
          </w:p>
        </w:tc>
      </w:tr>
      <w:tr w14:paraId="244D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0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0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Herbal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ecoctions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C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2.60%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CC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25.00%</w:t>
            </w:r>
          </w:p>
        </w:tc>
      </w:tr>
    </w:tbl>
    <w:p w14:paraId="66C138D5">
      <w:pPr>
        <w:rPr>
          <w:rFonts w:hint="default" w:ascii="Times New Roman" w:hAnsi="Times New Roman" w:cs="Times New Roman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lang w:val="en-US" w:eastAsia="zh-CN"/>
        </w:rPr>
        <w:t>Abbreviation: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8090C"/>
          <w:kern w:val="0"/>
          <w:sz w:val="16"/>
          <w:szCs w:val="16"/>
          <w:lang w:val="en-US" w:eastAsia="zh-CN"/>
          <w14:ligatures w14:val="none"/>
        </w:rPr>
        <w:t xml:space="preserve">n, number; 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>TCMs, Chinese traditional medicines.</w:t>
      </w:r>
    </w:p>
    <w:p w14:paraId="19D86095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yan" w:date="2025-08-11T00:59:59Z" w:initials="">
    <w:p w14:paraId="6884543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正文中涉及到这里面数据的地方也需要写上（Supple Tab.1/2/3/4/5），方法学那个位置的括号删除。统计结果的表格，不应该在Method部分出现，应出现在Results中</w:t>
      </w:r>
    </w:p>
  </w:comment>
  <w:comment w:id="1" w:author="Ryan" w:date="2025-08-11T00:57:11Z" w:initials="">
    <w:p w14:paraId="431D6D82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需要说明这个数值代表了什么？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84543B" w15:done="0"/>
  <w15:commentEx w15:paraId="431D6D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yan">
    <w15:presenceInfo w15:providerId="WPS Office" w15:userId="2085390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83B30"/>
    <w:rsid w:val="02983B30"/>
    <w:rsid w:val="0FDD3EC8"/>
    <w:rsid w:val="197E4B6A"/>
    <w:rsid w:val="337F1A8A"/>
    <w:rsid w:val="3DC5629B"/>
    <w:rsid w:val="3FB31933"/>
    <w:rsid w:val="43253B5D"/>
    <w:rsid w:val="568C6631"/>
    <w:rsid w:val="57620F37"/>
    <w:rsid w:val="656909DC"/>
    <w:rsid w:val="6ABB5887"/>
    <w:rsid w:val="79D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b/>
      <w:bCs/>
      <w:color w:val="08090C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8090C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8090C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395</Words>
  <Characters>2071</Characters>
  <Lines>0</Lines>
  <Paragraphs>0</Paragraphs>
  <TotalTime>9</TotalTime>
  <ScaleCrop>false</ScaleCrop>
  <LinksUpToDate>false</LinksUpToDate>
  <CharactersWithSpaces>2282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2025-07-14T02:32:00Z</dcterms:created>
  <dc:creator>休眠的小火山</dc:creator>
  <cp:lastModifiedBy>休眠的小火山</cp:lastModifiedBy>
  <dcterms:modified xsi:type="dcterms:W3CDTF">2025-08-11T02:00:03Z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BB658422F86E411490D388EEA3B0B4F0_13</vt:lpwstr>
  </property>
  <property fmtid="{D5CDD505-2E9C-101B-9397-08002B2CF9AE}" pid="4" name="KSOTemplateDocerSaveRecord">
    <vt:lpwstr>eyJoZGlkIjoiZTk1NmZkODNkZjEyYjQ0YjI4NDIzNGU4ZjVhZjQ3NDEiLCJ1c2VySWQiOiI0ODE2OTcyODMifQ==</vt:lpwstr>
  </property>
</Properties>
</file>